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10</w:t>
      </w:r>
    </w:p>
    <w:p>
      <w:pPr>
        <w:tabs>
          <w:tab w:val="right" w:pos="9128" w:leader="dot"/>
        </w:tabs>
        <w:spacing w:after="100"/>
      </w:pPr>
      <w:r>
        <w:rPr>
          <w:rFonts w:ascii="Times New Roman" w:cs="Times New Roman" w:eastAsia="Times New Roman" w:hAnsi="Times New Roman"/>
          <w:sz w:val="22"/>
          <w:szCs w:val="22"/>
        </w:rPr>
        <w:t xml:space="preserve">4. Research Objectives	12</w:t>
      </w:r>
    </w:p>
    <w:p>
      <w:pPr>
        <w:tabs>
          <w:tab w:val="right" w:pos="9128" w:leader="dot"/>
        </w:tabs>
        <w:spacing w:after="100"/>
      </w:pPr>
      <w:r>
        <w:rPr>
          <w:rFonts w:ascii="Times New Roman" w:cs="Times New Roman" w:eastAsia="Times New Roman" w:hAnsi="Times New Roman"/>
          <w:sz w:val="22"/>
          <w:szCs w:val="22"/>
        </w:rPr>
        <w:t xml:space="preserve">5. Research Architecture: MVC	14</w:t>
      </w:r>
    </w:p>
    <w:p>
      <w:pPr>
        <w:tabs>
          <w:tab w:val="right" w:pos="9128" w:leader="dot"/>
        </w:tabs>
        <w:spacing w:after="100"/>
      </w:pPr>
      <w:r>
        <w:rPr>
          <w:rFonts w:ascii="Times New Roman" w:cs="Times New Roman" w:eastAsia="Times New Roman" w:hAnsi="Times New Roman"/>
          <w:sz w:val="22"/>
          <w:szCs w:val="22"/>
        </w:rPr>
        <w:t xml:space="preserve">6. The Proposed Solution for RQ1	19</w:t>
      </w:r>
    </w:p>
    <w:p>
      <w:pPr>
        <w:tabs>
          <w:tab w:val="right" w:pos="9128" w:leader="dot"/>
        </w:tabs>
        <w:spacing w:after="100"/>
      </w:pPr>
      <w:r>
        <w:rPr>
          <w:rFonts w:ascii="Times New Roman" w:cs="Times New Roman" w:eastAsia="Times New Roman" w:hAnsi="Times New Roman"/>
          <w:sz w:val="22"/>
          <w:szCs w:val="22"/>
        </w:rPr>
        <w:t xml:space="preserve">7. The Proposed Solution for RQ2	23</w:t>
      </w:r>
    </w:p>
    <w:p>
      <w:pPr>
        <w:tabs>
          <w:tab w:val="right" w:pos="9128" w:leader="dot"/>
        </w:tabs>
        <w:spacing w:after="100"/>
      </w:pPr>
      <w:r>
        <w:rPr>
          <w:rFonts w:ascii="Times New Roman" w:cs="Times New Roman" w:eastAsia="Times New Roman" w:hAnsi="Times New Roman"/>
          <w:sz w:val="22"/>
          <w:szCs w:val="22"/>
        </w:rPr>
        <w:t xml:space="preserve">8. The Proposed Solution for RQ3	26</w:t>
      </w:r>
    </w:p>
    <w:p>
      <w:pPr>
        <w:tabs>
          <w:tab w:val="right" w:pos="9128" w:leader="dot"/>
        </w:tabs>
        <w:spacing w:after="100"/>
      </w:pPr>
      <w:r>
        <w:rPr>
          <w:rFonts w:ascii="Times New Roman" w:cs="Times New Roman" w:eastAsia="Times New Roman" w:hAnsi="Times New Roman"/>
          <w:sz w:val="22"/>
          <w:szCs w:val="22"/>
        </w:rPr>
        <w:t xml:space="preserve">9. The Proposed Solution for RQ4	30</w:t>
      </w:r>
    </w:p>
    <w:p>
      <w:pPr>
        <w:tabs>
          <w:tab w:val="right" w:pos="9128" w:leader="dot"/>
        </w:tabs>
        <w:spacing w:after="100"/>
      </w:pPr>
      <w:r>
        <w:rPr>
          <w:rFonts w:ascii="Times New Roman" w:cs="Times New Roman" w:eastAsia="Times New Roman" w:hAnsi="Times New Roman"/>
          <w:sz w:val="22"/>
          <w:szCs w:val="22"/>
        </w:rPr>
        <w:t xml:space="preserve">10. The Proposed Solution for RQ5	34</w:t>
      </w:r>
    </w:p>
    <w:p>
      <w:pPr>
        <w:tabs>
          <w:tab w:val="right" w:pos="9128" w:leader="dot"/>
        </w:tabs>
        <w:spacing w:after="100"/>
      </w:pPr>
      <w:r>
        <w:rPr>
          <w:rFonts w:ascii="Times New Roman" w:cs="Times New Roman" w:eastAsia="Times New Roman" w:hAnsi="Times New Roman"/>
          <w:sz w:val="22"/>
          <w:szCs w:val="22"/>
        </w:rPr>
        <w:t xml:space="preserve">11. The Proposed Solution for RQ6	37</w:t>
      </w:r>
    </w:p>
    <w:p>
      <w:pPr>
        <w:tabs>
          <w:tab w:val="right" w:pos="9128" w:leader="dot"/>
        </w:tabs>
        <w:spacing w:after="100"/>
      </w:pPr>
      <w:r>
        <w:rPr>
          <w:rFonts w:ascii="Times New Roman" w:cs="Times New Roman" w:eastAsia="Times New Roman" w:hAnsi="Times New Roman"/>
          <w:sz w:val="22"/>
          <w:szCs w:val="22"/>
        </w:rPr>
        <w:t xml:space="preserve">12. Publications Summary	49</w:t>
      </w:r>
    </w:p>
    <w:p>
      <w:pPr>
        <w:tabs>
          <w:tab w:val="right" w:pos="9128" w:leader="dot"/>
        </w:tabs>
        <w:spacing w:after="100"/>
      </w:pPr>
      <w:r>
        <w:rPr>
          <w:rFonts w:ascii="Times New Roman" w:cs="Times New Roman" w:eastAsia="Times New Roman" w:hAnsi="Times New Roman"/>
          <w:sz w:val="22"/>
          <w:szCs w:val="22"/>
        </w:rPr>
        <w:t xml:space="preserve">13. Research Plan	50</w:t>
      </w:r>
    </w:p>
    <w:p>
      <w:pPr>
        <w:tabs>
          <w:tab w:val="right" w:pos="9128" w:leader="dot"/>
        </w:tabs>
        <w:spacing w:after="100"/>
      </w:pPr>
      <w:r>
        <w:rPr>
          <w:rFonts w:ascii="Times New Roman" w:cs="Times New Roman" w:eastAsia="Times New Roman" w:hAnsi="Times New Roman"/>
          <w:sz w:val="22"/>
          <w:szCs w:val="22"/>
        </w:rPr>
        <w:t xml:space="preserve">References	52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increased the demand for secure and trustworthy data sharing among independent stakeholders, including individuals, healthcare providers, regulators, researchers, and third-party processors [1–3]. Healthcare is a particularly challenging case, because patients, professionals, guardians, researchers, and organisations all participate in data sharing [4, 5], while the data is highly sensitive and strictly governed.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rely on centralised identity providers, institution-specific authentication, and relatively static permissions [9, 10]. These approaches are effective within one organisational boundary, but not when a decision requires patients, guardians, healthcare professionals, and institutional authorities, none of whom may hold sufficient authority alone [4, 11]. Therefore, authorisation is increasingly a distributed governance problem rather than simply a process of authenticating a user and checking a static permission.</w:t>
      </w:r>
    </w:p>
    <w:p>
      <w:pPr>
        <w:spacing w:after="110" w:line="264"/>
        <w:jc w:val="both"/>
      </w:pPr>
      <w:r>
        <w:rPr>
          <w:rFonts w:ascii="Times New Roman" w:cs="Times New Roman" w:eastAsia="Times New Roman" w:hAnsi="Times New Roman"/>
          <w:sz w:val="22"/>
          <w:szCs w:val="22"/>
        </w:rPr>
        <w:t xml:space="preserve">Blockchain provides tamper-resistant recording and distributed auditability [3, 12], and decentralised identifiers reduce reliance on a central identity provider. Verifiable credentials provide cryptographic evidence of roles and authority [13, 14], and policy-based mechanisms restrict access to authorised resources [9, 10, 15]. However, an immutable consent record does not demonstrate that the participants were legitimate, that they held the required authority, or that a later request remains within the authorised conditions. Consequently, consent must be treated as an active and evaluable component of authorisation rather than a static record of permission, extending the dynamic consent perspective [6, 16].</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improve integrity and auditability, but consent usually remains a passive artefact, separated from identity, authority, policy, and the resulting access decision. Similarly, successful authentication establishes that an entity has been identified, but not that it has the authority to access a particular patient's information. When guardians, professionals, or institutional authorities must also approve, no single participant should decide alone, and a request may still exceed the authorised purpose or data scope.</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 mechanism that conjoins identity, authority, multi-party approval, policy, temporal, and lifecycle conditions in every access decision. That conjunction must also be assured both formally and empirically. Section 2 shows that each of these mechanisms already exists. They include decentralised identity and verifiable credentials [17, 18], blockchain-based consent records [19, 20], multi-party approval [19, 21–23], policy-based access control [24–27], and several partial combinations [17, 21, 28]. However, they are usually investigated separately. The overarching research question is how a trust-oriented computing framework can establish and enforce trustworthy multi-party consent for decentralised healthcare data sharing under identity, authority, and policy constraints.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This research adopts a Trust Computing perspective, in which trustworthy data access emerges from the coordinated verification of multiple conditions rather than from any single technology. Trust Computing denotes the evaluation of trust as a computable outcome of explicitly verified conditions on identity, authority, collective approval, policy, and lifecycle. It should be distinguished from trusted computing in the hardware sense, such as trusted execution environments and attestation, which lies outside the scope of this research.</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while authority concerns whether that participant holds the relevant role or permission. Multi-party authorisation concerns whether the required threshold of independently verified participants has approved, and policy compliance concerns whether the request remains within the authorised purpose and data scope. Accordingly, the framework treats patient consent as a structured authorisation object, C = (I, A, P, T, L, E), which connects the participants, authority requirements, policy constraints, temporal and jurisdictional conditions, and supporting evidence.</w:t>
      </w:r>
    </w:p>
    <w:p>
      <w:pPr>
        <w:spacing w:after="110" w:line="264"/>
        <w:jc w:val="both"/>
      </w:pPr>
      <w:r>
        <w:rPr>
          <w:rFonts w:ascii="Times New Roman" w:cs="Times New Roman" w:eastAsia="Times New Roman" w:hAnsi="Times New Roman"/>
          <w:sz w:val="22"/>
          <w:szCs w:val="22"/>
        </w:rPr>
        <w:t xml:space="preserve">RO1 to RO4 form the foundational scope, namely the trust-centric consent model, decentralised identity and authority trust, trustworthy multi-party authorisation, and policy- and context-aware access control, and are completed with validation and evaluation at the current stage. RO5 adds temporal validity and lifecycle trust, because an approved consent may later become invalid through expiration, revocation, or a lifecycle change. RO6 concerns formal security assurance and empirical validation. RO5 and RO6 are in progress, and part of each has already been delivered. In particular, the temporal and revocation controls of RO5 and the scenario-based empirical validation of RO6 have been realised in the HALAH (History Access Link for Authorised Healthcare) prototype. Formal security analysis has not yet been undertaken and remains the subject of the next research stage.</w:t>
      </w:r>
    </w:p>
    <w:p>
      <w:pPr>
        <w:spacing w:after="110" w:line="264"/>
        <w:jc w:val="both"/>
      </w:pPr>
      <w:r>
        <w:rPr>
          <w:rFonts w:ascii="Times New Roman" w:cs="Times New Roman" w:eastAsia="Times New Roman" w:hAnsi="Times New Roman"/>
          <w:sz w:val="22"/>
          <w:szCs w:val="22"/>
        </w:rPr>
        <w:t xml:space="preserve">The scope of the current stage is bounded. HALAH runs on the Ethereum Sepolia testnet with synthetic healthcare records, and the guardian approval rule is currently implemented as N-of-N over the guardian set G. Security properties are demonstrated through scenario-based, negative, and adversarial testing rather than formal proof.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examines how existing approaches to decentralised healthcare data sharing address the conditions of a trustworthy authorisation decision, and where gaps remain. Healthcare [4, 6–8, 29], multi-party trust [3, 15, 30–32], decentralised identity [13, 14, 33–36], and access-control research [9, 10, 37, 38] have each contributed mechanisms, but these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A healthcare consent decision passes through specification and approval, enforcement at each data-access request, and maintenance or withdrawal over time.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Consent should be a structured object whose identities, authority requirements, purpose and data scope, temporal validity, jurisdiction, and evidence can each be evaluated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Participants should be identifiable without a central identity provider, with identity and authority verified as separate conditions, each with its own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Every request should be evaluated against the authorised purpose, data scope, and contextual constraints such as jurisdiction, because many unauthorised disclosures are caused by legitimate requesters who exceed their scope [38].</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Every decision should leave independently verifiable evidence, and security properties should be validated formally or through systematic adversarial testing, including refusal of unsuccessful cases.</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followed the PRISMA 2020 statement [39] and a written protocol (Protocol v1.1), which fixed the review questions, databases, master query, eligibility criteria, codebook, and quality items before screening. Six review roles covered five perspectives and a chair who issued the final decision on each record. The counts reported here are those of the decision-log checkpoint of 10 September 2026 (decision D-166).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sz w:val="22"/>
          <w:szCs w:val="22"/>
        </w:rPr>
        <w:t xml:space="preserve">The search covered IEEE Xplore, SpringerLink, ProQuest Science and Technology, ScienceDirect, Scopus, Web of Science, and the ACM Digital Library, with Google Scholar as a discovery arm reported separately. One master query of three concept blocks joined by AND, covering healthcare data, consent and authorisation, and trust and multi-party concepts, was adapted only to each platform's field syntax.</w:t>
      </w:r>
    </w:p>
    <w:p>
      <w:pPr>
        <w:spacing w:after="110" w:line="264"/>
        <w:jc w:val="both"/>
      </w:pPr>
      <w:r>
        <w:rPr>
          <w:rFonts w:ascii="Times New Roman" w:cs="Times New Roman" w:eastAsia="Times New Roman" w:hAnsi="Times New Roman"/>
          <w:sz w:val="22"/>
          <w:szCs w:val="22"/>
        </w:rPr>
        <w:t xml:space="preserve">The searches were executed on 24 and 25 August 2026, and the ACM Digital Library was searched on 5 September 2026 as a late arm, which is declared as a limitation. A sentinel test of twelve papers defined in advance was used to check the recall of the master query. All four healthcare-scoped sentinels [19, 20, 40, 41] were retrieved.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sz w:val="22"/>
          <w:szCs w:val="22"/>
        </w:rPr>
        <w:t xml:space="preserve">Inclusion required healthcare data (IC1), consent, authorisation, access control, trust, or governance relevant to data access (IC2), and a mechanism, model, system, or evaluation relevant to a review question (IC3). Studies also had to be peer-reviewed English papers with full text, published from January 2020 to the 2026 search date (IC4 to IC7). Nine exclusion criteria (EC1 to EC9) removed, among others, non-healthcare studies, secondary reviews, and superficial mentions of consent. No study was excluded for failing to support the proposed research gap.</w:t>
      </w:r>
    </w:p>
    <w:p>
      <w:pPr>
        <w:spacing w:after="110" w:line="264"/>
        <w:jc w:val="both"/>
      </w:pPr>
      <w:r>
        <w:rPr>
          <w:rFonts w:ascii="Times New Roman" w:cs="Times New Roman" w:eastAsia="Times New Roman" w:hAnsi="Times New Roman"/>
          <w:sz w:val="22"/>
          <w:szCs w:val="22"/>
        </w:rPr>
        <w:t xml:space="preserve">The seven database searches returned 9,256 records, or 6,039 unique records after deduplication. After title and abstract screening, 1,800 records advanced to full text and were read in a prioritised order under a dimension-level saturation rule. Saturation is declared when eight consecutively coded studies with a positive signal for a dimension yield no new mechanism class. At the checkpoint, 44 reports had been coded in full and had passed the quality gate, whereas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[41, 42], they form the 25 primary studies, S1 to S25. Figure 1 presents the PRISMA 2020 flow diagram, whose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[43] describe the iAgree portal across three United States health systems with a permissioned Ethereum audit contract, but consent enforcement is outside its scope. Tremper et al. [44] report ten years of the Mainzelliste service with FHIR consent directives, but specify no check semantics and no demonstrated enforcement of withdrawal. Neither study involves more than one authorising party, and the supporting references treat consent as a boolean grant [45, 46] or as conditions fixed at encryption time [47, 48].</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[17]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[49] is design-only. Tseng et al. [50]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[19] require a regulator and a guardian threshold on the incapacitated path, but a single patient key suffices on the normal path. Wu et al. [51] apply a (t, n) investigator threshold to record admission and revocation, and Abbasi et al. [52] use a Shamir (5, 3) threshold for key custody. Punia et al. [21] conjoin an M-of-N multi-signature with an attribute and role policy, but a single emergency officer can bypass the threshold. Tan et al. [22] use patient-appointed verifiers as a contingency, and [23, 53] report guardian co-consent at registration time. No reviewed study evaluates a threshold predicate over a patient-designated guardian set on every request. None does so together with the policy, temporal, and jurisdictional conditions.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Tith et al. [20] match a purpose tree in chaincode, and Jaiman and Urovi [40] match ontology terms against the patient's consent. Albalwy et al. [41] evaluate a hashed policy tree of data type, role, and purpose, and Román-Martínez et al. [26] evaluate the FHIR purpose-of-use through XACML. T4 is coded Yes in 11 studies, Partial in 10, and No in 4. However, purpose-of-use enters the decision in only six studies [20, 24–26, 40, 41],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Eneh et al. [24] present EdgeConsent, the first study to enforce temporal validity inside the decision predicate, although its lifecycle is only an active flag. Hema et al. [54] bind the expiry into key derivation, and Panagoulias et al. [25] enforce revocation at decision time across 43,500 simulated attempts in a single-node ledger. Li et al. [42] enforce time on a credential rather than on the consent. T5 is coded Yes in 8 studies and T6 in 7, a post-revocation denial is demonstrated only by [17], [25], and [24],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Wu and Zhang [18] present HealthDID, with three game-based definitions and three theorems proved by reduction, the first complete formal assurance in the corpus, although only for the identity and authority fragment. Zhao and Su [55] and Maruthi and Singh [56] prove threshold gates in isolation, and Mei et al. [57] prove a static encryption predicate. Formal assurance is coded Yes in only 4 of the 25 studies, and empirical validation Yes in 5, Partial in 19, and No in 1.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Each study's strength on one requirement coincides with an absence on another.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[52]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[41]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[58]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[23]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[24]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[53]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[40]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[55]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[42]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[19]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[56]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[57]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[25]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[17]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[49]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[21]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[26]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[54]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[43]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[22]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[20]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[44]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[18]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[19] and [25], and five studies fully satisfy none. Third, Req 1 with Req 4 is the most frequent pair, in seven studies, whereas Req 2 and Req 4 never co-occur in full. Req 3 co-occurs with Req 4 only in [21], whose threshold lies outside the policy predicate and whose policy carries no purpose term. Similarly, Req 3 co-occurs with Req 6 only in [55, 56]. Fourth, the two quadruples are complementary, since [19] lacks policy and assurance, whereas [25] lacks multi-party approval and identity depth.</w:t>
      </w:r>
    </w:p>
    <w:p>
      <w:pPr>
        <w:spacing w:after="110" w:line="264"/>
        <w:jc w:val="both"/>
      </w:pPr>
      <w:r>
        <w:rPr>
          <w:rFonts w:ascii="Times New Roman" w:cs="Times New Roman" w:eastAsia="Times New Roman" w:hAnsi="Times New Roman"/>
          <w:sz w:val="22"/>
          <w:szCs w:val="22"/>
        </w:rPr>
        <w:t xml:space="preserve">The contribution of the framework is not the replacement of existing technologies but an explicit and verifiable relationship among them, in which the consent object C carries the identity, authority, threshold, policy, temporal, and lifecycle conditions together. The final row of Table 1 states the position targeted by the framework.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Across the corpus, Req 3 is the least satisfied requirement.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of this research. Read on their own, the background surveys cited in Sections 1 and 2 suggest that multi-party authorisation of patient consent does not exist. However,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framework is positioned against both gaps. Each of Req 1 to Req 6 also leaves a requirement-level gap, termed Gap 1 to Gap 6.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1,800 full-text records were read in a prioritised order under the saturation rule, and a single panel performed the coding. Consequently,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 Section 2 established that the mechanisms required for trustworthy consent authorisation exist individually but are commonly investigated as independent technical solutions. The few studies that coordinate several of them in one decision [17, 21, 25, 28, 59]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but rather the absence of an integrated model explaining how these mechanisms collectively establish a trustworthy authorisation decision. Many consent-oriented approaches still treat consent primarily as a record or a Boolean flag [45, 46, 60]. Even the evaluable consent objects reported since 2020 [17, 20, 24, 41, 59] carry only a subset of the conditions and are issued by a single party. Such a model establishes evidence that a consent decision occurred. It does not necessarily establish that the requester possesses the required authority, that all required parties have independently approved the access, or that the requested operation is consistent with the authorised purpose and data scope.</w:t>
      </w:r>
    </w:p>
    <w:p>
      <w:pPr>
        <w:spacing w:after="110" w:line="264"/>
        <w:jc w:val="both"/>
      </w:pPr>
      <w:r>
        <w:rPr>
          <w:rFonts w:ascii="Times New Roman" w:cs="Times New Roman" w:eastAsia="Times New Roman" w:hAnsi="Times New Roman"/>
          <w:sz w:val="22"/>
          <w:szCs w:val="22"/>
        </w:rPr>
        <w:t xml:space="preserve">Recording consent and enforcing trustworthy authorisation are different security problems. For example, a blockchain may provide an immutable representation of a consent event [10, 15], but immutability does not establish the legitimacy of the entities involved. Similarly, a valid decentralised identity can establish who a participant is [13], but not what that participant is authorised to do. Multi-party approval can strengthen collective decision-making, but in the reviewed studies it is never conjoined with a purpose or data-scope condition [19, 21, 22]. From a Trust Computing perspective, trustworthy access is therefore the outcome of several independently verified conditions that are all satisfied together.</w:t>
      </w:r>
    </w:p>
    <w:p>
      <w:pPr>
        <w:spacing w:after="110" w:line="264"/>
        <w:jc w:val="both"/>
      </w:pPr>
      <w:r>
        <w:rPr>
          <w:rFonts w:ascii="Times New Roman" w:cs="Times New Roman" w:eastAsia="Times New Roman" w:hAnsi="Times New Roman"/>
          <w:sz w:val="22"/>
          <w:szCs w:val="22"/>
        </w:rPr>
        <w:t xml:space="preserve">There therefore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In the reviewed studies, the approving set is either defined on the institutional or delegate side [21, 51, 55], or appointed by the patient [22, 56]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following terms are used throughout the remaining sections.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deliberately emphasises trust-oriented computing rather than any individual implementation technology.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main research question is operationalised through six sub-research questions, which progress from consent modelling to formal security assurance.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In this object, I represents the participating identities and A represents the authority requirements, namely the guardian set G and the threshold N. P represents the purpose and data-scope constraints, T the temporal validity window, L the jurisdictional constraint, and E the authorisation evidence, including whether the consent remains active or has been revoked.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research questions are not independent technical questions. RQ1 establishes the consent representation, RQ2 establishes participant trust, and RQ3 uses trusted participants to establish collective authorisation. RQ4 adds policy enforcement, RQ5 adds temporal and lifecycle control, and RQ6 provides security assurance and validation of the whole. The integrated authorisation condition is expressed in Equation (2), where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Consequently, failure of any individual condition results in denial. RQ6 is not another authorisation condition evaluated at runtime, but an assurance layer over the mechanisms established by RQ1 to 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gap into concrete research and development activities. The programme consists of six objectives, each corresponding to one research question and each examinable conceptually, technically, and, where appropriate, empirically.</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consent can be evaluated when a subsequent data-access request is made. RO1 addresses RQ1 and defines the information required before consent can be interpreted as an authorisation decision rather than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an identity and authority verification mechanism using decentralised identifiers and verifiable credentials. It establishes trustworthy participants while explicitly separating identity authentication from authorisation authority, and it provides the trust inputs required by multi-party authorisation. RO2 addresses RQ2 and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jointly establish a trustworthy consent decision. In the implemented framework, the designated guardians are defined at consent creation and each EIP-712 approval is verified through signature recovery. A valid signature is required from every listed guardian, so the threshold equals |G|, an N-of-N condition demonstrated in the 2-of-2 configuration. RO3 addresses RQ3 and prevents unilateral authorisation where collective approval is required.</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enforce purpose and healthcare data-scope constraints as explicit and evaluable conditions of access. In the implemented framework, the policy mechanism evaluates whether the requested purpose is consistent with the consent. It rejects any request whose data scope is not a non-empty subset of the authorised EMR modules. Consequently, a valid identity and sufficient multi-party approval cannot be used to obtain healthcare information outside the authorised scope. RO4 addresses RQ4, so that RO1 to RO4 together establish representation, verification, collective authorisation, and policy enforcement.</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addresses RQ5 by ensuring that an authorisation remains valid only within its permitted time interval and lifecycle state. Part of this objective is already implemented in the current prototype. The prototype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records notBefore and expiry on-chain within the consent token. It also implements end-to-end revocation, including an on-chain revoke transaction, and manages the consent through an explicit lifecycle state machine.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addresses RQ6 by formally analysing and empirically evaluating whether the implemented framework satisfies its trust and authorisation properties under representative healthcare data-sharing scenarios. The empirical component has been partially delivered. In particular, 36 automated tests cover signature rejection, proof tampering, and twelve attack scenarios against the components of C and the contract. Preliminary measurements of on-chain cost, confirmation latency, and processing time have been obtained. A live out-of-jurisdiction request against a consent anchored on the deployed Sepolia contract was refused by the application. However,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RO1 to RO4 are delivered in CA2, together with their validation and evaluation through the implemented prototype. As stated in Section 1, RO5 and RO6 are partially completed. Their remaining work is detailed in Section 10 and Section 11, and its schedule is presented in Section 13. The distinction between the current and next stages is therefore based on research scope and maturity rather than on a different set of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as the implementation foundation for the trusted multi-party consent management framework. Within the framework, MVC separates the representation of consent, the interaction of independent stakeholders, and the enforcement of security-critical authorisation decisions. A consent decision may involve patients, guardians, healthcare professionals, and auditors with different identities, authorities, and responsibilities. Consequently, the system cannot rely on a single authentication event or a static permission entry.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The architecture consists of three complementary layers. The View is the interaction boundary with independent healthcare stakeholders, the Controller is the security decision and coordination boundary, and the Model holds the persistent trust, consent, policy, and authorisation state. As shown in Figure 3, sensitive healthcare data are positioned outside the three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a role-specific View interface represents a request or claim rather than a trusted authorisation outcome. The Controller coordinates identity, credential, and authority verification, multi-party approval evaluation, policy and data-scope evaluation, and final authorisation, and it generates the audit evidence for each decision.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the functional decomposition of each layer. The View is decomposed into the patient, guardian, healthcare professional, and auditor interfaces, none of which independently determines whether access should be granted. The Controller is decomposed into six conceptual security functions: Identity Verification, Authority Verification, Approval Aggregation, Policy Enforcement, the Decision Engine, and Audit Coordination. The Model is decomposed into seven state representations: DID, VC, Consent, Approval, Policy, Evidence, and Lifecycle.</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layers cooperate through a controlled authorisation sequence rather than through unrestricted direct communication. As shown in Figure 5, the Controller coordinates a sequence of trust predicates representing the conditions established by the sub-research questions.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purpose and data-scope restrictions of the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its recorded jurisdictional constraint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is the rule of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create these trust conditions but evaluates evidence represented by the Model, and both successful and unsuccessful decisions produce authorisation evidence that supports accountability and subsequent verification. The architecture establishes four explicit trust boundaries. The View cannot be treated as a trusted source of authorisation decisions, and the Controller prevents access to protected healthcare data when the required trust conditions are not satisfied. A consent record, credential, or approval record in the Model cannot independently produce an access decision, and the protected data are reached only through the authorisation path enforced by the Controller. The framework does not claim that MVC itself provides security, since security arises from placing trust-sensitive operations within the Controller and representing security state within the Model. In the present prototype, the Controller is a single trusted server that both evaluates the predicates and writes the audit ledger.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specifying the purpose, permitted data scope, and other authorisation conditions. Decentralised identity and authority verification then follows using DIDs and VCs [13]. A verified DID or VC identifies a participant but does not by itself grant permission to access patient data. The framework then collects independent approvals and evaluates the threshold condition of Equation (3), where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denotes the set of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verified approvals contribute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so an arbitrary number of unverified or unauthorised approvals cannot satisfy the multi-party authorisation requirement. This distinguishes the framework from reviewed systems in which joint approval is a contingency path [19], a witness or notary threshold [22], a registration-time co-consent [23, 53], an institution-side admission gate [51], a custodial M-of-N signature [21], or a key-share reconstruction [52, 56].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On the access path, a consent whose threshold has not been satisfied leads to a denial decision. A request against an active consent is also evaluated against the purpose and data-scope constraints of the consent object. For example, if a consent permits access to Observation and Medication, a request that additionally contains Procedure is denied because it exceeds the authorised scope. A valid identity and sufficient multi-party approval are necessary but not sufficient conditions for access. Both successful and denied decisions should be recorded for accountability,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provides a direct implementation structure for the research objectives, as summarised in Table 2. RO1 is primarily represented in the Model through the trust-aware consent object C = (I, A, P, T, L, E). RO2 is implemented through the identity and authority verification mechanisms coordinated by the Controller, and RO3 through the multi-party approval and threshold evaluation process. Similarly, RO4 is implemented through the policy evaluation mechanisms that constrain the authorised purpose and healthcare data scope. RO5 is realised through the temporal and lifecycle state held in the Model and the predicates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evaluated by the Controller. RO6 operates across all three layers,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evaluable consent object as such is already present in the literature [17, 20, 24, 41]. The innovation is the conjunction in which the effectiveness of the consent depends on the joint satisfaction of identity, authority, collective approval, policy, temporal, and jurisdictional conditions on every access decision. The blockchain is not treated as the source of trust but strengthens the integrity, non-repudiation, and auditability of the evidence generated by the authorisation process [10, 15].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This object formally specifies what the patient intends to authorise, who may participate in authorisation, which healthcare data may be accessed, and under what conditions. The consent object is defined by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the authorisation requirements, P the policy constraints, T the temporal validity window, and L the jurisdiction in which the consent may be exercised. E represents the authorisation evidence. The model therefore separates the specification of consent from the final access decision. A consent object does not automatically authorise every subsequent request. Instead, it provides the conditions against which a request is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The workflow begins with a patient request and ends with a structured consent record that subsequent authorisation services can verify. In the HALAH implementation, the patient interface allows the patient to select a patient DID, an authorised doctor, and guardian DIDs. The patient also selects healthcare data modules such as Observation, Medication, Condition, and Procedure, together with the start and expiry time of the consent. In the current interface, the purpose is fixed to Treatment and is not selected by the patient. The purpose vocabulary check is therefore exercised by the automated tests rather than by the interface.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when the expiry time is later than the start time. After validation, the system creates the consent object, assigns a consent identifier, persists the record, and records the creation event in the audit layer.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presents the structure of the resulting consent object, showing each of the six components of C = (I, A, P, T, L, E), its content in the HALAH system, and the party that supplies it. The patient supplies the identity, authority, data-scope, temporal, and jurisdictional components. The purpose is presently fixed to Treatment by the interface. The system generates the threshold N = |G| and the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temporal component defines the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where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the consent start time and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is the expiration time. Unlike the consent objects reported in the literature [17, 20, 24, 41, 59],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creation procedure validates the participating entities, consent purpose, data scope, and temporal constraints in sequence before the consent is persisted. The system first validates the patient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and terminates with REJECT if it cannot be validated. It then validates the authorised doctor D and the guardian set G, which prevents an arbitrary third party from being treated as the patient's authorised representative. The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so that consent covers explicitly defined FHIR resources rather than the entire healthcare record, which establishes the principle of least privilege.</w:t>
      </w:r>
    </w:p>
    <w:p>
      <w:pPr>
        <w:spacing w:after="110" w:line="264"/>
        <w:jc w:val="both"/>
      </w:pPr>
      <w:r>
        <w:rPr>
          <w:rFonts w:ascii="Times New Roman" w:cs="Times New Roman" w:eastAsia="Times New Roman" w:hAnsi="Times New Roman"/>
          <w:sz w:val="22"/>
          <w:szCs w:val="22"/>
        </w:rPr>
        <w:t xml:space="preserve">The system then requires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and validates the jurisdiction L. It defines the authorisation requirement A, and the Consent Service generates a universally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when the patient submits the consent. Possession of the identifier alone grants no access, because every subsequent request is evaluated by the complete decision rule. The smart contract assigns the on-chain token identifier separately, only when the consent is activated. Finally, the system constructs C, persists it, and records the creation evidence, giving the sequence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Algorithm 1 formalises this procedure.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does not grant data access directly. Instead, it creates a consent object that the authorisation mechanism later evaluates. The consent is placed in the PENDING_SIGNATURE state, and nothing is anchored on-chain until all guardians approve. The research treats consent as a structured policy-bound object rather than as a simple Boolean permission. The algorithm also links RO1 to the remaining objectives. RO2 uses the identity and authority information in I, RO3 evaluates the authorisation requirements in A, and RO4 evaluates the policy constraints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The HALAH patient interface creates the consent object, assigns the identifier, and records the creation event in the audit layer. In the current prototype, the identity validation of the first three steps is structural. In particular, the patient DID is selected from the loaded record set, and each guardian DID must be a well-formed DID before the consent is stored.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separation of identity authentication from authorisation authority is stated in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[13]. Neither mechanism automatically grants access to patient data. Instead, the verified identity and authority information become inputs to the subsequent authorisation process, whose final decision depends on the consent requirements and the access policy. The identity verification condition is expressed by Equation (7), where u is the requesting participant.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retrieves the associated VC, checks its validity, and examines its claims against the authority required by the consent. As shown in Figure 9, the output of RO2 is not an access-grant decision but a verified identity and authority result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its DID, the attributes in its VC, and the authority requirements of the consent object C. The system first resolves the DID of u and verifies the DID document, including its verification methods and public keys. It then retrieves the VC, which provides machine-verifiable claims such as professional role, organisational affiliation, or delegated authority. In the target design, the credential is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That is, it must carry a valid signature from an acceptable issuer, refer to the current participant, and remain within its validity period.</w:t>
      </w:r>
    </w:p>
    <w:p>
      <w:pPr>
        <w:spacing w:after="110" w:line="264"/>
        <w:jc w:val="both"/>
      </w:pPr>
      <w:r>
        <w:rPr>
          <w:rFonts w:ascii="Times New Roman" w:cs="Times New Roman" w:eastAsia="Times New Roman" w:hAnsi="Times New Roman"/>
          <w:sz w:val="22"/>
          <w:szCs w:val="22"/>
        </w:rPr>
        <w:t xml:space="preserve">The system then extracts the role and authority claims of u, which may identify a doctor, guardian, researcher, auditor, or another authorised participant. These claims are compared against the consent requirements, such that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of u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authority requirements defined by C. The system binds the verified identity to the corresponding authority, so that an unrelated credential cannot be used to obtain access. Consequently, the mechanism is a two-layer verification in which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The overall process follows the sequence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It returns INVALID at the first failed mandatory verification condition. Otherwise, it records the identity and authority evidence and returns VALID. This evidence may include the resolved DID, the verification status, the credential identifier, the issuer information, the relevant authority claims, and the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treats identity verification and authority verification as related but distinct operations. A participant may possess a valid DID while lacking the authority required by the consent. Similarly, a credential may be structurally valid but irrelevant to the specific authorisation requirement. Accordingly, the algorithm verifies both credential validity and authority relevance. However, it does not independently establish collective consent or policy compliance, which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that a participant's identity can be verified independently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RQ3, which is addressed by RO3. RO3 develops a threshold-based multi-party authorisation mechanism for consent approval. The objective is to ensure that sensitive healthcare data cannot be accessed through unilateral approval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valid approvals and let N denote the required authorisation threshold. Equation (8) defines the threshold predicate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over the consent object C.</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The threshold mechanism establishes collective authorisation. It follows the threshold-committee principle of decentralised identity systems [33, 34], but applies it to consent approval rather than to credential issuance.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identifies the participants required by the consent, and each participant must submit an independently verifiable approval. Invalid approvals are rejected, and the authorisation becomes active only when the number of valid approvals reaches the threshold. As shown in Figure 10, the Guardian workflow verifies the guardian VC, appends the guardian DID to the consent signatures, and displays the approval count relative to the threshold.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Trust is established by participant verification and threshold satisfaction, whereas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This substitution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retrieves the required participant set G of the consent object C and the threshold N, which must satisfy 1 ≤ N ≤ |G|. A submitted approval a remains a candidate contribution until the identity and authority of the participant have been verified through Algorithm 2. If this verification fails, the approval is classified as invalid and DENY is returned for that attempt.</w:t>
      </w:r>
    </w:p>
    <w:p>
      <w:pPr>
        <w:spacing w:after="110" w:line="264"/>
        <w:jc w:val="both"/>
      </w:pPr>
      <w:r>
        <w:rPr>
          <w:rFonts w:ascii="Times New Roman" w:cs="Times New Roman" w:eastAsia="Times New Roman" w:hAnsi="Times New Roman"/>
          <w:sz w:val="22"/>
          <w:szCs w:val="22"/>
        </w:rPr>
        <w:t xml:space="preserve">The system then checks that u ∈ G holds, and an approval from outside G is recorded as an unauthorised approval attempt. It also checks whether the participant has already approved C, which prevents a single participant from satisfying the threshold through repeated approvals. Only an approval that passes the identity, authority, membership, and duplicate checks is added to the valid approval set,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system activates the authorisation, generates activation evidence, and records a threshold-satisfied event. The evidence may include the consent identifier, the threshold N, the identities of the approving participants, and the approval timestamps.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consent remains PENDING, and a threshold-pending event is recorded, so that the remaining requirement can be reconstructed during subsequent verification or audit. Equation (9) represents the complete procedure.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Therefore, the threshold counts only valid, authorised, eligible, and non-duplicate approvals rather than all submitted approvals. An individual approval represents one participant's contribution, whereas authorisation is activated only when the collective evidence satisfies the predefined threshold. From a trust perspective, the procedure can be interpreted as the progression given in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formalises the procedure and explicitly distinguishes between invalid, duplicate, and valid approvals. This distinction is necessary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Consequently,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Algorithm 2 establishes whether an individual participant possesses a valid identity and sufficient authority, whereas Algorithm 3 determines whether enough independently verified participants have collectively approved the consent. The resulting activation evidence is consumed by the policy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When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cannot establish valid authorisation until the required number of independently verified participants has approved it. In particular,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framework enforces collective rather than unilateral authorisation. The implemented threshold is derived from the designated guardian set as N = |G|. The prototype therefore enforces an N-of-N instantiation of Equation (8), and it has been evaluated in the 2-of-2 configuration. The unit-level adversarial tests include an approval from a signer outside G and a repeated approval from the same guardian.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RQ4, which is addressed by RO4. RO4 develops a policy-aware authorisation mechanism that evaluates the purpose and data scope of a requested operation against the constraints defined by the consent. A valid identity and sufficient approval do not necessarily imply that every requested operation is permitted.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Let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 the data scope authorised by the consent and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denote the data scope requested by the participant.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combines purpose compatibility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with data-scope compatibility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The complete authorisation decision enforced by the implemented system is the conjunction of the five verification predicates in Equation (16). The predicates are evaluated at every access request. In the current version, each request against an ACTIVE consent has its decision matrix recorded in the audit ledger with the GRANTED or DENIED outcome.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When a doctor requests patient data, the system retrieves the consent object, verifies the participant, and checks the multi-party authorisation before evaluating the requested purpose and data scope. As shown in Figure 11, the Doctor interface retrieves a consent, evaluates its state, and allows a requested scope to be selected from the consent scope. It then generates a proof, checks the requested scope, and invokes the authorisation function before returning data.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Algorithm 4 defines the access decision for a request R = (u,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Jur(R)) at the current time t.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performs policy evaluation after identity and multi-party authorisation verification but before data release, so that neither identity validity nor collective approval is treated as unrestricted permission. The decision is the conjunction of identity validity, active consent, sufficient multi-party approval, purpose compatibility, scope containment, temporal validity, and jurisdictional match. An empty request scope is also refused, because the scope condition requires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to be non-empty. Once the request is authorised, the system retrieves only data within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In the HALAH implementation, the access-evidence step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 proof constitutes the access evidence required by Algorithm 4 before any data are retrieved.</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checked against the supported vocabulary of Treatment, Research, and Emergency and is stored on-chain as keccak256(purpose).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is presently evaluated over the consent purpose rather than over a requester-declared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The refusal that follows revocation is therefore evidenced by the interface and the automated tests rather than by a ledger row.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and represents the third layer of the foundational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In the prototype, the scope condition is enforced by a separate scope check at request time rather than within the logged predicate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Accordingly, an over-scope request is refused with the scope named as the failed check, and the interface itself offers only the authorised modules. This refusal is exercised by the unit-level adversarial tests.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and a denial against an ACTIVE consent is also recorded in the audit ledger with the complete decision matrix. Input validation on consent creation and access requests prevents malformed identifiers, scopes, and jurisdictions from reaching the decision logic. The procedure therefore implements the principle of least privilege through the explicit 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Even a participant with a valid DID, a valid VC, and sufficient authority cannot retrieve healthcare resources outside the scope authorised by the consent.</w:t>
      </w:r>
    </w:p>
    <w:p>
      <w:pPr>
        <w:spacing w:after="110" w:line="264"/>
        <w:jc w:val="both"/>
      </w:pPr>
      <w:r>
        <w:rPr>
          <w:rFonts w:ascii="Times New Roman" w:cs="Times New Roman" w:eastAsia="Times New Roman" w:hAnsi="Times New Roman"/>
          <w:sz w:val="22"/>
          <w:szCs w:val="22"/>
        </w:rPr>
        <w:t xml:space="preserve">From an architectural perspective, Algorithm 4 acts as the final policy-enforcement layer of the authorisation lifecycle. Algorithm 1 establishes the consent constraints, Algorithm 2 establishes identity and authority evidence, and Algorithm 3 establishes collective authorisation evidence. Algorithm 4 integrates this evidence with the specific access request and determines whether the requested healthcare data can be released. Healthcare data access is an evidence-based authorisation process rather than a simple credential-based permission check.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RQ5 investigates how an authorisation remains trustworthy as time passes and as the state of the consent changes. RO5 addresses this question by extending the foundational decision rule with temporal validity and consent lifecycle controls. This objective was originally planned for CA3, but its temporal and revocation controls have been brought forward and realised in the current HALAH prototype. Part of RO5 is therefore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The temporal condition requires that the current time t lies within the validity interval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of the consent object C = (I, A, P, T, L, E).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The jurisdictional condition compares the jurisdiction declared by the request R with the jurisdiction L recorded in the consent. Equation (21) defines the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L is validated and bound at consent creation. Consequently, the disjunct Jur(C) = ∅ is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The existence of a consent record does not imply that the consent remains usable at the time of a request. Consequently, RO5 makes the validity of a consent depend on both its temporal interval and its current lifecycle state, so that an expired or revoked consent cannot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temporal interval, the lifecycle state, and the revocation status of the consent before the remaining authorisation conditions. The access decision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The Consent Engine evaluates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 t ≤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at every access request.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The patient's withdrawal updates the application state and is confirmed as a revoke transaction on Sepolia in block 11,771,307. From that point, the contract itself reports the token as no longer valid, so any verifier that reads the chain observes the withdrawal.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the six states PENDING_SIGNATURE, PENDING_TOKEN, NOT_STARTED, ACTIVE, EXPIRED, and REVOKED.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sz w:val="22"/>
          <w:szCs w:val="22"/>
        </w:rPr>
        <w:t xml:space="preserve">Figure 13 summarises the implemented lifecycle and its anchored transitions. Revocation is accepted from any state that is not already REVOKED, and validity is re-established at each evaluated access request and recorded as a STATE_CHECK event in the audit ledger. Expiration and revocation already condition the demonstrated access decisions. However, the expiry path is not shown in the live demonstration, because a validity window long enough to be captured in screenshots cannot expire within the demonstration period.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What remains for CA3 is the dynamic and delegated dimension of lifecycle trust rather than temporal enforcement itself. It consists of the following elements.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state-transition model will be formalised so that unauthorised transitions are excluded by construction. Its central invariant is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of RO5 is a dynamic consent management mechanism that validates whether an authorisation remains active at the precise point of access, under varying temporal and consent-state constraints. The lifecycle invariant will be verified by model checking of the state machine or by proof over the predicate definitions, together with the formal component of RO6 described in Section 11. Consent validity will be treated as a function of time, lifecycle state, and revocation rather than as a permanent property of an approved consent.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RQ6 investigates whether the proposed trust-oriented authorisation framework satisfies its defined security and authorisation properties. RO6 combines formal security assurance, which specifies the conditions under which the mechanism should be considered secure and consistent, with empirical validation of whether the implemented system behaves according to those conditions. The scenario-based empirical half has been carried out on the HALAH prototype for RQ1 to RQ4, together with the temporal and revocation controls of RQ5.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security assurance and empirical validation.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validation defines the expected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and combines three scenario classes into the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obtain authorised access, and negative scenarios establish that invalid requests are correctly rejected. Adversarial scenarios examine whether the security controls resist deliberate attempts to circumvent the authorisation process. A scenario passes when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so successful execution is not treated as sufficient evidence of correctness. Equation (23) gives the soundness property in its foundational three-predicate form, under which every granted request satisfies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the denial property, under which a request must be denied when any mandatory condition is violated. In particular,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evidence consists of a suite of 36 automated tests, the live demonstration on the Sepolia test network on 24 September 2026, and the independent re-verification of every recorded transaction against the chain. The 23 functional and regression tests exercise per-dimension failures of the decision matrix, invalid EIP-712 guardian signatures, and tampered or expired zero-knowledge proofs. The 13 adversarial tests cover a baseline and twelve attack scenarios.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(History Access Link for Authorised Healthcare) prototype is a role-based consent management platform with separate patient, guardian, doctor, and auditor interfaces. Its consent token contract, ConsentSBTv3, was compiled in Remix and deployed to Sepolia through MetaMask as a soulbound ERC-721 token, so transfers between accounts are blocked. Each token stores the pseudonymous patient and requester addresses, a hash of the purpose, the validity window, a two-letter jurisdiction code, and a revocation flag. No medical content is written to the chain. The plaintext purpose is passed as a parameter of the mint transaction and is therefore visible in the public transaction input. All medical records used in the demonstration are synthetic.</w:t>
      </w:r>
    </w:p>
    <w:p>
      <w:pPr>
        <w:spacing w:after="110" w:line="264"/>
        <w:jc w:val="both"/>
      </w:pPr>
      <w:r>
        <w:rPr>
          <w:rFonts w:ascii="Times New Roman" w:cs="Times New Roman" w:eastAsia="Times New Roman" w:hAnsi="Times New Roman"/>
          <w:sz w:val="22"/>
          <w:szCs w:val="22"/>
        </w:rPr>
        <w:t xml:space="preserve">Two consent lifecycles appear in the demonstration. 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in block 11,771,581.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The patient specifies the Patient DID, the Authorised Doctor DID, the data access scope, the designated guardian DIDs, the jurisdiction, and the start and expiry times. These fields instantiate the consent object C = (I, A, P, T, L, E) of Section 6. As shown in Figure 15, all four EMR modules were selected, two guardians were designated, and the jurisdiction was AU.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Each guardian approves the consent with an EIP-712 typed-data signature that binds the approval to this consent, to this guardian, and to the Sepolia network (chainId 11155111). The system recovers the signer address and compares it with the address associated with the guardian DID. A signature produced for another consent, another guardian, or another chain is rejected, and a second signature from the same guardian is refused. As qualified in Section 7, cryptographic resolution of DIDs against a registry is reserved for CA3. In the implemented configuration, the threshold is N = |G|, so the demonstrated 2-of-2 approval is an N-of-N case of the threshold condition of Section 8. As shown in Figure 16, the second approval reaches the 2/2 threshold and the anchoring starts in the background.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enters an authorised Consent ID, and the decision matrix reports the outcome of each predicate individually. As shown in Figure 17, the five checks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all report PASS for a requester jurisdiction of AU, and the request must then be a non-empty subset of the authorised scope. The verification also generates and verifies a Groth16 zero-knowledge proof. Because the prover and the verifier run on the same server, the proof demonstrates the integration of the zero-knowledge toolchain rather than an additional privacy guarantee.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The same doctor repeated the request for the evaluated consent while declaring the requester jurisdiction as SA, whereas the consent was issued for AU. The decision matrix reports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consequently, ALLOW = FAIL, although the consent remains ACTIVE and all other checks pass. As shown in Figure 19, the request is refused with the failed check named explicitly, and the audit ledger records the result DENIED with the complete decision matrix.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consent is no longer active. As shown in Figure 20, the revocation is a publicly verifiable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The auditor subsystem reconstructs the complete sequence of events of a consent. As shown in Figure 21, the exported ledger held 60 events, of which five were anchored on Sepolia. The rows of the evaluated consent run from CREATE_CONSENT and the guardian signatures through the on-chain mint, the granted and denied access requests, and the revocation. Because an application ledger could in principle contain fabricated entries, an independent verification tool fetches the receipt of every recorded transaction from Sepolia and compares the on-chain revocation state of each token with the local state.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components of the framework to the implemented subsystems.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Two of them belong to an earlier trial consent on the previous contract deployment, and three belong to the current ConsentSBTv3 deployment. Gas used, gas price, and fee are read from the transaction receipts.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Figure 23 compares the gas used by the five transactions. On the current contract, the mint of token #1 used 196,406 gas, whereas its revocation used 32,980 gas, which is about one sixth of the mint. This is because a mint creates a token and writes a complete consent record, while a revocation changes only a single flag. The gas price remained between 1.04 and 1.10 gwei, so no fee exceeded 0.00021 ETH. However, Sepolia ether has no monetary value, so the portable measure of cost is the gas used rather than the fee.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presents the access decisions recorded in the audit ledger. Each of the five logged ALLOW decisions was followed by a GRANTED access, and all five record the proof mode groth16. The single logged DENY is the jurisdiction scenario, in which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failed while the other four predicates passed, and its ledger row records the proof check as passed and the scope as valid. Consequently, the refusal was produced by the decision matrix alone, and each of the six logged matrices agrees with the access result that followed it.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The decision rule was timed over 1,000 evaluations of the five predicates on a loaded consent object, without signature recovery.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with a median of 2.37 µs, and signature recovery takes about 11 ms per guardian. The Groth16 proof dominates the interactive path of an access request, with medians of 1,401.1 ms for generation and 465.3 ms for verification, which include process start-up as well as cryptographic work. At the median, one access request takes about 1.9 s in total, and more than 98 per cent of this time is spent on the proof.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tests assume honest infrastructure and exercise the decision functions, the proof verifier, the digest function of the audit ledger, and the contract at unit level.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each guardian signing key is derived from the public guardian DID.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together target every component of C and the contract at least once, and each is an automated unit test that applies the attack directly to the targeted component. A scenario is counted as refused when the targeted predicate fails and the decision is DENY, or when the scope check, the Groth16 prover or verifier, or the contract rejects the input. None of the tests drives the running application, its data store, or the Sepolia deployment.</w:t>
      </w:r>
    </w:p>
    <w:p>
      <w:pPr>
        <w:spacing w:after="110" w:line="264"/>
        <w:jc w:val="both"/>
      </w:pPr>
      <w:r>
        <w:rPr>
          <w:rFonts w:ascii="Times New Roman" w:cs="Times New Roman" w:eastAsia="Times New Roman" w:hAnsi="Times New Roman"/>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 Before the hardening, three attacks were accepted when the service functions were called directly, namely an approval from a signer outside G (A1), a repeated approval from the same guardian (A3), and an empty request scope (A5). None of the three was reachable through the interface as used in the demonstration of 24 September 2026, so they represent a gap in defence in depth rather than a demonstrated breach of the deployed system. Accordingly, the service layer now counts only distinct approvals from members of G and requires a non-empty request within the authorised scope. After this hardening, eleven of the twelve scenarios are refused, and the full suite of 36 tests passes, comprising the 23 functional and regression tests and the 13 adversarial tests.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These include the N-of-N approval rule, the server-derived guardian keys, the unauthenticated requester role, the absence of cryptographic DID resolution and VC validation, the missing lifecycle transition check, and the unkeyed and unchained audit digest.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research is disseminated through three publications.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second and third publications build directly on the material of this report.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the work completed at the CA2 milestone and the work planned for the remainder of the candidature.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chapters on the research foundation, the architecture, and the proposed solution for RQ1 to RQ4 are complete. The first publication was submitted to BWCCA 2026 in September 2026. The coming stage concentrates on RQ5 and RQ6. Consent modification, delegation, and guardian-set changes extend the lifecycle trust of Section 10.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2026-10-02T13:25:25.468Z</dcterms:created>
  <dcterms:modified xsi:type="dcterms:W3CDTF">2026-10-02T13:25:25.469Z</dcterms:modified>
</cp:coreProperties>
</file>

<file path=docProps/custom.xml><?xml version="1.0" encoding="utf-8"?>
<Properties xmlns="http://schemas.openxmlformats.org/officeDocument/2006/custom-properties" xmlns:vt="http://schemas.openxmlformats.org/officeDocument/2006/docPropsVTypes"/>
</file>