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rPr>
          <w:highlight w:val="yellow"/>
        </w:rPr>
        <w:t>2.1 Introduction</w:t>
      </w:r>
    </w:p>
    <w:p w14:paraId="33176616" w14:textId="77777777" w:rsidR="009262C4" w:rsidRDefault="00000000">
      <w:pPr>
        <w:spacing w:after="110" w:line="264" w:lineRule="auto"/>
        <w:jc w:val="both"/>
      </w:pPr>
      <w:r>
        <w:rPr>
          <w:highlight w:val="yellow"/>
        </w:rP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highlight w:val="yellow"/>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rPr>
          <w:highlight w:val="yellow"/>
        </w:rPr>
        <w:t>2.2 Key Requirements for Trustworthy Multi-Party Consent Authorisation</w:t>
      </w:r>
    </w:p>
    <w:p w14:paraId="5171F85B" w14:textId="77777777" w:rsidR="009262C4" w:rsidRDefault="00000000">
      <w:pPr>
        <w:spacing w:after="110" w:line="264" w:lineRule="auto"/>
        <w:jc w:val="both"/>
      </w:pPr>
      <w:r>
        <w:rPr>
          <w:highlight w:val="yellow"/>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highlight w:val="yellow"/>
        </w:rPr>
        <w:t>(Section 3)</w:t>
      </w:r>
      <w:r>
        <w:rPr>
          <w:highlight w:val="yellow"/>
        </w:rPr>
        <w:t>, and each sub-research question addresses a distinct dimension of the proposed trust-oriented healthcare authorisation framework.</w:t>
      </w:r>
    </w:p>
    <w:p>
      <w:pPr>
        <w:pStyle w:val="3"/>
      </w:pPr>
      <w:r>
        <w:rPr>
          <w:highlight w:val="yellow"/>
        </w:rP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rPr>
          <w:highlight w:val="yellow"/>
        </w:rP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rPr>
          <w:highlight w:val="yellow"/>
        </w:rPr>
        <w:t>2.2.2 Req 2: Decentralised verification of identity and authority</w:t>
      </w:r>
    </w:p>
    <w:p w14:paraId="7FF276EC" w14:textId="77777777" w:rsidR="009262C4" w:rsidRDefault="00000000">
      <w:pPr>
        <w:pStyle w:val="a4"/>
        <w:numPr>
          <w:ilvl w:val="0"/>
          <w:numId w:val="1"/>
        </w:numPr>
        <w:spacing w:after="80" w:line="288" w:lineRule="auto"/>
        <w:jc w:val="both"/>
      </w:pPr>
      <w:r>
        <w:rPr>
          <w:highlight w:val="yellow"/>
        </w:rP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rPr>
          <w:highlight w:val="yellow"/>
        </w:rPr>
        <w:t>2.2.3 Req 3: Multi-party authorisation through a verifiable threshold</w:t>
      </w:r>
    </w:p>
    <w:p w14:paraId="13C93DAA" w14:textId="77777777" w:rsidR="009262C4" w:rsidRDefault="00000000">
      <w:pPr>
        <w:pStyle w:val="a4"/>
        <w:numPr>
          <w:ilvl w:val="0"/>
          <w:numId w:val="1"/>
        </w:numPr>
        <w:spacing w:after="80" w:line="288" w:lineRule="auto"/>
        <w:jc w:val="both"/>
      </w:pPr>
      <w:r>
        <w:rPr>
          <w:highlight w:val="yellow"/>
        </w:rP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rPr>
          <w:highlight w:val="yellow"/>
        </w:rPr>
        <w:t>2.2.4 Req 4: Policy- and context-aware enforcement at the time of access</w:t>
      </w:r>
    </w:p>
    <w:p w14:paraId="2A4F5509" w14:textId="77777777" w:rsidR="009262C4" w:rsidRDefault="00000000">
      <w:pPr>
        <w:pStyle w:val="a4"/>
        <w:numPr>
          <w:ilvl w:val="0"/>
          <w:numId w:val="1"/>
        </w:numPr>
        <w:spacing w:after="80" w:line="288" w:lineRule="auto"/>
        <w:jc w:val="both"/>
      </w:pPr>
      <w:r>
        <w:rPr>
          <w:highlight w:val="yellow"/>
        </w:rP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rPr>
          <w:highlight w:val="yellow"/>
        </w:rPr>
        <w:t>2.2.5 Req 5: Temporal validity and lifecycle control of consent</w:t>
      </w:r>
    </w:p>
    <w:p w14:paraId="407E0F8A" w14:textId="77777777" w:rsidR="009262C4" w:rsidRDefault="00000000">
      <w:pPr>
        <w:pStyle w:val="a4"/>
        <w:numPr>
          <w:ilvl w:val="0"/>
          <w:numId w:val="1"/>
        </w:numPr>
        <w:spacing w:after="80" w:line="288" w:lineRule="auto"/>
        <w:jc w:val="both"/>
      </w:pPr>
      <w:r>
        <w:rPr>
          <w:highlight w:val="yellow"/>
        </w:rP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rPr>
          <w:highlight w:val="yellow"/>
        </w:rPr>
        <w:t>2.2.6 Req 6: Verifiable auditability and security assurance</w:t>
      </w:r>
    </w:p>
    <w:p w14:paraId="3F26EFBC" w14:textId="77777777" w:rsidR="009262C4" w:rsidRDefault="00000000">
      <w:pPr>
        <w:pStyle w:val="a4"/>
        <w:numPr>
          <w:ilvl w:val="0"/>
          <w:numId w:val="1"/>
        </w:numPr>
        <w:spacing w:after="80" w:line="288" w:lineRule="auto"/>
        <w:jc w:val="both"/>
      </w:pPr>
      <w:r>
        <w:rPr>
          <w:highlight w:val="yellow"/>
        </w:rP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rPr>
          <w:highlight w:val="yellow"/>
        </w:rPr>
        <w:t>2.3 Process Adopted for Shortlisting the Papers for SLR</w:t>
      </w:r>
    </w:p>
    <w:p>
      <w:pPr/>
      <w:r>
        <w:rPr>
          <w:highlight w:val="yellow"/>
        </w:rPr>
        <w:t>This section details the process adopted to identify the relevant papers to be reviewed in the SLR. A four-step process was adopted:</w:t>
      </w:r>
    </w:p>
    <w:p>
      <w:pPr/>
      <w:r>
        <w:rPr>
          <w:highlight w:val="yellow"/>
        </w:rPr>
        <w:t>Step 1: Searching the literature. This step involves defining the search terms, identifying the data sources and the process of data collection.</w:t>
      </w:r>
    </w:p>
    <w:p>
      <w:pPr/>
      <w:r>
        <w:rPr>
          <w:highlight w:val="yellow"/>
        </w:rPr>
        <w:t>Step 2: Inclusion and exclusion criteria. Criteria are defined to guide the selection of the most relevant studies.</w:t>
      </w:r>
    </w:p>
    <w:p>
      <w:pPr/>
      <w:r>
        <w:rPr>
          <w:highlight w:val="yellow"/>
        </w:rPr>
        <w:t>Step 3: Quality evaluation. Each of the full-text studies is reviewed against six quality evaluation questions, one for each key requirement.</w:t>
      </w:r>
    </w:p>
    <w:p>
      <w:pPr/>
      <w:r>
        <w:rPr>
          <w:highlight w:val="yellow"/>
        </w:rPr>
        <w:t>Step 4: Data analysis. After reviewing the selected studies, data are extracted, recorded and categorised into streams.</w:t>
      </w:r>
    </w:p>
    <w:p w14:paraId="323E63C8" w14:textId="77777777" w:rsidR="009262C4" w:rsidRDefault="00000000">
      <w:pPr>
        <w:spacing w:after="110" w:line="264" w:lineRule="auto"/>
        <w:jc w:val="both"/>
      </w:pPr>
      <w:r>
        <w:rPr>
          <w:highlight w:val="yellow"/>
        </w:rP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highlight w:val="yellow"/>
        </w:rPr>
        <w:t>The review is guided by the six key requirements of Section 2.2, and the six quality evaluation questions of Step 3 are derived from them, one for each requirement.</w:t>
      </w:r>
    </w:p>
    <w:p>
      <w:pPr>
        <w:pStyle w:val="3"/>
      </w:pPr>
      <w:r>
        <w:rPr>
          <w:highlight w:val="yellow"/>
        </w:rPr>
        <w:t>2.3.1 Step 1: Criteria for Searching the Literature</w:t>
      </w:r>
    </w:p>
    <w:p>
      <w:pPr/>
      <w:r>
        <w:rPr>
          <w:highlight w:val="yellow"/>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rPr>
          <w:highlight w:val="yellow"/>
        </w:rP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highlight w:val="yellow"/>
        </w:rPr>
        <w:t>Table 2.1 shows the seven databases and the number of records retrieved from each.</w:t>
      </w:r>
    </w:p>
    <w:p>
      <w:pPr>
        <w:keepNext/>
        <w:spacing w:before="120" w:after="120"/>
        <w:jc w:val="center"/>
      </w:pPr>
      <w:r>
        <w:rPr>
          <w:b/>
          <w:sz w:val="18"/>
          <w:highlight w:val="yellow"/>
        </w:rPr>
        <w:t>Table 2.1:</w:t>
      </w:r>
      <w:r>
        <w:rPr>
          <w:sz w:val="18"/>
          <w:highlight w:val="yellow"/>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S/N</w:t>
            </w:r>
          </w:p>
        </w:tc>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Database</w:t>
            </w:r>
          </w:p>
        </w:tc>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SpringerLink</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Scopus</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3</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IEEE Xplore</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4</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5</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Web of Science</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6</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ScienceDirect</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7</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ACM Digital Library</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Total</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179</w:t>
            </w:r>
          </w:p>
        </w:tc>
      </w:tr>
    </w:tbl>
    <w:p>
      <w:pPr/>
      <w:r>
        <w:rPr>
          <w:highlight w:val="yellow"/>
        </w:rPr>
      </w:r>
    </w:p>
    <w:p>
      <w:pPr>
        <w:pStyle w:val="3"/>
      </w:pPr>
      <w:r>
        <w:rPr>
          <w:highlight w:val="yellow"/>
        </w:rPr>
        <w:t>2.3.2 Step 2: Inclusion and Exclusion Criteria</w:t>
      </w:r>
    </w:p>
    <w:p>
      <w:pPr/>
      <w:r>
        <w:rPr>
          <w:highlight w:val="yellow"/>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rPr>
          <w:highlight w:val="yellow"/>
        </w:rP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rPr>
          <w:highlight w:val="yellow"/>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highlight w:val="yellow"/>
        </w:rPr>
        <w:t>between 2020 and 2026</w:t>
      </w:r>
      <w:r>
        <w:rPr>
          <w:highlight w:val="yellow"/>
        </w:rPr>
        <w:t xml:space="preserve">. </w:t>
      </w:r>
      <w:r>
        <w:rPr>
          <w:highlight w:val="yellow"/>
        </w:rPr>
        <w:t>The exclusion criteria removed, among others,</w:t>
      </w:r>
      <w:r>
        <w:rPr>
          <w:highlight w:val="yellow"/>
        </w:rPr>
        <w:t xml:space="preserve"> </w:t>
      </w:r>
      <w:r>
        <w:rPr>
          <w:highlight w:val="yellow"/>
        </w:rPr>
        <w:t>studies outside healthcare or the authorisation scope, studies of authentication alone or with only a superficial mention of consent, non-peer-reviewed work, duplicate publications, and secondary reviews</w:t>
      </w:r>
      <w:r>
        <w:rPr>
          <w:highlight w:val="yellow"/>
        </w:rP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highlight w:val="yellow"/>
        </w:rPr>
        <w:t>Inclusion criteria:</w:t>
      </w:r>
    </w:p>
    <w:p>
      <w:pPr/>
      <w:r>
        <w:rPr>
          <w:highlight w:val="yellow"/>
        </w:rPr>
        <w:t>1. Healthcare data sharing (IC1).</w:t>
      </w:r>
    </w:p>
    <w:p>
      <w:pPr/>
      <w:r>
        <w:rPr>
          <w:highlight w:val="yellow"/>
        </w:rPr>
        <w:t>2. Consent or authorisation relevant to data access (IC2).</w:t>
      </w:r>
    </w:p>
    <w:p>
      <w:pPr/>
      <w:r>
        <w:rPr>
          <w:highlight w:val="yellow"/>
        </w:rPr>
        <w:t>3. A model, mechanism, system or evaluation that addresses a review question (IC3).</w:t>
      </w:r>
    </w:p>
    <w:p>
      <w:pPr/>
      <w:r>
        <w:rPr>
          <w:highlight w:val="yellow"/>
        </w:rPr>
        <w:t>4. Peer-reviewed English paper with full text (IC4 to IC7).</w:t>
      </w:r>
    </w:p>
    <w:p>
      <w:pPr/>
      <w:r>
        <w:rPr>
          <w:highlight w:val="yellow"/>
        </w:rPr>
        <w:t>5. Publication between 2020 and 2026.</w:t>
      </w:r>
    </w:p>
    <w:p>
      <w:pPr/>
      <w:r>
        <w:rPr>
          <w:highlight w:val="yellow"/>
        </w:rPr>
        <w:t>Exclusion criteria:</w:t>
      </w:r>
    </w:p>
    <w:p>
      <w:pPr/>
      <w:r>
        <w:rPr>
          <w:highlight w:val="yellow"/>
        </w:rPr>
        <w:t>1. Outside healthcare or the authorisation scope.</w:t>
      </w:r>
    </w:p>
    <w:p>
      <w:pPr/>
      <w:r>
        <w:rPr>
          <w:highlight w:val="yellow"/>
        </w:rPr>
        <w:t>2. Authentication alone or a superficial mention of consent.</w:t>
      </w:r>
    </w:p>
    <w:p>
      <w:pPr/>
      <w:r>
        <w:rPr>
          <w:highlight w:val="yellow"/>
        </w:rPr>
        <w:t>3. Non-peer-reviewed work and duplicate publications.</w:t>
      </w:r>
    </w:p>
    <w:p>
      <w:pPr/>
      <w:r>
        <w:rPr>
          <w:highlight w:val="yellow"/>
        </w:rPr>
        <w:t>The stages of evaluating and selecting the relevant papers for the SLR are summarised in Table 2.2.</w:t>
      </w:r>
    </w:p>
    <w:p>
      <w:pPr>
        <w:keepNext/>
        <w:spacing w:before="120" w:after="120"/>
        <w:jc w:val="center"/>
      </w:pPr>
      <w:r>
        <w:rPr>
          <w:b/>
          <w:sz w:val="18"/>
          <w:highlight w:val="yellow"/>
        </w:rPr>
        <w:t>Table 2.2:</w:t>
      </w:r>
      <w:r>
        <w:rPr>
          <w:sz w:val="18"/>
          <w:highlight w:val="yellow"/>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Evaluation stage</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Method</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Assessment criteria</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1st</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Match the search string</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2nd</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Remove duplicate records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3rd</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Screen the titles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4th</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Screen the abstracts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5th</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Assess the full texts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14 excluded, 25 included</w:t>
            </w:r>
          </w:p>
        </w:tc>
      </w:tr>
    </w:tbl>
    <w:p>
      <w:pPr/>
      <w:r>
        <w:rPr>
          <w:highlight w:val="yellow"/>
        </w:rPr>
      </w:r>
    </w:p>
    <w:p w14:paraId="33C04365" w14:textId="77777777" w:rsidR="009262C4" w:rsidRDefault="00000000">
      <w:pPr>
        <w:spacing w:after="110" w:line="264" w:lineRule="auto"/>
        <w:jc w:val="both"/>
      </w:pPr>
      <w:r>
        <w:rPr>
          <w:highlight w:val="yellow"/>
        </w:rP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highlight w:val="yellow"/>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highlight w:val="yellow"/>
        </w:rPr>
        <w:t>Figure 2.1:</w:t>
      </w:r>
      <w:r>
        <w:rPr>
          <w:bCs/>
          <w:sz w:val="18"/>
          <w:szCs w:val="18"/>
          <w:highlight w:val="yellow"/>
        </w:rPr>
        <w:t xml:space="preserve"> </w:t>
      </w:r>
      <w:r>
        <w:rPr>
          <w:sz w:val="18"/>
          <w:szCs w:val="18"/>
          <w:highlight w:val="yellow"/>
        </w:rPr>
        <w:t>PRISMA 2020 flow diagram of the study identification, screening, eligibility and inclusion stages.</w:t>
      </w:r>
    </w:p>
    <w:p>
      <w:pPr>
        <w:pStyle w:val="3"/>
      </w:pPr>
      <w:r>
        <w:rPr>
          <w:highlight w:val="yellow"/>
        </w:rPr>
        <w:t>2.3.3 Step 3: Quality Evaluation</w:t>
      </w:r>
    </w:p>
    <w:p>
      <w:pPr/>
      <w:r>
        <w:rPr>
          <w:highlight w:val="yellow"/>
        </w:rPr>
        <w:t>The 39 full-text studies were retrieved and critically evaluated based on the six quality evaluation questions, one for each key requirement of Section 2.2, as follows:</w:t>
      </w:r>
    </w:p>
    <w:p>
      <w:pPr>
        <w:spacing w:after="40"/>
      </w:pPr>
      <w:r>
        <w:rPr>
          <w:highlight w:val="yellow"/>
        </w:rPr>
        <w:t>QA1: Does the study define a consent model covering identity, authority, policy, and evidence?</w:t>
      </w:r>
    </w:p>
    <w:p>
      <w:pPr>
        <w:spacing w:after="40"/>
      </w:pPr>
      <w:r>
        <w:rPr>
          <w:highlight w:val="yellow"/>
        </w:rPr>
        <w:t>QA2: Does the study verify participant identities and their authorisation authority?</w:t>
      </w:r>
    </w:p>
    <w:p>
      <w:pPr>
        <w:spacing w:after="40"/>
      </w:pPr>
      <w:r>
        <w:rPr>
          <w:highlight w:val="yellow"/>
        </w:rPr>
        <w:t>QA3: Does the study support consent decisions requiring approval from multiple authorised participants?</w:t>
      </w:r>
    </w:p>
    <w:p>
      <w:pPr>
        <w:spacing w:after="40"/>
      </w:pPr>
      <w:r>
        <w:rPr>
          <w:highlight w:val="yellow"/>
        </w:rPr>
        <w:t>QA4: Does the study enforce purpose, data scope, and approval rules before allowing access?</w:t>
      </w:r>
    </w:p>
    <w:p>
      <w:pPr>
        <w:spacing w:after="40"/>
      </w:pPr>
      <w:r>
        <w:rPr>
          <w:highlight w:val="yellow"/>
        </w:rPr>
        <w:t>QA5: Does the study manage consent validity, expiry, and revocation?</w:t>
      </w:r>
    </w:p>
    <w:p>
      <w:pPr>
        <w:spacing w:after="40"/>
      </w:pPr>
      <w:r>
        <w:rPr>
          <w:highlight w:val="yellow"/>
        </w:rPr>
        <w:t>QA6: Does the study validate security and access decisions through formal analysis or implementation testing?</w:t>
      </w:r>
    </w:p>
    <w:p>
      <w:pPr/>
      <w:r>
        <w:rPr>
          <w:highlight w:val="yellow"/>
        </w:rP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rPr>
          <w:highlight w:val="yellow"/>
        </w:rPr>
        <w:t>2.3.4 Step 4: Shortlisted Papers for SLR and Categorising Them into Broad Areas</w:t>
      </w:r>
    </w:p>
    <w:p>
      <w:pPr/>
      <w:r>
        <w:rPr>
          <w:highlight w:val="yellow"/>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highlight w:val="yellow"/>
        </w:rPr>
        <w:t>Table 2.3:</w:t>
      </w:r>
      <w:r>
        <w:rPr>
          <w:b/>
          <w:bCs/>
          <w:sz w:val="18"/>
          <w:szCs w:val="18"/>
          <w:highlight w:val="yellow"/>
        </w:rPr>
        <w:t xml:space="preserve"> </w:t>
      </w:r>
      <w:r>
        <w:rPr>
          <w:sz w:val="18"/>
          <w:szCs w:val="18"/>
          <w:highlight w:val="yellow"/>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highlight w:val="yellow"/>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highlight w:val="yellow"/>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highlight w:val="yellow"/>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highlight w:val="yellow"/>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highlight w:val="yellow"/>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highlight w:val="yellow"/>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highlight w:val="yellow"/>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highlight w:val="yellow"/>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highlight w:val="yellow"/>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highlight w:val="yellow"/>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highlight w:val="yellow"/>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highlight w:val="yellow"/>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highlight w:val="yellow"/>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highlight w:val="yellow"/>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highlight w:val="yellow"/>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highlight w:val="yellow"/>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highlight w:val="yellow"/>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highlight w:val="yellow"/>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highlight w:val="yellow"/>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highlight w:val="yellow"/>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highlight w:val="yellow"/>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highlight w:val="yellow"/>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highlight w:val="yellow"/>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highlight w:val="yellow"/>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highlight w:val="yellow"/>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highlight w:val="yellow"/>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highlight w:val="yellow"/>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highlight w:val="yellow"/>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highlight w:val="yellow"/>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highlight w:val="yellow"/>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highlight w:val="yellow"/>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highlight w:val="yellow"/>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highlight w:val="yellow"/>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highlight w:val="yellow"/>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highlight w:val="yellow"/>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highlight w:val="yellow"/>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highlight w:val="yellow"/>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highlight w:val="yellow"/>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highlight w:val="yellow"/>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highlight w:val="yellow"/>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highlight w:val="yellow"/>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highlight w:val="yellow"/>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highlight w:val="yellow"/>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highlight w:val="yellow"/>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highlight w:val="yellow"/>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highlight w:val="yellow"/>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highlight w:val="yellow"/>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highlight w:val="yellow"/>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highlight w:val="yellow"/>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highlight w:val="yellow"/>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highlight w:val="yellow"/>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highlight w:val="yellow"/>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highlight w:val="yellow"/>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highlight w:val="yellow"/>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highlight w:val="yellow"/>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highlight w:val="yellow"/>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highlight w:val="yellow"/>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highlight w:val="yellow"/>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highlight w:val="yellow"/>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highlight w:val="yellow"/>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highlight w:val="yellow"/>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highlight w:val="yellow"/>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highlight w:val="yellow"/>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highlight w:val="yellow"/>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highlight w:val="yellow"/>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highlight w:val="yellow"/>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highlight w:val="yellow"/>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highlight w:val="yellow"/>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highlight w:val="yellow"/>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highlight w:val="yellow"/>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highlight w:val="yellow"/>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highlight w:val="yellow"/>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highlight w:val="yellow"/>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highlight w:val="yellow"/>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highlight w:val="yellow"/>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highlight w:val="yellow"/>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highlight w:val="yellow"/>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highlight w:val="yellow"/>
              </w:rPr>
              <w:t>HealthDID: An efficient and authorizable multi-party privacy-preserving EMR sharing system based on DID</w:t>
            </w:r>
          </w:p>
        </w:tc>
      </w:tr>
    </w:tbl>
    <w:p w14:paraId="104769F2" w14:textId="77777777" w:rsidR="009262C4" w:rsidRDefault="009262C4">
      <w:pPr>
        <w:spacing w:after="160"/>
      </w:pPr>
    </w:p>
    <w:p>
      <w:pPr>
        <w:pStyle w:val="2"/>
      </w:pPr>
      <w:r>
        <w:rPr>
          <w:highlight w:val="yellow"/>
        </w:rPr>
        <w:t>2.4 Summary of Papers Shortlisted in the SLR</w:t>
      </w:r>
    </w:p>
    <w:p w14:paraId="186AF6E6" w14:textId="77777777" w:rsidR="009262C4" w:rsidRDefault="00000000">
      <w:pPr>
        <w:spacing w:after="110" w:line="264" w:lineRule="auto"/>
        <w:jc w:val="both"/>
      </w:pPr>
      <w:r>
        <w:rPr>
          <w:highlight w:val="yellow"/>
        </w:rP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rPr>
          <w:highlight w:val="yellow"/>
        </w:rPr>
        <w:t>2.4.1 Consent representation and blockchain-based consent governance (Req 1)</w:t>
      </w:r>
    </w:p>
    <w:p w14:paraId="186AF6E6" w14:textId="77777777" w:rsidR="009262C4" w:rsidRDefault="00000000">
      <w:pPr>
        <w:spacing w:after="110" w:line="264" w:lineRule="auto"/>
        <w:jc w:val="both"/>
      </w:pPr>
      <w:r>
        <w:rPr>
          <w:highlight w:val="yellow"/>
        </w:rP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highlight w:val="yellow"/>
        </w:rPr>
        <w:t>Table 2.4 summarises the description, the issues and limitations, and the requirement grades of the studies in this stream.</w:t>
      </w:r>
    </w:p>
    <w:p>
      <w:pPr>
        <w:keepNext/>
        <w:spacing w:before="120" w:after="120"/>
        <w:jc w:val="center"/>
      </w:pPr>
      <w:r>
        <w:rPr>
          <w:b/>
          <w:sz w:val="18"/>
          <w:highlight w:val="yellow"/>
        </w:rPr>
        <w:t>Table 2.4:</w:t>
      </w:r>
      <w:r>
        <w:rPr>
          <w:sz w:val="18"/>
          <w:highlight w:val="yellow"/>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S3 Al Amin et al. (2023)</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S19 SooHoo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S22 Tremper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2.4.2 Decentralised identity and authority trust (Req 2)</w:t>
      </w:r>
    </w:p>
    <w:p w14:paraId="5A8E98C4" w14:textId="77777777" w:rsidR="009262C4" w:rsidRDefault="00000000">
      <w:pPr>
        <w:spacing w:after="110" w:line="264" w:lineRule="auto"/>
        <w:jc w:val="both"/>
      </w:pPr>
      <w:r>
        <w:rPr>
          <w:highlight w:val="yellow"/>
        </w:rPr>
      </w:r>
      <w:r>
        <w:rPr>
          <w:highlight w:val="yellow"/>
        </w:rPr>
        <w:t>Req 2, which needs both identity and authority, is graded Yes in only 7 of the 25 studies in Table 2.10.</w:t>
      </w:r>
      <w:r>
        <w:rPr>
          <w:highlight w:val="yellow"/>
        </w:rP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highlight w:val="yellow"/>
        </w:rPr>
        <w:t>Table 2.5 summarises the description, the issues and limitations, and the requirement grades of the studies in this stream.</w:t>
      </w:r>
    </w:p>
    <w:p>
      <w:pPr>
        <w:keepNext/>
        <w:spacing w:before="120" w:after="120"/>
        <w:jc w:val="center"/>
      </w:pPr>
      <w:r>
        <w:rPr>
          <w:b/>
          <w:sz w:val="18"/>
          <w:highlight w:val="yellow"/>
        </w:rPr>
        <w:t>Table 2.5:</w:t>
      </w:r>
      <w:r>
        <w:rPr>
          <w:sz w:val="18"/>
          <w:highlight w:val="yellow"/>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S14 Phuyal et al. (2026b)</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S15 Phuyal et al. (2026a)</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S23 Tseng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2.4.3 Multi-party authorisation and collaborative consent (Req 3)</w:t>
      </w:r>
    </w:p>
    <w:p w14:paraId="2B876E6C" w14:textId="77777777" w:rsidR="009262C4" w:rsidRDefault="00000000">
      <w:pPr>
        <w:spacing w:after="110" w:line="264" w:lineRule="auto"/>
        <w:jc w:val="both"/>
      </w:pPr>
      <w:r>
        <w:rPr>
          <w:highlight w:val="yellow"/>
        </w:rPr>
      </w:r>
      <w:r>
        <w:rPr>
          <w:highlight w:val="yellow"/>
        </w:rPr>
        <w:t>Req 3 is graded Yes in 6 of the 25 studies and No in 19, across six mechanism classes.</w:t>
      </w:r>
      <w:r>
        <w:rPr>
          <w:highlight w:val="yellow"/>
        </w:rP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highlight w:val="yellow"/>
        </w:rPr>
        <w:t>Table 2.6 summarises the description, the issues and limitations, and the requirement grades of the studies in this stream.</w:t>
      </w:r>
    </w:p>
    <w:p>
      <w:pPr>
        <w:keepNext/>
        <w:spacing w:before="120" w:after="120"/>
        <w:jc w:val="center"/>
      </w:pPr>
      <w:r>
        <w:rPr>
          <w:b/>
          <w:sz w:val="18"/>
          <w:highlight w:val="yellow"/>
        </w:rPr>
        <w:t>Table 2.6:</w:t>
      </w:r>
      <w:r>
        <w:rPr>
          <w:sz w:val="18"/>
          <w:highlight w:val="yellow"/>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 Abbasi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S4 Ekholm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S6 Hagström et al.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S10 Madine et al.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S16 Punia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S20 Tan et al.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S24 Wu et al. (2022)</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2.4.4 Policy- and context-aware access control (Req 4)</w:t>
      </w:r>
    </w:p>
    <w:p w14:paraId="05A3E933" w14:textId="77777777" w:rsidR="009262C4" w:rsidRDefault="00000000">
      <w:pPr>
        <w:spacing w:after="110" w:line="264" w:lineRule="auto"/>
        <w:jc w:val="both"/>
      </w:pPr>
      <w:r>
        <w:rPr>
          <w:highlight w:val="yellow"/>
        </w:rP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2.10.</w:t>
      </w:r>
      <w:r>
        <w:rPr>
          <w:highlight w:val="yellow"/>
        </w:rPr>
        <w:t xml:space="preserve"> However, purpose-of-use enters the decision in only six studies (Eneh et al. 2026; Panagoulias et al. 2026), </w:t>
      </w:r>
      <w:r>
        <w:rPr>
          <w:highlight w:val="yellow"/>
        </w:rPr>
        <w:t>and every one is graded No on Req 3</w:t>
      </w:r>
      <w:r>
        <w:rPr>
          <w:highlight w:val="yellow"/>
        </w:rPr>
        <w:t>. Consequently, purpose and data-scope constraints are not carried by the consent object C and evaluated together with the identity, authority, and multi-party conditions.</w:t>
      </w:r>
    </w:p>
    <w:p>
      <w:pPr/>
      <w:r>
        <w:rPr>
          <w:highlight w:val="yellow"/>
        </w:rPr>
        <w:t>Table 2.7 summarises the description, the issues and limitations, and the requirement grades of the studies in this stream.</w:t>
      </w:r>
    </w:p>
    <w:p>
      <w:pPr>
        <w:keepNext/>
        <w:spacing w:before="120" w:after="120"/>
        <w:jc w:val="center"/>
      </w:pPr>
      <w:r>
        <w:rPr>
          <w:b/>
          <w:sz w:val="18"/>
          <w:highlight w:val="yellow"/>
        </w:rPr>
        <w:t>Table 2.7:</w:t>
      </w:r>
      <w:r>
        <w:rPr>
          <w:sz w:val="18"/>
          <w:highlight w:val="yellow"/>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 Albalwy et al. (2021)</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S7 Jaiman and Urovi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S21 Tith et al.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2.4.5 Temporal validity and consent lifecycle (Req 5)</w:t>
      </w:r>
    </w:p>
    <w:p w14:paraId="7C35F356" w14:textId="77777777" w:rsidR="009262C4" w:rsidRDefault="00000000">
      <w:pPr>
        <w:spacing w:after="110" w:line="264" w:lineRule="auto"/>
        <w:jc w:val="both"/>
      </w:pPr>
      <w:r>
        <w:rPr>
          <w:highlight w:val="yellow"/>
        </w:rP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 xml:space="preserve">Req 5 is graded Yes in 8 studies, </w:t>
      </w:r>
      <w:r>
        <w:rPr>
          <w:highlight w:val="yellow"/>
        </w:rPr>
        <w:t>a post-revocation denial is demonstrated only by Phuyal et al. (2026b), which enforces revocation but not expiry, so it does not fully satisfy Req 5,</w:t>
      </w:r>
      <w:r>
        <w:rPr>
          <w:highlight w:val="yellow"/>
        </w:rPr>
        <w:t xml:space="preserve"> and the four stream-5 systems that enforce time inside the decision are all single-party, with Li et al. (2026a) doing so through the credential rather than the consent.</w:t>
      </w:r>
    </w:p>
    <w:p>
      <w:pPr/>
      <w:r>
        <w:rPr>
          <w:highlight w:val="yellow"/>
        </w:rPr>
        <w:t>Table 2.8 summarises the description, the issues and limitations, and the requirement grades of the studies in this stream.</w:t>
      </w:r>
    </w:p>
    <w:p>
      <w:pPr>
        <w:keepNext/>
        <w:spacing w:before="120" w:after="120"/>
        <w:jc w:val="center"/>
      </w:pPr>
      <w:r>
        <w:rPr>
          <w:b/>
          <w:sz w:val="18"/>
          <w:highlight w:val="yellow"/>
        </w:rPr>
        <w:t>Table 2.8:</w:t>
      </w:r>
      <w:r>
        <w:rPr>
          <w:sz w:val="18"/>
          <w:highlight w:val="yellow"/>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S5 Eneh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S9 Li et al. (2026a)</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S13 Panagoulias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S18 Hema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2.4.6 Formal security assurance and empirical validation (Req 6)</w:t>
      </w:r>
    </w:p>
    <w:p w14:paraId="3CC511B8" w14:textId="77777777" w:rsidR="009262C4" w:rsidRDefault="00000000">
      <w:pPr>
        <w:spacing w:after="110" w:line="264" w:lineRule="auto"/>
        <w:jc w:val="both"/>
      </w:pPr>
      <w:r>
        <w:rPr>
          <w:highlight w:val="yellow"/>
        </w:rP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rPr>
          <w:highlight w:val="yellow"/>
        </w:rP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highlight w:val="yellow"/>
        </w:rPr>
        <w:t>Table 2.9 summarises the description, the issues and limitations, and the requirement grades of the studies in this stream.</w:t>
      </w:r>
    </w:p>
    <w:p>
      <w:pPr>
        <w:keepNext/>
        <w:spacing w:before="120" w:after="120"/>
        <w:jc w:val="center"/>
      </w:pPr>
      <w:r>
        <w:rPr>
          <w:b/>
          <w:sz w:val="18"/>
          <w:highlight w:val="yellow"/>
        </w:rPr>
        <w:t>Table 2.9:</w:t>
      </w:r>
      <w:r>
        <w:rPr>
          <w:sz w:val="18"/>
          <w:highlight w:val="yellow"/>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S8 Zhao and Su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S11 Maruthi and Singh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S12 Mei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S25 Wu and Zhang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bl>
    <w:p>
      <w:pPr/>
      <w:r>
        <w:rPr>
          <w:highlight w:val="yellow"/>
        </w:rPr>
      </w:r>
    </w:p>
    <w:p>
      <w:pPr>
        <w:pStyle w:val="3"/>
      </w:pPr>
      <w:r>
        <w:rPr>
          <w:highlight w:val="yellow"/>
        </w:rPr>
        <w:t>2.4.7 Research Gaps in the Existing Studies from the Requirement Perspective</w:t>
      </w:r>
    </w:p>
    <w:p>
      <w:pPr/>
      <w:r>
        <w:rPr>
          <w:highlight w:val="yellow"/>
        </w:rP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rPr>
          <w:highlight w:val="yellow"/>
        </w:rP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rPr>
          <w:highlight w:val="yellow"/>
        </w:rPr>
        <w:t>.</w:t>
      </w:r>
    </w:p>
    <w:p>
      <w:pPr/>
      <w:r>
        <w:rPr>
          <w:highlight w:val="yellow"/>
        </w:rP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rPr>
          <w:highlight w:val="yellow"/>
        </w:rP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rPr>
          <w:highlight w:val="yellow"/>
        </w:rPr>
        <w:t>. The research therefore conceptualises trust not as a static attribute possessed by a particular entity or technology, but as an emergent property of a verifiable authorisation process.</w:t>
      </w:r>
    </w:p>
    <w:p>
      <w:pPr/>
      <w:r>
        <w:rPr>
          <w:highlight w:val="yellow"/>
        </w:rP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rPr>
          <w:highlight w:val="yellow"/>
        </w:rP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rPr>
          <w:highlight w:val="yellow"/>
        </w:rP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rPr>
          <w:highlight w:val="yellow"/>
        </w:rP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highlight w:val="yellow"/>
        </w:rPr>
        <w:t>Table 2.10 summarises</w:t>
      </w:r>
      <w:r>
        <w:rPr>
          <w:highlight w:val="yellow"/>
        </w:rPr>
        <w:t xml:space="preserve"> the 25 studies against the six requirements</w:t>
      </w:r>
      <w:r>
        <w:rPr>
          <w:highlight w:val="yellow"/>
        </w:rPr>
        <w:t>.</w:t>
      </w:r>
      <w:r>
        <w:rPr>
          <w:highlight w:val="yellow"/>
        </w:rPr>
        <w:t xml:space="preserve"> </w:t>
      </w:r>
      <w:r>
        <w:rPr>
          <w:highlight w:val="yellow"/>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highlight w:val="yellow"/>
        </w:rPr>
        <w:t>Table 2.10:</w:t>
      </w:r>
      <w:r>
        <w:rPr>
          <w:b/>
          <w:bCs/>
          <w:sz w:val="18"/>
          <w:szCs w:val="18"/>
          <w:highlight w:val="yellow"/>
        </w:rPr>
        <w:t xml:space="preserve"> </w:t>
      </w:r>
      <w:r>
        <w:rPr>
          <w:sz w:val="18"/>
          <w:szCs w:val="18"/>
          <w:highlight w:val="yellow"/>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highlight w:val="yellow"/>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highlight w:val="yellow"/>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highlight w:val="yellow"/>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highlight w:val="yellow"/>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highlight w:val="yellow"/>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highlight w:val="yellow"/>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highlight w:val="yellow"/>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highlight w:val="yellow"/>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highlight w:val="yellow"/>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highlight w:val="yellow"/>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highlight w:val="yellow"/>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highlight w:val="yellow"/>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highlight w:val="yellow"/>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highlight w:val="yellow"/>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highlight w:val="yellow"/>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highlight w:val="yellow"/>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highlight w:val="yellow"/>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highlight w:val="yellow"/>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highlight w:val="yellow"/>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highlight w:val="yellow"/>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highlight w:val="yellow"/>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highlight w:val="yellow"/>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highlight w:val="yellow"/>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highlight w:val="yellow"/>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highlight w:val="yellow"/>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highlight w:val="yellow"/>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highlight w:val="yellow"/>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highlight w:val="yellow"/>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highlight w:val="yellow"/>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highlight w:val="yellow"/>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highlight w:val="yellow"/>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highlight w:val="yellow"/>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highlight w:val="yellow"/>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highlight w:val="yellow"/>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highlight w:val="yellow"/>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highlight w:val="yellow"/>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highlight w:val="yellow"/>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highlight w:val="yellow"/>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highlight w:val="yellow"/>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highlight w:val="yellow"/>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highlight w:val="yellow"/>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highlight w:val="yellow"/>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highlight w:val="yellow"/>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highlight w:val="yellow"/>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highlight w:val="yellow"/>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highlight w:val="yellow"/>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highlight w:val="yellow"/>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highlight w:val="yellow"/>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highlight w:val="yellow"/>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highlight w:val="yellow"/>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highlight w:val="yellow"/>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highlight w:val="yellow"/>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highlight w:val="yellow"/>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highlight w:val="yellow"/>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highlight w:val="yellow"/>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highlight w:val="yellow"/>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highlight w:val="yellow"/>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rPr>
          <w:highlight w:val="yellow"/>
        </w:rP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rPr>
          <w:highlight w:val="yellow"/>
        </w:rP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highlight w:val="yellow"/>
        </w:rPr>
        <w:t>Section 2.5</w:t>
      </w:r>
      <w:r>
        <w:rPr>
          <w:highlight w:val="yellow"/>
        </w:rP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highlight w:val="yellow"/>
        </w:rPr>
        <w:t>(Sections 10 and 11)</w:t>
      </w:r>
      <w:r>
        <w:rPr>
          <w:highlight w:val="yellow"/>
        </w:rPr>
        <w:t>.</w:t>
      </w:r>
    </w:p>
    <w:p w14:paraId="612126A9" w14:textId="77777777" w:rsidR="009262C4" w:rsidRDefault="00000000">
      <w:pPr>
        <w:spacing w:after="110" w:line="264" w:lineRule="auto"/>
        <w:jc w:val="both"/>
      </w:pPr>
      <w:r>
        <w:rPr>
          <w:highlight w:val="yellow"/>
        </w:rP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highlight w:val="yellow"/>
        </w:rPr>
        <w:t>Req 6 in Table 2.10</w:t>
      </w:r>
      <w:r>
        <w:rPr>
          <w:highlight w:val="yellow"/>
        </w:rPr>
        <w:t xml:space="preserve"> rest on empirical validation.</w:t>
      </w:r>
    </w:p>
    <w:p w14:paraId="4FD4FF47" w14:textId="77777777" w:rsidR="009262C4" w:rsidRDefault="00000000">
      <w:pPr>
        <w:spacing w:after="110" w:line="264" w:lineRule="auto"/>
        <w:jc w:val="both"/>
      </w:pPr>
      <w:r>
        <w:rPr>
          <w:highlight w:val="yellow"/>
        </w:rP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rPr>
          <w:highlight w:val="yellow"/>
        </w:rPr>
        <w:t xml:space="preserve">The review establishes two gaps. The first is a </w:t>
      </w:r>
      <w:r>
        <w:rPr>
          <w:b/>
          <w:bCs/>
          <w:highlight w:val="yellow"/>
        </w:rPr>
        <w:t>conjunction gap</w:t>
      </w:r>
      <w:r>
        <w:rPr>
          <w:highlight w:val="yellow"/>
        </w:rPr>
        <w:t xml:space="preserve">, since no study conjoins identity, authority, threshold, policy, temporal, and lifecycle conditions in one decision predicate in which multi-party approval is a standing condition and the patient defines the approving set. The second is an </w:t>
      </w:r>
      <w:r>
        <w:rPr>
          <w:b/>
          <w:bCs/>
          <w:highlight w:val="yellow"/>
        </w:rPr>
        <w:t>assurance gap</w:t>
      </w:r>
      <w:r>
        <w:rPr>
          <w:highlight w:val="yellow"/>
        </w:rPr>
        <w:t xml:space="preserve">, </w:t>
      </w:r>
      <w:r>
        <w:rPr>
          <w:highlight w:val="yellow"/>
        </w:rPr>
        <w:t>since the studies that combine several conditions test their own decisions, but none proves or tests the complete conjunction that includes multi-party approval</w:t>
      </w:r>
      <w:r>
        <w:rPr>
          <w:highlight w:val="yellow"/>
        </w:rP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highlight w:val="yellow"/>
        </w:rPr>
        <w:t>stated in Section 3</w:t>
      </w:r>
      <w:r>
        <w:rPr>
          <w:highlight w:val="yellow"/>
        </w:rPr>
        <w:t xml:space="preserve">, and each gap corresponds to the research question and objective of the same number </w:t>
      </w:r>
      <w:r>
        <w:rPr>
          <w:highlight w:val="yellow"/>
        </w:rPr>
        <w:t>in Section 3</w:t>
      </w:r>
      <w:r>
        <w:rPr>
          <w:highlight w:val="yellow"/>
        </w:rPr>
        <w:t>.</w:t>
      </w:r>
      <w:r>
        <w:rPr>
          <w:highlight w:val="yellow"/>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highlight w:val="yellow"/>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highlight w:val="yellow"/>
        </w:rPr>
        <w:t>Figure 2.2:</w:t>
      </w:r>
      <w:r>
        <w:rPr>
          <w:bCs/>
          <w:sz w:val="18"/>
          <w:szCs w:val="18"/>
          <w:highlight w:val="yellow"/>
        </w:rPr>
        <w:t xml:space="preserve"> </w:t>
      </w:r>
      <w:r>
        <w:rPr>
          <w:sz w:val="18"/>
          <w:szCs w:val="18"/>
          <w:highlight w:val="yellow"/>
        </w:rPr>
        <w:t>Synthesis of the review: the conjunction gap and the assurance gap</w:t>
      </w:r>
    </w:p>
    <w:p>
      <w:pPr/>
      <w:r>
        <w:rPr>
          <w:highlight w:val="yellow"/>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highlight w:val="yellow"/>
        </w:rPr>
        <w:t>•</w:t>
        <w:tab/>
      </w: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highlight w:val="yellow"/>
        </w:rPr>
        <w:t>•</w:t>
        <w:tab/>
      </w: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highlight w:val="yellow"/>
        </w:rPr>
        <w:t>•</w:t>
        <w:tab/>
      </w: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highlight w:val="yellow"/>
        </w:rPr>
        <w:t>•</w:t>
        <w:tab/>
      </w:r>
      <w:r>
        <w:rPr>
          <w:i/>
          <w:highlight w:val="yellow"/>
          <w:u w:val="single"/>
        </w:rPr>
        <w:t>Inability to bind purpose and data scope to the same decision as identity, authority and approval (Req 4):</w:t>
      </w:r>
      <w:r>
        <w:rPr>
          <w:highlight w:val="yellow"/>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highlight w:val="yellow"/>
        </w:rPr>
        <w:t>•</w:t>
        <w:tab/>
      </w:r>
      <w:r>
        <w:rPr>
          <w:i/>
          <w:highlight w:val="yellow"/>
          <w:u w:val="single"/>
        </w:rPr>
        <w:t>Absence of temporal and lifecycle evaluation integrated with the complete access decision (Req 5):</w:t>
      </w:r>
      <w:r>
        <w:rPr>
          <w:highlight w:val="yellow"/>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highlight w:val="yellow"/>
        </w:rPr>
        <w:t>•</w:t>
        <w:tab/>
      </w: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rPr>
          <w:highlight w:val="yellow"/>
        </w:rPr>
        <w:t xml:space="preserve">The review has limitations. A single search string and a single round of coding mean that a small number of relevant studies may have been missed. </w:t>
      </w:r>
    </w:p>
    <w:p>
      <w:pPr/>
      <w:r>
        <w:rPr>
          <w:highlight w:val="yellow"/>
        </w:rPr>
        <w:t>In the next section, we present our proposed framework to address the gaps.</w:t>
      </w:r>
    </w:p>
    <w:p>
      <w:pPr>
        <w:pStyle w:val="2"/>
      </w:pPr>
      <w:r>
        <w:rPr>
          <w:highlight w:val="yellow"/>
        </w:rPr>
        <w:t>2.5 Trust-Oriented Multi-Party Consent Authorisation Framework</w:t>
      </w:r>
    </w:p>
    <w:p w14:paraId="504CD972" w14:textId="77777777" w:rsidR="009262C4" w:rsidRDefault="00000000">
      <w:pPr>
        <w:spacing w:after="110" w:line="264" w:lineRule="auto"/>
        <w:jc w:val="both"/>
      </w:pPr>
      <w:r>
        <w:rPr>
          <w:highlight w:val="yellow"/>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highlight w:val="yellow"/>
        </w:rPr>
        <w:t>Sections 2.5.1 to 2.5.6 state how the proposed framework, implemented in the HALAH prototype, addresses each requirement and the research objective that delivers it.</w:t>
      </w:r>
    </w:p>
    <w:p>
      <w:pPr>
        <w:pStyle w:val="3"/>
      </w:pPr>
      <w:r>
        <w:rPr>
          <w:highlight w:val="yellow"/>
        </w:rPr>
        <w:t>2.5.1 Representation of Consent as an Evaluable Authorisation Object (Req 1)</w:t>
      </w:r>
    </w:p>
    <w:p>
      <w:pPr/>
      <w:r>
        <w:rPr>
          <w:highlight w:val="yellow"/>
        </w:rPr>
        <w:t xml:space="preserve">Consent is represented as the evaluable object C = (I, A, P, T, L, E), created through Algorithm 1 and evaluated at every access request. </w:t>
      </w:r>
      <w:r>
        <w:rPr>
          <w:highlight w:val="yellow"/>
        </w:rPr>
        <w:t>This requirement is addressed through RO1, presented in Section 6.</w:t>
      </w:r>
    </w:p>
    <w:p>
      <w:pPr>
        <w:pStyle w:val="3"/>
      </w:pPr>
      <w:r>
        <w:rPr>
          <w:highlight w:val="yellow"/>
        </w:rPr>
        <w:t>2.5.2 Decentralised Verification of Identity and Authority (Req 2)</w:t>
      </w:r>
    </w:p>
    <w:p>
      <w:pPr/>
      <w:r>
        <w:rPr>
          <w:highlight w:val="yellow"/>
        </w:rP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highlight w:val="yellow"/>
        </w:rPr>
        <w:t>This requirement is addressed through RO2, presented in Section 7.</w:t>
      </w:r>
    </w:p>
    <w:p>
      <w:pPr>
        <w:pStyle w:val="3"/>
      </w:pPr>
      <w:r>
        <w:rPr>
          <w:highlight w:val="yellow"/>
        </w:rPr>
        <w:t>2.5.3 Multi-Party Authorisation through a Verifiable Threshold (Req 3)</w:t>
      </w:r>
    </w:p>
    <w:p>
      <w:pPr/>
      <w:r>
        <w:rPr>
          <w:highlight w:val="yellow"/>
        </w:rPr>
        <w:t xml:space="preserve">N-of-N approval by the guardian set G with EIP-712 guardian signatures (Bloemen, Logvinov &amp; Evans 2017), evaluated as VA through Algorithm 3. </w:t>
      </w:r>
      <w:r>
        <w:rPr>
          <w:highlight w:val="yellow"/>
        </w:rPr>
        <w:t>This requirement is addressed through RO3, presented in Section 8.</w:t>
      </w:r>
    </w:p>
    <w:p>
      <w:pPr>
        <w:pStyle w:val="3"/>
      </w:pPr>
      <w:r>
        <w:rPr>
          <w:highlight w:val="yellow"/>
        </w:rPr>
        <w:t>2.5.4 Policy- and Context-Aware Enforcement at the Time of Access (Req 4)</w:t>
      </w:r>
    </w:p>
    <w:p>
      <w:pPr/>
      <w:r>
        <w:rPr>
          <w:highlight w:val="yellow"/>
        </w:rPr>
        <w:t xml:space="preserve">Purpose and a non-empty data scope within the consent are evaluated as VP through Algorithm 4. </w:t>
      </w:r>
      <w:r>
        <w:rPr>
          <w:highlight w:val="yellow"/>
        </w:rPr>
        <w:t>This requirement is addressed through RO4, presented in Section 9.</w:t>
      </w:r>
    </w:p>
    <w:p>
      <w:pPr>
        <w:pStyle w:val="3"/>
      </w:pPr>
      <w:r>
        <w:rPr>
          <w:highlight w:val="yellow"/>
        </w:rPr>
        <w:t>2.5.5 Temporal Validity and Lifecycle Control of Consent (Req 5)</w:t>
      </w:r>
    </w:p>
    <w:p>
      <w:pPr/>
      <w:r>
        <w:rPr>
          <w:highlight w:val="yellow"/>
        </w:rPr>
        <w:t xml:space="preserve">The validity window VT, revocation, the lifecycle states, and the on-chain revocation on Sepolia are implemented, as specified in Algorithm 5. </w:t>
      </w:r>
      <w:r>
        <w:rPr>
          <w:highlight w:val="yellow"/>
        </w:rPr>
        <w:t>This requirement is addressed through RO5, presented in Section 10.</w:t>
      </w:r>
    </w:p>
    <w:p>
      <w:pPr>
        <w:pStyle w:val="3"/>
      </w:pPr>
      <w:r>
        <w:rPr>
          <w:highlight w:val="yellow"/>
        </w:rPr>
        <w:t>2.5.6 Verifiable Auditability and Security Assurance (Req 6)</w:t>
      </w:r>
    </w:p>
    <w:p>
      <w:pPr/>
      <w:r>
        <w:rPr>
          <w:highlight w:val="yellow"/>
        </w:rPr>
        <w:t xml:space="preserve">Audit ledger evidence and 46 automated tests, including twelve attack scenarios A1 to A12. </w:t>
      </w:r>
      <w:r>
        <w:rPr>
          <w:highlight w:val="yellow"/>
        </w:rPr>
        <w:t>This requirement is addressed through RO6, presented in Section 11.</w:t>
      </w:r>
    </w:p>
    <w:p>
      <w:pPr>
        <w:pStyle w:val="2"/>
      </w:pPr>
      <w:r>
        <w:rPr>
          <w:highlight w:val="yellow"/>
        </w:rPr>
        <w:t>2.6 Conclusion</w:t>
      </w:r>
    </w:p>
    <w:p>
      <w:pPr/>
      <w:r>
        <w:rPr>
          <w:highlight w:val="yellow"/>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highlight w:val="yellow"/>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pPr>
        <w:spacing w:after="110" w:line="264" w:lineRule="auto"/>
      </w:pPr>
      <w:r>
        <w:rPr>
          <w:highlight w:val="yellow"/>
        </w:rPr>
        <w:t>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highlight w:val="yellow"/>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rPr>
          <w:highlight w:val="yellow"/>
        </w:rPr>
        <w:t>The four gates of Figure 5.4 are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highlight w:val="yellow"/>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rPr>
          <w:highlight w:val="yellow"/>
        </w:rP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highlight w:val="yellow"/>
        </w:rPr>
        <w:t xml:space="preserve"> Six-component consent model C = (I, A, P, T, L, E)</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highlight w:val="yellow"/>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highlight w:val="yellow"/>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highlight w:val="yellow"/>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highlight w:val="yellow"/>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Invalid identities rejected before anything is stored; valid identities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A  Authorisation</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 3: the guardian set G and the threshold N; no guardian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Duplicate guardian rejected; consent created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4 and 5: the purpose and the data scope; the data scope must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A consent with an empty data scope is rejected (Section 11.4). Attack A5 (Section 11.6). 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Empty scope rejected; purpose and scope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 6: the validity interval T = (ts, te); the expiry time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Validity interval recorded; the interval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L  Lifecycle</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8 and 9: the consent identifier is generated and the object is created in the state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Created in PENDING_SIGNATURE; no access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E  Evidence</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 11: the creation event is written to the audit ledger with the consent identifier, participants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rPr>
          <w:highlight w:val="yellow"/>
        </w:rP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highlight w:val="yellow"/>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rPr>
          <w:highlight w:val="yellow"/>
        </w:rPr>
        <w:t>In the current prototype, every access decision, allowed or denied, is recorded in the audit ledger, the requested purpose is the consent purpose, and the evaluation step also applies the exploratory jurisdiction check VJ of the prototype (Section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highlight w:val="yellow"/>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rPr>
          <w:highlight w:val="yellow"/>
        </w:rP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highlight w:val="yellow"/>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rPr>
          <w:highlight w:val="yellow"/>
        </w:rP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highlight w:val="yellow"/>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rPr>
          <w:highlight w:val="yellow"/>
        </w:rP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highlight w:val="yellow"/>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rPr>
          <w:highlight w:val="yellow"/>
        </w:rPr>
        <w:t>Figure 11.4 was captured on 24 September 2026 with requester jurisdiction AU; the check labelled VL in the prototype interface is the exploratory jurisdiction check VJ.</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highlight w:val="yellow"/>
        </w:rPr>
        <w:t xml:space="preserve"> Doctor subsystem for the evaluated consent f050c29a: all five checks pass</w:t>
      </w:r>
    </w:p>
    <w:p>
      <w:pPr>
        <w:spacing w:after="220"/>
      </w:pPr>
      <w:r>
        <w:rPr>
          <w:highlight w:val="yellow"/>
        </w:rP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highlight w:val="yellow"/>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rPr>
          <w:highlight w:val="yellow"/>
        </w:rPr>
        <w:t>In Figure 11.6 the failed check is the jurisdiction check,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highlight w:val="yellow"/>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rPr>
          <w:highlight w:val="yellow"/>
        </w:rP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highlight w:val="yellow"/>
        </w:rPr>
        <w:t xml:space="preserve"> Auditor subsystem: aggregate indicators and the audit ledger rows of the evaluated consent</w:t>
      </w:r>
    </w:p>
    <w:p>
      <w:pPr>
        <w:spacing w:after="220"/>
      </w:pPr>
      <w:r>
        <w:rPr>
          <w:highlight w:val="yellow"/>
        </w:rP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highlight w:val="yellow"/>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A811A3" w14:textId="77777777" w:rsidR="009262C4" w:rsidRDefault="00000000">
            <w:pPr>
              <w:keepNext/>
              <w:spacing w:before="0" w:after="0" w:line="240" w:lineRule="auto"/>
            </w:pPr>
            <w:r>
              <w:rPr>
                <w:sz w:val="19"/>
                <w:szCs w:val="17"/>
              </w:rPr>
              <w:t>Exploratory jurisdiction check (V</w:t>
            </w:r>
            <w:r>
              <w:rPr>
                <w:sz w:val="19"/>
                <w:szCs w:val="17"/>
                <w:vertAlign w:val="subscript"/>
              </w:rPr>
              <w:t>J</w:t>
            </w:r>
            <w:r>
              <w:rPr>
                <w:sz w:val="19"/>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B98298"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D3B5BF" w14:textId="77777777" w:rsidR="009262C4" w:rsidRDefault="00000000">
            <w:pPr>
              <w:keepNext/>
              <w:spacing w:before="0" w:after="0" w:line="240" w:lineRule="auto"/>
            </w:pPr>
            <w:r>
              <w:rPr>
                <w:sz w:val="19"/>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rPr>
          <w:highlight w:val="yellow"/>
        </w:rPr>
        <w:t>In Table 11.3, rows are the index numbers of the exported ledger, counted from 0, and n/l means not logged. VL is the fifth check as the prototype logs it, which on 24 September 2026 was the exploratory jurisdiction check VJ.</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highlight w:val="yellow"/>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rPr>
          <w:highlight w:val="yellow"/>
        </w:rP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highlight w:val="yellow"/>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rPr>
          <w:highlight w:val="yellow"/>
        </w:rP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highlight w:val="yellow"/>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rPr>
          <w:highlight w:val="yellow"/>
        </w:rP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highlight w:val="yellow"/>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different jurisdiction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 (V</w:t>
            </w:r>
            <w:r>
              <w:rPr>
                <w:sz w:val="19"/>
                <w:szCs w:val="17"/>
                <w:vertAlign w:val="subscript"/>
              </w:rPr>
              <w:t>J</w:t>
            </w:r>
            <w:r>
              <w:rPr>
                <w:sz w:val="19"/>
                <w:szCs w:val="17"/>
              </w:rPr>
              <w: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pPr>
        <w:spacing w:after="110" w:line="264" w:lineRule="auto"/>
      </w:pPr>
      <w:r>
        <w:rPr>
          <w:highlight w:val="yellow"/>
        </w:rP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highlight w:val="yellow"/>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9"/>
                <w:szCs w:val="17"/>
                <w:vertAlign w:val="subscript"/>
              </w:rPr>
              <w:t>J</w:t>
            </w:r>
            <w:r>
              <w:rPr>
                <w:sz w:val="19"/>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2026-10-23T09:39:05Z</dcterms:created>
  <dcterms:modified xsi:type="dcterms:W3CDTF">2026-10-23T09:39:05Z</dcterms:modified>
</cp:coreProperties>
</file>