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w:t>
      </w:r>
      <w:r>
        <w:t>The exclusion criteria removed, among others,</w:t>
      </w:r>
      <w:r>
        <w:t xml:space="preserve">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w:t>
      </w:r>
      <w:r>
        <w:t>.</w:t>
      </w:r>
      <w:r>
        <w:t xml:space="preserve">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integrated with the complete access decision (Req 5):</w:t>
      </w:r>
      <w: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addressed through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t>This requirement is addressed through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addressed through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addressed through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w:t>
      </w:r>
      <w:r>
        <w:t>This requirement is addressed through RO5, presented in Chapter 9.</w:t>
      </w:r>
    </w:p>
    <w:p>
      <w:pPr>
        <w:pStyle w:val="3"/>
        <w:keepNext/>
      </w:pPr>
      <w:r>
        <w:t>2.5.6 Verifiable Auditability and Security Assurance (Req 6)</w:t>
      </w:r>
    </w:p>
    <w:p>
      <w:pPr/>
      <w:r>
        <w:t xml:space="preserve">Audit ledger evidence and 46 automated tests, including twelve attack scenarios A1 to A12. </w:t>
      </w:r>
      <w:r>
        <w:t>This requirement is addressed through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2026-10-23T09:38:07Z</dcterms:created>
  <dcterms:modified xsi:type="dcterms:W3CDTF">2026-10-23T09:38:07Z</dcterms:modified>
</cp:coreProperties>
</file>