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3</w:t>
            </w:r>
          </w:p>
        </w:tc>
      </w:tr>
    </w:tbl>
    <w:p>
      <w:pPr>
        <w:pStyle w:val="1"/>
        <w:keepNext/>
        <w:spacing w:before="360"/>
      </w:pPr>
      <w:r/>
      <w:r>
        <w:rPr>
          <w:color w:val="FFFFFF"/>
          <w:sz w:val="2"/>
        </w:rPr>
        <w:t xml:space="preserve">3. </w:t>
      </w:r>
      <w:r>
        <w:rPr>
          <w:smallCaps/>
        </w:rPr>
        <w:t>Research Questions and Objectives</w:t>
      </w:r>
    </w:p>
    <w:p>
      <w:pPr>
        <w:pStyle w:val="2"/>
        <w:keepNext/>
      </w:pPr>
      <w:r>
        <w:t>3.1 Introduction</w:t>
      </w:r>
    </w:p>
    <w:p>
      <w:pPr/>
      <w: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keepNext/>
      </w:pPr>
      <w:r>
        <w:t>3.2 Gaps in the Literature</w:t>
      </w:r>
    </w:p>
    <w:p>
      <w:pPr/>
      <w:r>
        <w:t>From a thorough review of the existing literature documented in Chapter 2, we have identified the following six gaps:</w:t>
      </w:r>
    </w:p>
    <w:p>
      <w:pPr>
        <w:tabs>
          <w:tab w:pos="624" w:val="left"/>
        </w:tabs>
        <w:spacing w:after="120"/>
        <w:ind w:left="624" w:hanging="397"/>
      </w:pPr>
      <w:r>
        <w:t>1.</w:t>
        <w:tab/>
        <w:t>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tabs>
          <w:tab w:pos="624" w:val="left"/>
        </w:tabs>
        <w:spacing w:after="120"/>
        <w:ind w:left="624" w:hanging="397"/>
      </w:pPr>
      <w:r>
        <w:t>2.</w:t>
        <w:tab/>
        <w:t>There is no method that verifies the authority of a participant separately from the authentication of that participant within the same access decision, so a valid identity is taken as permission.</w:t>
      </w:r>
    </w:p>
    <w:p>
      <w:pPr>
        <w:tabs>
          <w:tab w:pos="624" w:val="left"/>
        </w:tabs>
        <w:spacing w:after="120"/>
        <w:ind w:left="624" w:hanging="397"/>
      </w:pPr>
      <w:r>
        <w:t>3.</w:t>
        <w:tab/>
        <w:t>There is no mechanism by which multi-party approval, with the approving set defined by the patient, is a standing condition of every access decision rather than a contingency path, an admission gate or a registration-time co-consent.</w:t>
      </w:r>
    </w:p>
    <w:p>
      <w:pPr>
        <w:tabs>
          <w:tab w:pos="624" w:val="left"/>
        </w:tabs>
        <w:spacing w:after="120"/>
        <w:ind w:left="624" w:hanging="397"/>
      </w:pPr>
      <w:r>
        <w:t>4.</w:t>
        <w:tab/>
        <w:t>There is no enforcement that binds the purpose and the data scope of a request to the same decision as identity, authority and collective approval.</w:t>
      </w:r>
    </w:p>
    <w:p>
      <w:pPr>
        <w:tabs>
          <w:tab w:pos="624" w:val="left"/>
        </w:tabs>
        <w:spacing w:after="120"/>
        <w:ind w:left="624" w:hanging="397"/>
      </w:pPr>
      <w:r>
        <w:t>5.</w:t>
        <w:tab/>
        <w:t>There is no evaluation of temporal validity, lifecycle state and revocation that is integrated with the complete access decision; where they are evaluated at the time of the request, they stand apart from the identity, authority and approval conditions, and elsewhere they are enforced on a credential or at registration.</w:t>
      </w:r>
    </w:p>
    <w:p>
      <w:pPr>
        <w:tabs>
          <w:tab w:pos="624" w:val="left"/>
        </w:tabs>
        <w:spacing w:after="120"/>
        <w:ind w:left="624" w:hanging="397"/>
      </w:pPr>
      <w:r>
        <w:t>6.</w:t>
        <w:tab/>
        <w:t>There is no formal definition or systematic testing of the complete authorisation decision under valid, invalid and adversarial conditions; any proof covers only a fragment of it.</w:t>
      </w:r>
    </w:p>
    <w:p>
      <w:pPr>
        <w:pStyle w:val="2"/>
        <w:keepNext/>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keepNext/>
      </w:pPr>
      <w:r>
        <w:t>3.4 Research Questions</w:t>
      </w:r>
    </w:p>
    <w:p>
      <w:pPr/>
      <w:r>
        <w:t>From the systematic literature review documented in Chapter 2, and the shortcomings outlined in Section 2.4.7, it is clear that there are several gaps in the existing literature on trustworthy multi-party consent authorisation for healthcare data sharing.</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 xml:space="preserve">The research objectives are operationalised through six corresponding sub-research questions. Each sub-research question addresses a distinct dimension of the proposed trust-oriented healthcare authorisation framework. For brevity, SRQ1 to SRQ6 are referred to as RQ1 to RQ6 </w:t>
      </w:r>
      <w:r>
        <w:t>throughout this thesis</w:t>
      </w:r>
      <w:r>
        <w: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keepNext/>
      </w:pPr>
      <w: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t xml:space="preserve">A valid authorisation decision requires the simultaneous satisfaction of all relevant trust conditions. Consequently, failure of any individual condition results in denial. In the prototype, an ALLOW decision additionally </w:t>
      </w:r>
      <w:r>
        <w:t>requires the Groth16 ZK proof (Groth 2016) to verify, so a request that satisfies the five predicates is still denied when the proof fails, as in attack A9 (Chapter 10).</w:t>
      </w:r>
      <w:r>
        <w:t xml:space="preserve">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keepNext/>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keepNext/>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keepNext/>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keepNext/>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keepNext/>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keepNext/>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keepNext/>
      </w:pPr>
      <w:r>
        <w:t>3.5.6 RO6: Formal Security Assurance and Empirical Validation</w:t>
      </w:r>
    </w:p>
    <w:p w14:paraId="764837CE" w14:textId="77777777" w:rsidR="009262C4" w:rsidRDefault="00000000">
      <w:pPr>
        <w:spacing w:after="110" w:line="264" w:lineRule="auto"/>
        <w:jc w:val="both"/>
      </w:pPr>
      <w:r>
        <w:t>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w:t>
      </w:r>
      <w:r>
        <w:t>.</w:t>
      </w:r>
      <w: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keepNext/>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t>Table 3.1</w:t>
      </w:r>
      <w:r>
        <w:t xml:space="preserve">. The mapping follows the structure of the research programme and maintains a direct correspondence between each research question and its associated objective. RO1 to RO6 are realised in </w:t>
      </w:r>
      <w:r>
        <w:t>Chapter 5 to Chapter 10</w:t>
      </w:r>
      <w:r>
        <w:t xml:space="preserve"> respectively, each in the section presenting the solution for the corresponding research question. Because each research question corresponds to one </w:t>
      </w:r>
      <w: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t>as stated in Chapter 1</w:t>
      </w:r>
      <w:r>
        <w:t xml:space="preserve">, RO5 is in progress and RO6 is partially completed. Their remaining work is detailed in </w:t>
      </w:r>
      <w:r>
        <w:t>Chapter 9 and Chapter 10</w:t>
      </w:r>
      <w:r>
        <w:t xml:space="preserve">, and its schedule is </w:t>
      </w:r>
      <w: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D840BB2"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7DC19190"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FA42B8"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CDE34A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Status</w:t>
            </w:r>
          </w:p>
        </w:tc>
      </w:tr>
      <w:tr w:rsidR="009262C4" w14:paraId="310366C5"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171076" w14:textId="77777777" w:rsidR="009262C4" w:rsidRDefault="00000000">
            <w:pPr>
              <w:keepNext/>
              <w:spacing w:before="40" w:after="40" w:line="240" w:lineRule="auto"/>
              <w:jc w:val="left"/>
            </w:pPr>
            <w:r>
              <w:rPr>
                <w:rFonts w:ascii="Palatino Linotype" w:hAnsi="Palatino Linotype" w:cs="Palatino Linotype"/>
                <w:color w:val="000000"/>
                <w:sz w:val="20"/>
                <w:szCs w:val="17"/>
              </w:rPr>
              <w:t>RQ1</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1DF6D4F" w14:textId="77777777" w:rsidR="009262C4" w:rsidRDefault="00000000">
            <w:pPr>
              <w:keepNext/>
              <w:spacing w:before="40" w:after="40" w:line="240" w:lineRule="auto"/>
              <w:jc w:val="left"/>
            </w:pPr>
            <w:r>
              <w:rPr>
                <w:rFonts w:ascii="Palatino Linotype" w:hAnsi="Palatino Linotype" w:cs="Palatino Linotype"/>
                <w:color w:val="000000"/>
                <w:sz w:val="20"/>
                <w:szCs w:val="17"/>
              </w:rPr>
              <w:t>RO1: Trust-Centric Consent Model</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37165DD"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trust-aware consent model that represents patient consent as a structured and evaluable authorisation object.</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5D93FE"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6726E0D0"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A8A51D4" w14:textId="77777777" w:rsidR="009262C4" w:rsidRDefault="00000000">
            <w:pPr>
              <w:keepNext/>
              <w:spacing w:before="40" w:after="40" w:line="240" w:lineRule="auto"/>
              <w:jc w:val="left"/>
            </w:pPr>
            <w:r>
              <w:rPr>
                <w:rFonts w:ascii="Palatino Linotype" w:hAnsi="Palatino Linotype" w:cs="Palatino Linotype"/>
                <w:color w:val="000000"/>
                <w:sz w:val="20"/>
                <w:szCs w:val="17"/>
              </w:rPr>
              <w:t>RQ2</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72300B" w14:textId="77777777" w:rsidR="009262C4" w:rsidRDefault="00000000">
            <w:pPr>
              <w:keepNext/>
              <w:spacing w:before="40" w:after="40" w:line="240" w:lineRule="auto"/>
              <w:jc w:val="left"/>
            </w:pPr>
            <w:r>
              <w:rPr>
                <w:rFonts w:ascii="Palatino Linotype" w:hAnsi="Palatino Linotype" w:cs="Palatino Linotype"/>
                <w:color w:val="000000"/>
                <w:sz w:val="20"/>
                <w:szCs w:val="17"/>
              </w:rPr>
              <w:t>RO2: Decentralised Identity and Authority Trust</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AA03C4"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decentralised identity and authority verification mechanism using decentralised identifiers and verifiable credentials.</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5F5403"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422D9182"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98B70B7" w14:textId="77777777" w:rsidR="009262C4" w:rsidRDefault="00000000">
            <w:pPr>
              <w:keepNext/>
              <w:spacing w:before="40" w:after="40" w:line="240" w:lineRule="auto"/>
              <w:jc w:val="left"/>
            </w:pPr>
            <w:r>
              <w:rPr>
                <w:rFonts w:ascii="Palatino Linotype" w:hAnsi="Palatino Linotype" w:cs="Palatino Linotype"/>
                <w:color w:val="000000"/>
                <w:sz w:val="20"/>
                <w:szCs w:val="17"/>
              </w:rPr>
              <w:t>RQ3</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56FFE90" w14:textId="77777777" w:rsidR="009262C4" w:rsidRDefault="00000000">
            <w:pPr>
              <w:keepNext/>
              <w:spacing w:before="40" w:after="40" w:line="240" w:lineRule="auto"/>
              <w:jc w:val="left"/>
            </w:pPr>
            <w:r>
              <w:rPr>
                <w:rFonts w:ascii="Palatino Linotype" w:hAnsi="Palatino Linotype" w:cs="Palatino Linotype"/>
                <w:color w:val="000000"/>
                <w:sz w:val="20"/>
                <w:szCs w:val="17"/>
              </w:rPr>
              <w:t>RO3: Trustworthy Multi-Party Authorisation</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485AB3C"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06FD3A"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29B69BC2"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33F03B" w14:textId="77777777" w:rsidR="009262C4" w:rsidRDefault="00000000">
            <w:pPr>
              <w:keepNext/>
              <w:spacing w:before="40" w:after="40" w:line="240" w:lineRule="auto"/>
              <w:jc w:val="left"/>
            </w:pPr>
            <w:r>
              <w:rPr>
                <w:rFonts w:ascii="Palatino Linotype" w:hAnsi="Palatino Linotype" w:cs="Palatino Linotype"/>
                <w:color w:val="000000"/>
                <w:sz w:val="20"/>
                <w:szCs w:val="17"/>
              </w:rPr>
              <w:t>RQ4</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93F6A2" w14:textId="77777777" w:rsidR="009262C4" w:rsidRDefault="00000000">
            <w:pPr>
              <w:keepNext/>
              <w:spacing w:before="40" w:after="40" w:line="240" w:lineRule="auto"/>
              <w:jc w:val="left"/>
            </w:pPr>
            <w:r>
              <w:rPr>
                <w:rFonts w:ascii="Palatino Linotype" w:hAnsi="Palatino Linotype" w:cs="Palatino Linotype"/>
                <w:color w:val="000000"/>
                <w:sz w:val="20"/>
                <w:szCs w:val="17"/>
              </w:rPr>
              <w:t>RO4: Policy- and Context-Aware Access Control</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69473F" w14:textId="77777777" w:rsidR="009262C4" w:rsidRDefault="00000000">
            <w:pPr>
              <w:keepNext/>
              <w:spacing w:before="40" w:after="40" w:line="240" w:lineRule="auto"/>
              <w:jc w:val="left"/>
            </w:pPr>
            <w:r>
              <w:rPr>
                <w:rFonts w:ascii="Palatino Linotype" w:hAnsi="Palatino Linotype" w:cs="Palatino Linotype"/>
                <w:color w:val="000000"/>
                <w:sz w:val="20"/>
                <w:szCs w:val="17"/>
              </w:rPr>
              <w:t>To develop a policy-aware authorisation mechanism that evaluates the purpose and data scope of a requested operation against the constraints defined by the consent.</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4DEFDAC" w14:textId="77777777" w:rsidR="009262C4" w:rsidRDefault="00000000">
            <w:pPr>
              <w:keepNext/>
              <w:spacing w:before="40" w:after="40" w:line="240" w:lineRule="auto"/>
              <w:jc w:val="left"/>
            </w:pPr>
            <w:r>
              <w:rPr>
                <w:rFonts w:ascii="Palatino Linotype" w:hAnsi="Palatino Linotype" w:cs="Palatino Linotype"/>
                <w:color w:val="000000"/>
                <w:sz w:val="20"/>
                <w:szCs w:val="17"/>
              </w:rPr>
              <w:t>Done</w:t>
            </w:r>
          </w:p>
        </w:tc>
      </w:tr>
      <w:tr w:rsidR="009262C4" w14:paraId="0A812D5A" w14:textId="77777777">
        <w:trPr>
          <w:cantSplit/>
        </w:trPr>
        <w:tc>
          <w:tcPr>
            <w:tcW w:w="68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822715" w14:textId="77777777" w:rsidR="009262C4" w:rsidRDefault="00000000">
            <w:pPr>
              <w:keepNext/>
              <w:spacing w:before="40" w:after="40" w:line="240" w:lineRule="auto"/>
              <w:jc w:val="left"/>
            </w:pPr>
            <w:r>
              <w:rPr>
                <w:rFonts w:ascii="Palatino Linotype" w:hAnsi="Palatino Linotype" w:cs="Palatino Linotype"/>
                <w:color w:val="000000"/>
                <w:sz w:val="20"/>
                <w:szCs w:val="17"/>
              </w:rPr>
              <w:t>RQ5</w:t>
            </w:r>
          </w:p>
        </w:tc>
        <w:tc>
          <w:tcPr>
            <w:tcW w:w="234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24703" w14:textId="77777777" w:rsidR="009262C4" w:rsidRDefault="00000000">
            <w:pPr>
              <w:keepNext/>
              <w:spacing w:before="40" w:after="40" w:line="240" w:lineRule="auto"/>
              <w:jc w:val="left"/>
            </w:pPr>
            <w:r>
              <w:rPr>
                <w:rFonts w:ascii="Palatino Linotype" w:hAnsi="Palatino Linotype" w:cs="Palatino Linotype"/>
                <w:color w:val="000000"/>
                <w:sz w:val="20"/>
                <w:szCs w:val="17"/>
              </w:rPr>
              <w:t>RO5: Temporal and Lifecycle Trust</w:t>
            </w:r>
          </w:p>
        </w:tc>
        <w:tc>
          <w:tcPr>
            <w:tcW w:w="4544"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F0B3DFD" w14:textId="77777777" w:rsidR="009262C4" w:rsidRDefault="00000000">
            <w:pPr>
              <w:keepNext/>
              <w:spacing w:before="40" w:after="40" w:line="240" w:lineRule="auto"/>
              <w:jc w:val="left"/>
            </w:pPr>
            <w:r>
              <w:rPr>
                <w:rFonts w:ascii="Palatino Linotype" w:hAnsi="Palatino Linotype" w:cs="Palatino Linotype"/>
                <w:color w:val="000000"/>
                <w:sz w:val="20"/>
                <w:szCs w:val="17"/>
              </w:rPr>
              <w:t>To extend the trust-oriented framework with temporal validity and consent lifecycle controls.</w:t>
            </w:r>
          </w:p>
        </w:tc>
        <w:tc>
          <w:tcPr>
            <w:tcW w:w="156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561570" w14:textId="77777777" w:rsidR="009262C4" w:rsidRDefault="00000000">
            <w:pPr>
              <w:keepNext/>
              <w:spacing w:before="40" w:after="40" w:line="240" w:lineRule="auto"/>
              <w:jc w:val="left"/>
            </w:pPr>
            <w:r>
              <w:rPr>
                <w:rFonts w:ascii="Palatino Linotype" w:hAnsi="Palatino Linotype" w:cs="Palatino Linotype"/>
                <w:color w:val="000000"/>
                <w:sz w:val="20"/>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vAlign w:val="top"/>
          </w:tcPr>
          <w:p w14:paraId="18B589FF" w14:textId="77777777" w:rsidR="009262C4" w:rsidRDefault="00000000">
            <w:pPr>
              <w:spacing w:before="40" w:after="40" w:line="240" w:lineRule="auto"/>
              <w:jc w:val="left"/>
            </w:pPr>
            <w:r>
              <w:rPr>
                <w:rFonts w:ascii="Palatino Linotype" w:hAnsi="Palatino Linotype" w:cs="Palatino Linotype"/>
                <w:color w:val="000000"/>
                <w:sz w:val="20"/>
                <w:szCs w:val="17"/>
              </w:rPr>
              <w:t>RQ6</w:t>
            </w:r>
          </w:p>
        </w:tc>
        <w:tc>
          <w:tcPr>
            <w:tcW w:w="2340" w:type="dxa"/>
            <w:tcBorders>
              <w:top w:val="nil"/>
              <w:left w:val="nil"/>
              <w:bottom w:val="nil"/>
              <w:right w:val="nil"/>
              <w:insideH w:val="nil"/>
              <w:insideV w:val="nil"/>
            </w:tcBorders>
            <w:tcMar>
              <w:top w:w="40" w:type="dxa"/>
              <w:left w:w="80" w:type="dxa"/>
              <w:bottom w:w="40" w:type="dxa"/>
              <w:right w:w="80" w:type="dxa"/>
            </w:tcMar>
            <w:vAlign w:val="top"/>
          </w:tcPr>
          <w:p w14:paraId="077BCD3D" w14:textId="77777777" w:rsidR="009262C4" w:rsidRDefault="00000000">
            <w:pPr>
              <w:spacing w:before="40" w:after="40" w:line="240" w:lineRule="auto"/>
              <w:jc w:val="left"/>
            </w:pPr>
            <w:r>
              <w:rPr>
                <w:rFonts w:ascii="Palatino Linotype" w:hAnsi="Palatino Linotype" w:cs="Palatino Linotype"/>
                <w:color w:val="000000"/>
                <w:sz w:val="20"/>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vAlign w:val="top"/>
          </w:tcPr>
          <w:p w14:paraId="337D4938" w14:textId="77777777" w:rsidR="009262C4" w:rsidRDefault="00000000">
            <w:pPr>
              <w:spacing w:before="40" w:after="40" w:line="240" w:lineRule="auto"/>
              <w:jc w:val="left"/>
            </w:pPr>
            <w:r>
              <w:rPr>
                <w:rFonts w:ascii="Palatino Linotype" w:hAnsi="Palatino Linotype" w:cs="Palatino Linotype"/>
                <w:color w:val="000000"/>
                <w:sz w:val="20"/>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vAlign w:val="top"/>
          </w:tcPr>
          <w:p w14:paraId="686EBBB0" w14:textId="77777777" w:rsidR="009262C4" w:rsidRDefault="00000000">
            <w:pPr>
              <w:spacing w:before="40" w:after="40" w:line="240" w:lineRule="auto"/>
              <w:jc w:val="left"/>
            </w:pPr>
            <w:r>
              <w:rPr>
                <w:rFonts w:ascii="Palatino Linotype" w:hAnsi="Palatino Linotype" w:cs="Palatino Linotype"/>
                <w:color w:val="000000"/>
                <w:sz w:val="20"/>
                <w:szCs w:val="17"/>
              </w:rPr>
              <w:t>Partially completed</w:t>
            </w:r>
          </w:p>
        </w:tc>
      </w:tr>
    </w:tbl>
    <w:p w14:paraId="127522B7" w14:textId="77777777" w:rsidR="009262C4" w:rsidRDefault="009262C4">
      <w:pPr>
        <w:spacing w:after="160"/>
      </w:pPr>
    </w:p>
    <w:p>
      <w:pPr>
        <w:pStyle w:val="2"/>
        <w:keepNext/>
      </w:pPr>
      <w:r>
        <w:t>3.6 Conclusion</w:t>
      </w:r>
    </w:p>
    <w:p>
      <w:pPr/>
      <w: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2026-10-23T09:38:08Z</dcterms:created>
  <dcterms:modified xsi:type="dcterms:W3CDTF">2026-10-23T09:38:08Z</dcterms:modified>
</cp:coreProperties>
</file>