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1"/>
          <w:headerReference w:type="even" r:id="rId42"/>
          <w:footerReference w:type="default" r:id="rId34"/>
          <w:footerReference w:type="even" r:id="rId43"/>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27</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51</w:t>
      </w:r>
    </w:p>
    <w:p>
      <w:pPr>
        <w:tabs>
          <w:tab w:pos="8504" w:val="right" w:leader="dot"/>
        </w:tabs>
        <w:spacing w:after="40" w:before="0"/>
        <w:ind w:left="454"/>
        <w:jc w:val="left"/>
      </w:pPr>
      <w:r>
        <w:rPr>
          <w:rFonts w:ascii="Palatino Linotype" w:hAnsi="Palatino Linotype"/>
          <w:b w:val="0"/>
          <w:sz w:val="22"/>
        </w:rPr>
        <w:t>5.6 Prototype Implementation</w:t>
        <w:tab/>
        <w:t>53</w:t>
      </w:r>
    </w:p>
    <w:p>
      <w:pPr>
        <w:tabs>
          <w:tab w:pos="8504" w:val="right" w:leader="dot"/>
        </w:tabs>
        <w:spacing w:after="40" w:before="0"/>
        <w:ind w:left="1020"/>
        <w:jc w:val="left"/>
      </w:pPr>
      <w:r>
        <w:rPr>
          <w:rFonts w:ascii="Palatino Linotype" w:hAnsi="Palatino Linotype"/>
          <w:b w:val="0"/>
          <w:sz w:val="22"/>
        </w:rPr>
        <w:t>5.6.1 Aims of Engineering the Prototype System</w:t>
        <w:tab/>
        <w:t>53</w:t>
      </w:r>
    </w:p>
    <w:p>
      <w:pPr>
        <w:tabs>
          <w:tab w:pos="8504" w:val="right" w:leader="dot"/>
        </w:tabs>
        <w:spacing w:after="40" w:before="0"/>
        <w:ind w:left="454"/>
        <w:jc w:val="left"/>
      </w:pPr>
      <w:r>
        <w:rPr>
          <w:rFonts w:ascii="Palatino Linotype" w:hAnsi="Palatino Linotype"/>
          <w:b w:val="0"/>
          <w:sz w:val="22"/>
        </w:rPr>
        <w:t>5.7 Datasets Used for Validation</w:t>
        <w:tab/>
        <w:t>54</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55</w:t>
      </w:r>
    </w:p>
    <w:p>
      <w:pPr>
        <w:tabs>
          <w:tab w:pos="8504" w:val="right" w:leader="dot"/>
        </w:tabs>
        <w:spacing w:after="40" w:before="0"/>
        <w:ind w:left="1020"/>
        <w:jc w:val="left"/>
      </w:pPr>
      <w:r>
        <w:rPr>
          <w:rFonts w:ascii="Palatino Linotype" w:hAnsi="Palatino Linotype"/>
          <w:b w:val="0"/>
          <w:sz w:val="22"/>
        </w:rPr>
        <w:t>5.8.1 Steps in the patient interface</w:t>
        <w:tab/>
        <w:t>55</w:t>
      </w:r>
    </w:p>
    <w:p>
      <w:pPr>
        <w:tabs>
          <w:tab w:pos="8504" w:val="right" w:leader="dot"/>
        </w:tabs>
        <w:spacing w:after="40" w:before="0"/>
        <w:ind w:left="1020"/>
        <w:jc w:val="left"/>
      </w:pPr>
      <w:r>
        <w:rPr>
          <w:rFonts w:ascii="Palatino Linotype" w:hAnsi="Palatino Linotype"/>
          <w:b w:val="0"/>
          <w:sz w:val="22"/>
        </w:rPr>
        <w:t>5.8.2 Steps in the service layer</w:t>
        <w:tab/>
        <w:t>55</w:t>
      </w:r>
    </w:p>
    <w:p>
      <w:pPr>
        <w:tabs>
          <w:tab w:pos="8504" w:val="right" w:leader="dot"/>
        </w:tabs>
        <w:spacing w:after="40" w:before="0"/>
        <w:ind w:left="454"/>
        <w:jc w:val="left"/>
      </w:pPr>
      <w:r>
        <w:rPr>
          <w:rFonts w:ascii="Palatino Linotype" w:hAnsi="Palatino Linotype"/>
          <w:b w:val="0"/>
          <w:sz w:val="22"/>
        </w:rPr>
        <w:t>5.9 Prototype Evaluation and Discussion</w:t>
        <w:tab/>
        <w:t>56</w:t>
      </w:r>
    </w:p>
    <w:p>
      <w:pPr>
        <w:tabs>
          <w:tab w:pos="8504" w:val="right" w:leader="dot"/>
        </w:tabs>
        <w:spacing w:after="40" w:before="0"/>
        <w:ind w:left="1020"/>
        <w:jc w:val="left"/>
      </w:pPr>
      <w:r>
        <w:rPr>
          <w:rFonts w:ascii="Palatino Linotype" w:hAnsi="Palatino Linotype"/>
          <w:b w:val="0"/>
          <w:sz w:val="22"/>
        </w:rPr>
        <w:t>5.9.1 Validation of Consent Creation</w:t>
        <w:tab/>
        <w:t>56</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58</w:t>
      </w:r>
    </w:p>
    <w:p>
      <w:pPr>
        <w:tabs>
          <w:tab w:pos="8504" w:val="right" w:leader="dot"/>
        </w:tabs>
        <w:spacing w:after="40" w:before="0"/>
        <w:ind w:left="1020"/>
        <w:jc w:val="left"/>
      </w:pPr>
      <w:r>
        <w:rPr>
          <w:rFonts w:ascii="Palatino Linotype" w:hAnsi="Palatino Linotype"/>
          <w:b w:val="0"/>
          <w:sz w:val="22"/>
        </w:rPr>
        <w:t>5.9.3 Discussion</w:t>
        <w:tab/>
        <w:t>60</w:t>
      </w:r>
    </w:p>
    <w:p>
      <w:pPr>
        <w:tabs>
          <w:tab w:pos="8504" w:val="right" w:leader="dot"/>
        </w:tabs>
        <w:spacing w:after="40" w:before="0"/>
        <w:ind w:left="454"/>
        <w:jc w:val="left"/>
      </w:pPr>
      <w:r>
        <w:rPr>
          <w:rFonts w:ascii="Palatino Linotype" w:hAnsi="Palatino Linotype"/>
          <w:b w:val="0"/>
          <w:sz w:val="22"/>
        </w:rPr>
        <w:t>5.10 Conclusion</w:t>
        <w:tab/>
        <w:t>60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50</w:t>
      </w:r>
    </w:p>
    <w:p>
      <w:pPr>
        <w:tabs>
          <w:tab w:pos="8504" w:val="right" w:leader="dot"/>
        </w:tabs>
        <w:spacing w:after="40" w:before="0"/>
        <w:ind w:left="454"/>
        <w:jc w:val="left"/>
      </w:pPr>
      <w:r>
        <w:rPr>
          <w:rFonts w:ascii="Palatino Linotype" w:hAnsi="Palatino Linotype"/>
          <w:b w:val="0"/>
          <w:sz w:val="22"/>
        </w:rPr>
        <w:t>5.6 Six-component consent model C = (I, A, P, T, L, E).</w:t>
        <w:tab/>
        <w:t>51</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56</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54</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58</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4"/>
          <w:headerReference w:type="even" r:id="rId45"/>
          <w:footerReference w:type="default" r:id="rId46"/>
          <w:footerReference w:type="even" r:id="rId47"/>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w:t>
      </w:r>
      <w:r>
        <w:t>.</w:t>
      </w:r>
      <w:r>
        <w:t xml:space="preserve">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integrated with the complete access decision (Req 5):</w:t>
      </w:r>
      <w: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addressed through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t>This requirement is addressed through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addressed through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addressed through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w:t>
      </w:r>
      <w:r>
        <w:t>This requirement is addressed through RO5, presented in Chapter 9.</w:t>
      </w:r>
    </w:p>
    <w:p>
      <w:pPr>
        <w:pStyle w:val="3"/>
        <w:keepNext/>
      </w:pPr>
      <w:r>
        <w:t>2.5.6 Verifiable Auditability and Security Assurance (Req 6)</w:t>
      </w:r>
    </w:p>
    <w:p>
      <w:pPr/>
      <w:r>
        <w:t xml:space="preserve">Audit ledger evidence and 46 automated tests, including twelve attack scenarios A1 to A12. </w:t>
      </w:r>
      <w:r>
        <w:t>This requirement is addressed through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8"/>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9"/>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40"/>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Identifiers without a valid credential rejected before anything is stored; valid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3 and 7: the guardian set G, and the threshold N derived from it as |G|;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8"/>
      <w:headerReference w:type="even" r:id="rId49"/>
      <w:footerReference w:type="default" r:id="rId50"/>
      <w:footerReference w:type="even" r:id="rId51"/>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footer" Target="footer2.xml"/><Relationship Id="rId44" Type="http://schemas.openxmlformats.org/officeDocument/2006/relationships/header" Target="header3.xml"/><Relationship Id="rId45" Type="http://schemas.openxmlformats.org/officeDocument/2006/relationships/header" Target="header4.xml"/><Relationship Id="rId46" Type="http://schemas.openxmlformats.org/officeDocument/2006/relationships/footer" Target="footer3.xml"/><Relationship Id="rId47" Type="http://schemas.openxmlformats.org/officeDocument/2006/relationships/footer" Target="footer4.xml"/><Relationship Id="rId48" Type="http://schemas.openxmlformats.org/officeDocument/2006/relationships/header" Target="header5.xml"/><Relationship Id="rId49" Type="http://schemas.openxmlformats.org/officeDocument/2006/relationships/header" Target="header6.xml"/><Relationship Id="rId50" Type="http://schemas.openxmlformats.org/officeDocument/2006/relationships/footer" Target="footer5.xml"/><Relationship Id="rId5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2026-10-23T09:38:58Z</dcterms:created>
  <dcterms:modified xsi:type="dcterms:W3CDTF">2026-10-23T09:38:58Z</dcterms:modified>
</cp:coreProperties>
</file>