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6"/>
          <w:headerReference w:type="even" r:id="rId47"/>
          <w:footerReference w:type="default" r:id="rId34"/>
          <w:footerReference w:type="even" r:id="rId48"/>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ix</w:t>
      </w:r>
    </w:p>
    <w:p>
      <w:pPr>
        <w:tabs>
          <w:tab w:pos="8504" w:val="right" w:leader="dot"/>
        </w:tabs>
        <w:spacing w:after="120" w:before="160"/>
        <w:ind w:left="0"/>
        <w:jc w:val="left"/>
      </w:pPr>
      <w:r>
        <w:rPr>
          <w:rFonts w:ascii="Palatino Linotype" w:hAnsi="Palatino Linotype"/>
          <w:b/>
          <w:sz w:val="22"/>
        </w:rPr>
        <w:t>List of Tables</w:t>
        <w:tab/>
        <w:t>x</w:t>
      </w:r>
    </w:p>
    <w:p>
      <w:pPr>
        <w:tabs>
          <w:tab w:pos="8504" w:val="right" w:leader="dot"/>
        </w:tabs>
        <w:spacing w:after="120" w:before="160"/>
        <w:ind w:left="0"/>
        <w:jc w:val="left"/>
      </w:pPr>
      <w:r>
        <w:rPr>
          <w:rFonts w:ascii="Palatino Linotype" w:hAnsi="Palatino Linotype"/>
          <w:b/>
          <w:sz w:val="22"/>
        </w:rPr>
        <w:t>Abstract</w:t>
        <w:tab/>
        <w:t>xi</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20</w:t>
      </w:r>
    </w:p>
    <w:p>
      <w:pPr>
        <w:tabs>
          <w:tab w:pos="8504" w:val="right" w:leader="dot"/>
        </w:tabs>
        <w:spacing w:after="40" w:before="0"/>
        <w:ind w:left="1020"/>
        <w:jc w:val="left"/>
      </w:pPr>
      <w:r>
        <w:rPr>
          <w:rFonts w:ascii="Palatino Linotype" w:hAnsi="Palatino Linotype"/>
          <w:b w:val="0"/>
          <w:sz w:val="22"/>
        </w:rPr>
        <w:t>2.4.5 Temporal validity and consent lifecycle (Req 5)</w:t>
        <w:tab/>
        <w:t>20</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21</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22</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27</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27</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27</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27</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27</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27</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27</w:t>
      </w:r>
    </w:p>
    <w:p>
      <w:pPr>
        <w:tabs>
          <w:tab w:pos="8504" w:val="right" w:leader="dot"/>
        </w:tabs>
        <w:spacing w:after="40" w:before="0"/>
        <w:ind w:left="454"/>
        <w:jc w:val="left"/>
      </w:pPr>
      <w:r>
        <w:rPr>
          <w:rFonts w:ascii="Palatino Linotype" w:hAnsi="Palatino Linotype"/>
          <w:b w:val="0"/>
          <w:sz w:val="22"/>
        </w:rPr>
        <w:t>2.6 Conclusion</w:t>
        <w:tab/>
        <w:t>27</w:t>
      </w:r>
    </w:p>
    <w:p>
      <w:pPr>
        <w:tabs>
          <w:tab w:pos="8504" w:val="right" w:leader="dot"/>
        </w:tabs>
        <w:spacing w:after="120" w:before="160"/>
        <w:ind w:left="0"/>
        <w:jc w:val="left"/>
      </w:pPr>
      <w:r>
        <w:rPr>
          <w:rFonts w:ascii="Palatino Linotype" w:hAnsi="Palatino Linotype"/>
          <w:b/>
          <w:sz w:val="22"/>
        </w:rPr>
        <w:t>3 Research Questions and Objectives</w:t>
        <w:tab/>
        <w:t>29</w:t>
      </w:r>
    </w:p>
    <w:p>
      <w:pPr>
        <w:tabs>
          <w:tab w:pos="8504" w:val="right" w:leader="dot"/>
        </w:tabs>
        <w:spacing w:after="40" w:before="0"/>
        <w:ind w:left="454"/>
        <w:jc w:val="left"/>
      </w:pPr>
      <w:r>
        <w:rPr>
          <w:rFonts w:ascii="Palatino Linotype" w:hAnsi="Palatino Linotype"/>
          <w:b w:val="0"/>
          <w:sz w:val="22"/>
        </w:rPr>
        <w:t>3.1 Introduction</w:t>
        <w:tab/>
        <w:t>29</w:t>
      </w:r>
    </w:p>
    <w:p>
      <w:pPr>
        <w:tabs>
          <w:tab w:pos="8504" w:val="right" w:leader="dot"/>
        </w:tabs>
        <w:spacing w:after="40" w:before="0"/>
        <w:ind w:left="454"/>
        <w:jc w:val="left"/>
      </w:pPr>
      <w:r>
        <w:rPr>
          <w:rFonts w:ascii="Palatino Linotype" w:hAnsi="Palatino Linotype"/>
          <w:b w:val="0"/>
          <w:sz w:val="22"/>
        </w:rPr>
        <w:t>3.2 Gaps in the Literature</w:t>
        <w:tab/>
        <w:t>29</w:t>
      </w:r>
    </w:p>
    <w:p>
      <w:pPr>
        <w:tabs>
          <w:tab w:pos="8504" w:val="right" w:leader="dot"/>
        </w:tabs>
        <w:spacing w:after="40" w:before="0"/>
        <w:ind w:left="454"/>
        <w:jc w:val="left"/>
      </w:pPr>
      <w:r>
        <w:rPr>
          <w:rFonts w:ascii="Palatino Linotype" w:hAnsi="Palatino Linotype"/>
          <w:b w:val="0"/>
          <w:sz w:val="22"/>
        </w:rPr>
        <w:t>3.3 Key Definitions</w:t>
        <w:tab/>
        <w:t>30</w:t>
      </w:r>
    </w:p>
    <w:p>
      <w:pPr>
        <w:tabs>
          <w:tab w:pos="8504" w:val="right" w:leader="dot"/>
        </w:tabs>
        <w:spacing w:after="40" w:before="0"/>
        <w:ind w:left="454"/>
        <w:jc w:val="left"/>
      </w:pPr>
      <w:r>
        <w:rPr>
          <w:rFonts w:ascii="Palatino Linotype" w:hAnsi="Palatino Linotype"/>
          <w:b w:val="0"/>
          <w:sz w:val="22"/>
        </w:rPr>
        <w:t>3.4 Research Questions</w:t>
        <w:tab/>
        <w:t>30</w:t>
      </w:r>
    </w:p>
    <w:p>
      <w:pPr>
        <w:tabs>
          <w:tab w:pos="8504" w:val="right" w:leader="dot"/>
        </w:tabs>
        <w:spacing w:after="40" w:before="0"/>
        <w:ind w:left="1020"/>
        <w:jc w:val="left"/>
      </w:pPr>
      <w:r>
        <w:rPr>
          <w:rFonts w:ascii="Palatino Linotype" w:hAnsi="Palatino Linotype"/>
          <w:b w:val="0"/>
          <w:sz w:val="22"/>
        </w:rPr>
        <w:t>3.4.1 Research Questions as an Integrated Problem</w:t>
        <w:tab/>
        <w:t>31</w:t>
      </w:r>
    </w:p>
    <w:p>
      <w:pPr>
        <w:tabs>
          <w:tab w:pos="8504" w:val="right" w:leader="dot"/>
        </w:tabs>
        <w:spacing w:after="40" w:before="0"/>
        <w:ind w:left="454"/>
        <w:jc w:val="left"/>
      </w:pPr>
      <w:r>
        <w:rPr>
          <w:rFonts w:ascii="Palatino Linotype" w:hAnsi="Palatino Linotype"/>
          <w:b w:val="0"/>
          <w:sz w:val="22"/>
        </w:rPr>
        <w:t>3.5 Research Objectives</w:t>
        <w:tab/>
        <w:t>31</w:t>
      </w:r>
    </w:p>
    <w:p>
      <w:pPr>
        <w:tabs>
          <w:tab w:pos="8504" w:val="right" w:leader="dot"/>
        </w:tabs>
        <w:spacing w:after="40" w:before="0"/>
        <w:ind w:left="1020"/>
        <w:jc w:val="left"/>
      </w:pPr>
      <w:r>
        <w:rPr>
          <w:rFonts w:ascii="Palatino Linotype" w:hAnsi="Palatino Linotype"/>
          <w:b w:val="0"/>
          <w:sz w:val="22"/>
        </w:rPr>
        <w:t>3.5.1 RO1: Trust-Centric Consent Model</w:t>
        <w:tab/>
        <w:t>31</w:t>
      </w:r>
    </w:p>
    <w:p>
      <w:pPr>
        <w:tabs>
          <w:tab w:pos="8504" w:val="right" w:leader="dot"/>
        </w:tabs>
        <w:spacing w:after="40" w:before="0"/>
        <w:ind w:left="1020"/>
        <w:jc w:val="left"/>
      </w:pPr>
      <w:r>
        <w:rPr>
          <w:rFonts w:ascii="Palatino Linotype" w:hAnsi="Palatino Linotype"/>
          <w:b w:val="0"/>
          <w:sz w:val="22"/>
        </w:rPr>
        <w:t>3.5.2 RO2: Decentralised Identity and Authority Trust</w:t>
        <w:tab/>
        <w:t>32</w:t>
      </w:r>
    </w:p>
    <w:p>
      <w:pPr>
        <w:tabs>
          <w:tab w:pos="8504" w:val="right" w:leader="dot"/>
        </w:tabs>
        <w:spacing w:after="40" w:before="0"/>
        <w:ind w:left="1020"/>
        <w:jc w:val="left"/>
      </w:pPr>
      <w:r>
        <w:rPr>
          <w:rFonts w:ascii="Palatino Linotype" w:hAnsi="Palatino Linotype"/>
          <w:b w:val="0"/>
          <w:sz w:val="22"/>
        </w:rPr>
        <w:t>3.5.3 RO3: Trustworthy Multi-Party Authorisation</w:t>
        <w:tab/>
        <w:t>32</w:t>
      </w:r>
    </w:p>
    <w:p>
      <w:pPr>
        <w:tabs>
          <w:tab w:pos="8504" w:val="right" w:leader="dot"/>
        </w:tabs>
        <w:spacing w:after="40" w:before="0"/>
        <w:ind w:left="1020"/>
        <w:jc w:val="left"/>
      </w:pPr>
      <w:r>
        <w:rPr>
          <w:rFonts w:ascii="Palatino Linotype" w:hAnsi="Palatino Linotype"/>
          <w:b w:val="0"/>
          <w:sz w:val="22"/>
        </w:rPr>
        <w:t>3.5.4 RO4: Policy- and Context-Aware Access Control</w:t>
        <w:tab/>
        <w:t>32</w:t>
      </w:r>
    </w:p>
    <w:p>
      <w:pPr>
        <w:tabs>
          <w:tab w:pos="8504" w:val="right" w:leader="dot"/>
        </w:tabs>
        <w:spacing w:after="40" w:before="0"/>
        <w:ind w:left="1020"/>
        <w:jc w:val="left"/>
      </w:pPr>
      <w:r>
        <w:rPr>
          <w:rFonts w:ascii="Palatino Linotype" w:hAnsi="Palatino Linotype"/>
          <w:b w:val="0"/>
          <w:sz w:val="22"/>
        </w:rPr>
        <w:t>3.5.5 RO5: Temporal and Lifecycle Trust</w:t>
        <w:tab/>
        <w:t>32</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33</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33</w:t>
      </w:r>
    </w:p>
    <w:p>
      <w:pPr>
        <w:tabs>
          <w:tab w:pos="8504" w:val="right" w:leader="dot"/>
        </w:tabs>
        <w:spacing w:after="40" w:before="0"/>
        <w:ind w:left="454"/>
        <w:jc w:val="left"/>
      </w:pPr>
      <w:r>
        <w:rPr>
          <w:rFonts w:ascii="Palatino Linotype" w:hAnsi="Palatino Linotype"/>
          <w:b w:val="0"/>
          <w:sz w:val="22"/>
        </w:rPr>
        <w:t>3.6 Conclusion</w:t>
        <w:tab/>
        <w:t>34</w:t>
      </w:r>
    </w:p>
    <w:p>
      <w:pPr>
        <w:tabs>
          <w:tab w:pos="8504" w:val="right" w:leader="dot"/>
        </w:tabs>
        <w:spacing w:after="120" w:before="160"/>
        <w:ind w:left="0"/>
        <w:jc w:val="left"/>
      </w:pPr>
      <w:r>
        <w:rPr>
          <w:rFonts w:ascii="Palatino Linotype" w:hAnsi="Palatino Linotype"/>
          <w:b/>
          <w:sz w:val="22"/>
        </w:rPr>
        <w:t>4 Research Methodology and Solution Overview</w:t>
        <w:tab/>
        <w:t>35</w:t>
      </w:r>
    </w:p>
    <w:p>
      <w:pPr>
        <w:tabs>
          <w:tab w:pos="8504" w:val="right" w:leader="dot"/>
        </w:tabs>
        <w:spacing w:after="40" w:before="0"/>
        <w:ind w:left="454"/>
        <w:jc w:val="left"/>
      </w:pPr>
      <w:r>
        <w:rPr>
          <w:rFonts w:ascii="Palatino Linotype" w:hAnsi="Palatino Linotype"/>
          <w:b w:val="0"/>
          <w:sz w:val="22"/>
        </w:rPr>
        <w:t>4.1 Introduction</w:t>
        <w:tab/>
        <w:t>35</w:t>
      </w:r>
    </w:p>
    <w:p>
      <w:pPr>
        <w:tabs>
          <w:tab w:pos="8504" w:val="right" w:leader="dot"/>
        </w:tabs>
        <w:spacing w:after="40" w:before="0"/>
        <w:ind w:left="454"/>
        <w:jc w:val="left"/>
      </w:pPr>
      <w:r>
        <w:rPr>
          <w:rFonts w:ascii="Palatino Linotype" w:hAnsi="Palatino Linotype"/>
          <w:b w:val="0"/>
          <w:sz w:val="22"/>
        </w:rPr>
        <w:t>4.2 Key Definitions</w:t>
        <w:tab/>
        <w:t>35</w:t>
      </w:r>
    </w:p>
    <w:p>
      <w:pPr>
        <w:tabs>
          <w:tab w:pos="8504" w:val="right" w:leader="dot"/>
        </w:tabs>
        <w:spacing w:after="40" w:before="0"/>
        <w:ind w:left="454"/>
        <w:jc w:val="left"/>
      </w:pPr>
      <w:r>
        <w:rPr>
          <w:rFonts w:ascii="Palatino Linotype" w:hAnsi="Palatino Linotype"/>
          <w:b w:val="0"/>
          <w:sz w:val="22"/>
        </w:rPr>
        <w:t>4.3 Selected Research Methodology</w:t>
        <w:tab/>
        <w:t>36</w:t>
      </w:r>
    </w:p>
    <w:p>
      <w:pPr>
        <w:tabs>
          <w:tab w:pos="8504" w:val="right" w:leader="dot"/>
        </w:tabs>
        <w:spacing w:after="40" w:before="0"/>
        <w:ind w:left="454"/>
        <w:jc w:val="left"/>
      </w:pPr>
      <w:r>
        <w:rPr>
          <w:rFonts w:ascii="Palatino Linotype" w:hAnsi="Palatino Linotype"/>
          <w:b w:val="0"/>
          <w:sz w:val="22"/>
        </w:rPr>
        <w:t>4.4 Solution Overview</w:t>
        <w:tab/>
        <w:t>36</w:t>
      </w:r>
    </w:p>
    <w:p>
      <w:pPr>
        <w:tabs>
          <w:tab w:pos="8504" w:val="right" w:leader="dot"/>
        </w:tabs>
        <w:spacing w:after="40" w:before="0"/>
        <w:ind w:left="454"/>
        <w:jc w:val="left"/>
      </w:pPr>
      <w:r>
        <w:rPr>
          <w:rFonts w:ascii="Palatino Linotype" w:hAnsi="Palatino Linotype"/>
          <w:b w:val="0"/>
          <w:sz w:val="22"/>
        </w:rPr>
        <w:t>4.5 Overview of Solution for RQ1</w:t>
        <w:tab/>
        <w:t>38</w:t>
      </w:r>
    </w:p>
    <w:p>
      <w:pPr>
        <w:tabs>
          <w:tab w:pos="8504" w:val="right" w:leader="dot"/>
        </w:tabs>
        <w:spacing w:after="40" w:before="0"/>
        <w:ind w:left="454"/>
        <w:jc w:val="left"/>
      </w:pPr>
      <w:r>
        <w:rPr>
          <w:rFonts w:ascii="Palatino Linotype" w:hAnsi="Palatino Linotype"/>
          <w:b w:val="0"/>
          <w:sz w:val="22"/>
        </w:rPr>
        <w:t>4.6 Overview of Solution for RQ2</w:t>
        <w:tab/>
        <w:t>39</w:t>
      </w:r>
    </w:p>
    <w:p>
      <w:pPr>
        <w:tabs>
          <w:tab w:pos="8504" w:val="right" w:leader="dot"/>
        </w:tabs>
        <w:spacing w:after="40" w:before="0"/>
        <w:ind w:left="454"/>
        <w:jc w:val="left"/>
      </w:pPr>
      <w:r>
        <w:rPr>
          <w:rFonts w:ascii="Palatino Linotype" w:hAnsi="Palatino Linotype"/>
          <w:b w:val="0"/>
          <w:sz w:val="22"/>
        </w:rPr>
        <w:t>4.7 Overview of Solution for RQ3</w:t>
        <w:tab/>
        <w:t>39</w:t>
      </w:r>
    </w:p>
    <w:p>
      <w:pPr>
        <w:tabs>
          <w:tab w:pos="8504" w:val="right" w:leader="dot"/>
        </w:tabs>
        <w:spacing w:after="40" w:before="0"/>
        <w:ind w:left="454"/>
        <w:jc w:val="left"/>
      </w:pPr>
      <w:r>
        <w:rPr>
          <w:rFonts w:ascii="Palatino Linotype" w:hAnsi="Palatino Linotype"/>
          <w:b w:val="0"/>
          <w:sz w:val="22"/>
        </w:rPr>
        <w:t>4.8 Overview of Solution for RQ4</w:t>
        <w:tab/>
        <w:t>39</w:t>
      </w:r>
    </w:p>
    <w:p>
      <w:pPr>
        <w:tabs>
          <w:tab w:pos="8504" w:val="right" w:leader="dot"/>
        </w:tabs>
        <w:spacing w:after="40" w:before="0"/>
        <w:ind w:left="454"/>
        <w:jc w:val="left"/>
      </w:pPr>
      <w:r>
        <w:rPr>
          <w:rFonts w:ascii="Palatino Linotype" w:hAnsi="Palatino Linotype"/>
          <w:b w:val="0"/>
          <w:sz w:val="22"/>
        </w:rPr>
        <w:t>4.9 Overview of Solution for RQ5</w:t>
        <w:tab/>
        <w:t>40</w:t>
      </w:r>
    </w:p>
    <w:p>
      <w:pPr>
        <w:tabs>
          <w:tab w:pos="8504" w:val="right" w:leader="dot"/>
        </w:tabs>
        <w:spacing w:after="40" w:before="0"/>
        <w:ind w:left="454"/>
        <w:jc w:val="left"/>
      </w:pPr>
      <w:r>
        <w:rPr>
          <w:rFonts w:ascii="Palatino Linotype" w:hAnsi="Palatino Linotype"/>
          <w:b w:val="0"/>
          <w:sz w:val="22"/>
        </w:rPr>
        <w:t>4.10 Overview of Solution for RQ6</w:t>
        <w:tab/>
        <w:t>40</w:t>
      </w:r>
    </w:p>
    <w:p>
      <w:pPr>
        <w:tabs>
          <w:tab w:pos="8504" w:val="right" w:leader="dot"/>
        </w:tabs>
        <w:spacing w:after="40" w:before="0"/>
        <w:ind w:left="1020"/>
        <w:jc w:val="left"/>
      </w:pPr>
      <w:r>
        <w:rPr>
          <w:rFonts w:ascii="Palatino Linotype" w:hAnsi="Palatino Linotype"/>
          <w:b w:val="0"/>
          <w:sz w:val="22"/>
        </w:rPr>
        <w:t>4.10.1 Testing and Verification of the Solution</w:t>
        <w:tab/>
        <w:t>40</w:t>
      </w:r>
    </w:p>
    <w:p>
      <w:pPr>
        <w:tabs>
          <w:tab w:pos="8504" w:val="right" w:leader="dot"/>
        </w:tabs>
        <w:spacing w:after="40" w:before="0"/>
        <w:ind w:left="454"/>
        <w:jc w:val="left"/>
      </w:pPr>
      <w:r>
        <w:rPr>
          <w:rFonts w:ascii="Palatino Linotype" w:hAnsi="Palatino Linotype"/>
          <w:b w:val="0"/>
          <w:sz w:val="22"/>
        </w:rPr>
        <w:t>4.11 Conclusion</w:t>
        <w:tab/>
        <w:t>40</w:t>
      </w:r>
    </w:p>
    <w:p>
      <w:pPr>
        <w:tabs>
          <w:tab w:pos="8504" w:val="right" w:leader="dot"/>
        </w:tabs>
        <w:spacing w:after="120" w:before="160"/>
        <w:ind w:left="0"/>
        <w:jc w:val="left"/>
      </w:pPr>
      <w:r>
        <w:rPr>
          <w:rFonts w:ascii="Palatino Linotype" w:hAnsi="Palatino Linotype"/>
          <w:b/>
          <w:sz w:val="22"/>
        </w:rPr>
        <w:t>5 Research Architecture and Trust-Centric Consent Model</w:t>
        <w:tab/>
        <w:t>42</w:t>
      </w:r>
    </w:p>
    <w:p>
      <w:pPr>
        <w:tabs>
          <w:tab w:pos="8504" w:val="right" w:leader="dot"/>
        </w:tabs>
        <w:spacing w:after="40" w:before="0"/>
        <w:ind w:left="454"/>
        <w:jc w:val="left"/>
      </w:pPr>
      <w:r>
        <w:rPr>
          <w:rFonts w:ascii="Palatino Linotype" w:hAnsi="Palatino Linotype"/>
          <w:b w:val="0"/>
          <w:sz w:val="22"/>
        </w:rPr>
        <w:t>5.1 Introduction</w:t>
        <w:tab/>
        <w:t>42</w:t>
      </w:r>
    </w:p>
    <w:p>
      <w:pPr>
        <w:tabs>
          <w:tab w:pos="8504" w:val="right" w:leader="dot"/>
        </w:tabs>
        <w:spacing w:after="40" w:before="0"/>
        <w:ind w:left="454"/>
        <w:jc w:val="left"/>
      </w:pPr>
      <w:r>
        <w:rPr>
          <w:rFonts w:ascii="Palatino Linotype" w:hAnsi="Palatino Linotype"/>
          <w:b w:val="0"/>
          <w:sz w:val="22"/>
        </w:rPr>
        <w:t>5.2 Layered Architecture and Component Decomposition</w:t>
        <w:tab/>
        <w:t>43</w:t>
      </w:r>
    </w:p>
    <w:p>
      <w:pPr>
        <w:tabs>
          <w:tab w:pos="8504" w:val="right" w:leader="dot"/>
        </w:tabs>
        <w:spacing w:after="40" w:before="0"/>
        <w:ind w:left="454"/>
        <w:jc w:val="left"/>
      </w:pPr>
      <w:r>
        <w:rPr>
          <w:rFonts w:ascii="Palatino Linotype" w:hAnsi="Palatino Linotype"/>
          <w:b w:val="0"/>
          <w:sz w:val="22"/>
        </w:rPr>
        <w:t>5.3 Trust Evaluation and Architectural Boundaries</w:t>
        <w:tab/>
        <w:t>45</w:t>
      </w:r>
    </w:p>
    <w:p>
      <w:pPr>
        <w:tabs>
          <w:tab w:pos="8504" w:val="right" w:leader="dot"/>
        </w:tabs>
        <w:spacing w:after="40" w:before="0"/>
        <w:ind w:left="454"/>
        <w:jc w:val="left"/>
      </w:pPr>
      <w:r>
        <w:rPr>
          <w:rFonts w:ascii="Palatino Linotype" w:hAnsi="Palatino Linotype"/>
          <w:b w:val="0"/>
          <w:sz w:val="22"/>
        </w:rPr>
        <w:t>5.4 MVC Architecture and the Research Objectives</w:t>
        <w:tab/>
        <w:t>47</w:t>
      </w:r>
    </w:p>
    <w:p>
      <w:pPr>
        <w:tabs>
          <w:tab w:pos="8504" w:val="right" w:leader="dot"/>
        </w:tabs>
        <w:spacing w:after="40" w:before="0"/>
        <w:ind w:left="454"/>
        <w:jc w:val="left"/>
      </w:pPr>
      <w:r>
        <w:rPr>
          <w:rFonts w:ascii="Palatino Linotype" w:hAnsi="Palatino Linotype"/>
          <w:b w:val="0"/>
          <w:sz w:val="22"/>
        </w:rPr>
        <w:t>5.5 Trust-Centric Consent Model</w:t>
        <w:tab/>
        <w:t>49</w:t>
      </w:r>
    </w:p>
    <w:p>
      <w:pPr>
        <w:tabs>
          <w:tab w:pos="8504" w:val="right" w:leader="dot"/>
        </w:tabs>
        <w:spacing w:after="40" w:before="0"/>
        <w:ind w:left="1020"/>
        <w:jc w:val="left"/>
      </w:pPr>
      <w:r>
        <w:rPr>
          <w:rFonts w:ascii="Palatino Linotype" w:hAnsi="Palatino Linotype"/>
          <w:b w:val="0"/>
          <w:sz w:val="22"/>
        </w:rPr>
        <w:t>5.5.1 Consent Creation Workflow</w:t>
        <w:tab/>
        <w:t>49</w:t>
      </w:r>
    </w:p>
    <w:p>
      <w:pPr>
        <w:tabs>
          <w:tab w:pos="8504" w:val="right" w:leader="dot"/>
        </w:tabs>
        <w:spacing w:after="40" w:before="0"/>
        <w:ind w:left="1020"/>
        <w:jc w:val="left"/>
      </w:pPr>
      <w:r>
        <w:rPr>
          <w:rFonts w:ascii="Palatino Linotype" w:hAnsi="Palatino Linotype"/>
          <w:b w:val="0"/>
          <w:sz w:val="22"/>
        </w:rPr>
        <w:t>5.5.2 Structure of the Consent Object</w:t>
        <w:tab/>
        <w:t>50</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51</w:t>
      </w:r>
    </w:p>
    <w:p>
      <w:pPr>
        <w:tabs>
          <w:tab w:pos="8504" w:val="right" w:leader="dot"/>
        </w:tabs>
        <w:spacing w:after="40" w:before="0"/>
        <w:ind w:left="454"/>
        <w:jc w:val="left"/>
      </w:pPr>
      <w:r>
        <w:rPr>
          <w:rFonts w:ascii="Palatino Linotype" w:hAnsi="Palatino Linotype"/>
          <w:b w:val="0"/>
          <w:sz w:val="22"/>
        </w:rPr>
        <w:t>5.6 Prototype Implementation</w:t>
        <w:tab/>
        <w:t>53</w:t>
      </w:r>
    </w:p>
    <w:p>
      <w:pPr>
        <w:tabs>
          <w:tab w:pos="8504" w:val="right" w:leader="dot"/>
        </w:tabs>
        <w:spacing w:after="40" w:before="0"/>
        <w:ind w:left="1020"/>
        <w:jc w:val="left"/>
      </w:pPr>
      <w:r>
        <w:rPr>
          <w:rFonts w:ascii="Palatino Linotype" w:hAnsi="Palatino Linotype"/>
          <w:b w:val="0"/>
          <w:sz w:val="22"/>
        </w:rPr>
        <w:t>5.6.1 Aims of Engineering the Prototype System</w:t>
        <w:tab/>
        <w:t>53</w:t>
      </w:r>
    </w:p>
    <w:p>
      <w:pPr>
        <w:tabs>
          <w:tab w:pos="8504" w:val="right" w:leader="dot"/>
        </w:tabs>
        <w:spacing w:after="40" w:before="0"/>
        <w:ind w:left="454"/>
        <w:jc w:val="left"/>
      </w:pPr>
      <w:r>
        <w:rPr>
          <w:rFonts w:ascii="Palatino Linotype" w:hAnsi="Palatino Linotype"/>
          <w:b w:val="0"/>
          <w:sz w:val="22"/>
        </w:rPr>
        <w:t>5.7 Datasets Used for Validation</w:t>
        <w:tab/>
        <w:t>54</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55</w:t>
      </w:r>
    </w:p>
    <w:p>
      <w:pPr>
        <w:tabs>
          <w:tab w:pos="8504" w:val="right" w:leader="dot"/>
        </w:tabs>
        <w:spacing w:after="40" w:before="0"/>
        <w:ind w:left="1020"/>
        <w:jc w:val="left"/>
      </w:pPr>
      <w:r>
        <w:rPr>
          <w:rFonts w:ascii="Palatino Linotype" w:hAnsi="Palatino Linotype"/>
          <w:b w:val="0"/>
          <w:sz w:val="22"/>
        </w:rPr>
        <w:t>5.8.1 Steps in the patient interface</w:t>
        <w:tab/>
        <w:t>55</w:t>
      </w:r>
    </w:p>
    <w:p>
      <w:pPr>
        <w:tabs>
          <w:tab w:pos="8504" w:val="right" w:leader="dot"/>
        </w:tabs>
        <w:spacing w:after="40" w:before="0"/>
        <w:ind w:left="1020"/>
        <w:jc w:val="left"/>
      </w:pPr>
      <w:r>
        <w:rPr>
          <w:rFonts w:ascii="Palatino Linotype" w:hAnsi="Palatino Linotype"/>
          <w:b w:val="0"/>
          <w:sz w:val="22"/>
        </w:rPr>
        <w:t>5.8.2 Steps in the service layer</w:t>
        <w:tab/>
        <w:t>55</w:t>
      </w:r>
    </w:p>
    <w:p>
      <w:pPr>
        <w:tabs>
          <w:tab w:pos="8504" w:val="right" w:leader="dot"/>
        </w:tabs>
        <w:spacing w:after="40" w:before="0"/>
        <w:ind w:left="454"/>
        <w:jc w:val="left"/>
      </w:pPr>
      <w:r>
        <w:rPr>
          <w:rFonts w:ascii="Palatino Linotype" w:hAnsi="Palatino Linotype"/>
          <w:b w:val="0"/>
          <w:sz w:val="22"/>
        </w:rPr>
        <w:t>5.9 Prototype Evaluation and Discussion</w:t>
        <w:tab/>
        <w:t>56</w:t>
      </w:r>
    </w:p>
    <w:p>
      <w:pPr>
        <w:tabs>
          <w:tab w:pos="8504" w:val="right" w:leader="dot"/>
        </w:tabs>
        <w:spacing w:after="40" w:before="0"/>
        <w:ind w:left="1020"/>
        <w:jc w:val="left"/>
      </w:pPr>
      <w:r>
        <w:rPr>
          <w:rFonts w:ascii="Palatino Linotype" w:hAnsi="Palatino Linotype"/>
          <w:b w:val="0"/>
          <w:sz w:val="22"/>
        </w:rPr>
        <w:t>5.9.1 Validation of Consent Creation</w:t>
        <w:tab/>
        <w:t>56</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58</w:t>
      </w:r>
    </w:p>
    <w:p>
      <w:pPr>
        <w:tabs>
          <w:tab w:pos="8504" w:val="right" w:leader="dot"/>
        </w:tabs>
        <w:spacing w:after="40" w:before="0"/>
        <w:ind w:left="1020"/>
        <w:jc w:val="left"/>
      </w:pPr>
      <w:r>
        <w:rPr>
          <w:rFonts w:ascii="Palatino Linotype" w:hAnsi="Palatino Linotype"/>
          <w:b w:val="0"/>
          <w:sz w:val="22"/>
        </w:rPr>
        <w:t>5.9.3 Discussion</w:t>
        <w:tab/>
        <w:t>60</w:t>
      </w:r>
    </w:p>
    <w:p>
      <w:pPr>
        <w:tabs>
          <w:tab w:pos="8504" w:val="right" w:leader="dot"/>
        </w:tabs>
        <w:spacing w:after="40" w:before="0"/>
        <w:ind w:left="454"/>
        <w:jc w:val="left"/>
      </w:pPr>
      <w:r>
        <w:rPr>
          <w:rFonts w:ascii="Palatino Linotype" w:hAnsi="Palatino Linotype"/>
          <w:b w:val="0"/>
          <w:sz w:val="22"/>
        </w:rPr>
        <w:t>5.10 Conclusion</w:t>
        <w:tab/>
        <w:t>60</w:t>
      </w:r>
    </w:p>
    <w:p>
      <w:pPr>
        <w:tabs>
          <w:tab w:pos="8504" w:val="right" w:leader="dot"/>
        </w:tabs>
        <w:spacing w:after="120" w:before="160"/>
        <w:ind w:left="0"/>
        <w:jc w:val="left"/>
      </w:pPr>
      <w:r>
        <w:rPr>
          <w:rFonts w:ascii="Palatino Linotype" w:hAnsi="Palatino Linotype"/>
          <w:b/>
          <w:sz w:val="22"/>
        </w:rPr>
        <w:t>6 Decentralised Identity and Authority Trust</w:t>
        <w:tab/>
        <w:t>61</w:t>
      </w:r>
    </w:p>
    <w:p>
      <w:pPr>
        <w:tabs>
          <w:tab w:pos="8504" w:val="right" w:leader="dot"/>
        </w:tabs>
        <w:spacing w:after="40" w:before="0"/>
        <w:ind w:left="454"/>
        <w:jc w:val="left"/>
      </w:pPr>
      <w:r>
        <w:rPr>
          <w:rFonts w:ascii="Palatino Linotype" w:hAnsi="Palatino Linotype"/>
          <w:b w:val="0"/>
          <w:sz w:val="22"/>
        </w:rPr>
        <w:t>6.1 Introduction</w:t>
        <w:tab/>
        <w:t>61</w:t>
      </w:r>
    </w:p>
    <w:p>
      <w:pPr>
        <w:tabs>
          <w:tab w:pos="8504" w:val="right" w:leader="dot"/>
        </w:tabs>
        <w:spacing w:after="40" w:before="0"/>
        <w:ind w:left="454"/>
        <w:jc w:val="left"/>
      </w:pPr>
      <w:r>
        <w:rPr>
          <w:rFonts w:ascii="Palatino Linotype" w:hAnsi="Palatino Linotype"/>
          <w:b w:val="0"/>
          <w:sz w:val="22"/>
        </w:rPr>
        <w:t>6.2 Decentralised Identifiers and Verifiable Credentials</w:t>
        <w:tab/>
        <w:t>61</w:t>
      </w:r>
    </w:p>
    <w:p>
      <w:pPr>
        <w:tabs>
          <w:tab w:pos="8504" w:val="right" w:leader="dot"/>
        </w:tabs>
        <w:spacing w:after="40" w:before="0"/>
        <w:ind w:left="1020"/>
        <w:jc w:val="left"/>
      </w:pPr>
      <w:r>
        <w:rPr>
          <w:rFonts w:ascii="Palatino Linotype" w:hAnsi="Palatino Linotype"/>
          <w:b w:val="0"/>
          <w:sz w:val="22"/>
        </w:rPr>
        <w:t>6.2.1 Decentralised Identifiers</w:t>
        <w:tab/>
        <w:t>62</w:t>
      </w:r>
    </w:p>
    <w:p>
      <w:pPr>
        <w:tabs>
          <w:tab w:pos="8504" w:val="right" w:leader="dot"/>
        </w:tabs>
        <w:spacing w:after="40" w:before="0"/>
        <w:ind w:left="1020"/>
        <w:jc w:val="left"/>
      </w:pPr>
      <w:r>
        <w:rPr>
          <w:rFonts w:ascii="Palatino Linotype" w:hAnsi="Palatino Linotype"/>
          <w:b w:val="0"/>
          <w:sz w:val="22"/>
        </w:rPr>
        <w:t>6.2.2 Verifiable Credentials</w:t>
        <w:tab/>
        <w:t>62</w:t>
      </w:r>
    </w:p>
    <w:p>
      <w:pPr>
        <w:tabs>
          <w:tab w:pos="8504" w:val="right" w:leader="dot"/>
        </w:tabs>
        <w:spacing w:after="40" w:before="0"/>
        <w:ind w:left="1020"/>
        <w:jc w:val="left"/>
      </w:pPr>
      <w:r>
        <w:rPr>
          <w:rFonts w:ascii="Palatino Linotype" w:hAnsi="Palatino Linotype"/>
          <w:b w:val="0"/>
          <w:sz w:val="22"/>
        </w:rPr>
        <w:t>6.2.3 Credential Store and Trusted Issuers</w:t>
        <w:tab/>
        <w:t>63</w:t>
      </w:r>
    </w:p>
    <w:p>
      <w:pPr>
        <w:tabs>
          <w:tab w:pos="8504" w:val="right" w:leader="dot"/>
        </w:tabs>
        <w:spacing w:after="40" w:before="0"/>
        <w:ind w:left="454"/>
        <w:jc w:val="left"/>
      </w:pPr>
      <w:r>
        <w:rPr>
          <w:rFonts w:ascii="Palatino Linotype" w:hAnsi="Palatino Linotype"/>
          <w:b w:val="0"/>
          <w:sz w:val="22"/>
        </w:rPr>
        <w:t>6.3 Overview of Decentralised Identity and Authority Trust</w:t>
        <w:tab/>
        <w:t>63</w:t>
      </w:r>
    </w:p>
    <w:p>
      <w:pPr>
        <w:tabs>
          <w:tab w:pos="8504" w:val="right" w:leader="dot"/>
        </w:tabs>
        <w:spacing w:after="40" w:before="0"/>
        <w:ind w:left="454"/>
        <w:jc w:val="left"/>
      </w:pPr>
      <w:r>
        <w:rPr>
          <w:rFonts w:ascii="Palatino Linotype" w:hAnsi="Palatino Linotype"/>
          <w:b w:val="0"/>
          <w:sz w:val="22"/>
        </w:rPr>
        <w:t>6.4 Identity and Authority Verification Workflow</w:t>
        <w:tab/>
        <w:t>64</w:t>
      </w:r>
    </w:p>
    <w:p>
      <w:pPr>
        <w:tabs>
          <w:tab w:pos="8504" w:val="right" w:leader="dot"/>
        </w:tabs>
        <w:spacing w:after="40" w:before="0"/>
        <w:ind w:left="454"/>
        <w:jc w:val="left"/>
      </w:pPr>
      <w:r>
        <w:rPr>
          <w:rFonts w:ascii="Palatino Linotype" w:hAnsi="Palatino Linotype"/>
          <w:b w:val="0"/>
          <w:sz w:val="22"/>
        </w:rPr>
        <w:t>6.5 Verification Model and Algorithm</w:t>
        <w:tab/>
        <w:t>65</w:t>
      </w:r>
    </w:p>
    <w:p>
      <w:pPr>
        <w:tabs>
          <w:tab w:pos="8504" w:val="right" w:leader="dot"/>
        </w:tabs>
        <w:spacing w:after="40" w:before="0"/>
        <w:ind w:left="1020"/>
        <w:jc w:val="left"/>
      </w:pPr>
      <w:r>
        <w:rPr>
          <w:rFonts w:ascii="Palatino Linotype" w:hAnsi="Palatino Linotype"/>
          <w:b w:val="0"/>
          <w:sz w:val="22"/>
        </w:rPr>
        <w:t>6.5.1 Step-by-Step Procedure for DID and VC Identity and Authority Verification</w:t>
        <w:tab/>
        <w:t>65</w:t>
      </w:r>
    </w:p>
    <w:p>
      <w:pPr>
        <w:tabs>
          <w:tab w:pos="8504" w:val="right" w:leader="dot"/>
        </w:tabs>
        <w:spacing w:after="40" w:before="0"/>
        <w:ind w:left="1020"/>
        <w:jc w:val="left"/>
      </w:pPr>
      <w:r>
        <w:rPr>
          <w:rFonts w:ascii="Palatino Linotype" w:hAnsi="Palatino Linotype"/>
          <w:b w:val="0"/>
          <w:sz w:val="22"/>
        </w:rPr>
        <w:t>6.5.2 Algorithm 2: DID and VC Identity and Authority Verification</w:t>
        <w:tab/>
        <w:t>66</w:t>
      </w:r>
    </w:p>
    <w:p>
      <w:pPr>
        <w:tabs>
          <w:tab w:pos="8504" w:val="right" w:leader="dot"/>
        </w:tabs>
        <w:spacing w:after="40" w:before="0"/>
        <w:ind w:left="454"/>
        <w:jc w:val="left"/>
      </w:pPr>
      <w:r>
        <w:rPr>
          <w:rFonts w:ascii="Palatino Linotype" w:hAnsi="Palatino Linotype"/>
          <w:b w:val="0"/>
          <w:sz w:val="22"/>
        </w:rPr>
        <w:t>6.6 Prototype Implementation</w:t>
        <w:tab/>
        <w:t>67</w:t>
      </w:r>
    </w:p>
    <w:p>
      <w:pPr>
        <w:tabs>
          <w:tab w:pos="8504" w:val="right" w:leader="dot"/>
        </w:tabs>
        <w:spacing w:after="40" w:before="0"/>
        <w:ind w:left="1020"/>
        <w:jc w:val="left"/>
      </w:pPr>
      <w:r>
        <w:rPr>
          <w:rFonts w:ascii="Palatino Linotype" w:hAnsi="Palatino Linotype"/>
          <w:b w:val="0"/>
          <w:sz w:val="22"/>
        </w:rPr>
        <w:t>6.6.1 Realisation in the Prototype</w:t>
        <w:tab/>
        <w:t>67</w:t>
      </w:r>
    </w:p>
    <w:p>
      <w:pPr>
        <w:tabs>
          <w:tab w:pos="8504" w:val="right" w:leader="dot"/>
        </w:tabs>
        <w:spacing w:after="40" w:before="0"/>
        <w:ind w:left="1020"/>
        <w:jc w:val="left"/>
      </w:pPr>
      <w:r>
        <w:rPr>
          <w:rFonts w:ascii="Palatino Linotype" w:hAnsi="Palatino Linotype"/>
          <w:b w:val="0"/>
          <w:sz w:val="22"/>
        </w:rPr>
        <w:t>6.6.2 Steps in the Working of the Prototype for Identity and Authority Verification</w:t>
        <w:tab/>
        <w:t>68</w:t>
      </w:r>
    </w:p>
    <w:p>
      <w:pPr>
        <w:tabs>
          <w:tab w:pos="8504" w:val="right" w:leader="dot"/>
        </w:tabs>
        <w:spacing w:after="40" w:before="0"/>
        <w:ind w:left="454"/>
        <w:jc w:val="left"/>
      </w:pPr>
      <w:r>
        <w:rPr>
          <w:rFonts w:ascii="Palatino Linotype" w:hAnsi="Palatino Linotype"/>
          <w:b w:val="0"/>
          <w:sz w:val="22"/>
        </w:rPr>
        <w:t>6.7 Prototype Validation and Discussion</w:t>
        <w:tab/>
        <w:t>69</w:t>
      </w:r>
    </w:p>
    <w:p>
      <w:pPr>
        <w:tabs>
          <w:tab w:pos="8504" w:val="right" w:leader="dot"/>
        </w:tabs>
        <w:spacing w:after="40" w:before="0"/>
        <w:ind w:left="1020"/>
        <w:jc w:val="left"/>
      </w:pPr>
      <w:r>
        <w:rPr>
          <w:rFonts w:ascii="Palatino Linotype" w:hAnsi="Palatino Linotype"/>
          <w:b w:val="0"/>
          <w:sz w:val="22"/>
        </w:rPr>
        <w:t>6.7.1 Validation of Identity and Authority Verification</w:t>
        <w:tab/>
        <w:t>69</w:t>
      </w:r>
    </w:p>
    <w:p>
      <w:pPr>
        <w:tabs>
          <w:tab w:pos="8504" w:val="right" w:leader="dot"/>
        </w:tabs>
        <w:spacing w:after="40" w:before="0"/>
        <w:ind w:left="1020"/>
        <w:jc w:val="left"/>
      </w:pPr>
      <w:r>
        <w:rPr>
          <w:rFonts w:ascii="Palatino Linotype" w:hAnsi="Palatino Linotype"/>
          <w:b w:val="0"/>
          <w:sz w:val="22"/>
        </w:rPr>
        <w:t>6.7.2 Discussion</w:t>
        <w:tab/>
        <w:t>72</w:t>
      </w:r>
    </w:p>
    <w:p>
      <w:pPr>
        <w:tabs>
          <w:tab w:pos="8504" w:val="right" w:leader="dot"/>
        </w:tabs>
        <w:spacing w:after="40" w:before="0"/>
        <w:ind w:left="454"/>
        <w:jc w:val="left"/>
      </w:pPr>
      <w:r>
        <w:rPr>
          <w:rFonts w:ascii="Palatino Linotype" w:hAnsi="Palatino Linotype"/>
          <w:b w:val="0"/>
          <w:sz w:val="22"/>
        </w:rPr>
        <w:t>6.8 Conclusion</w:t>
        <w:tab/>
        <w:t>72</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w:t>
        <w:tab/>
        <w:t>25</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36</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37</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43</w:t>
      </w:r>
    </w:p>
    <w:p>
      <w:pPr>
        <w:tabs>
          <w:tab w:pos="8504" w:val="right" w:leader="dot"/>
        </w:tabs>
        <w:spacing w:after="40" w:before="0"/>
        <w:ind w:left="454"/>
        <w:jc w:val="left"/>
      </w:pPr>
      <w:r>
        <w:rPr>
          <w:rFonts w:ascii="Palatino Linotype" w:hAnsi="Palatino Linotype"/>
          <w:b w:val="0"/>
          <w:sz w:val="22"/>
        </w:rPr>
        <w:t>5.2 Functional decomposition of the MVC components.</w:t>
        <w:tab/>
        <w:t>44</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46</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47</w:t>
      </w:r>
    </w:p>
    <w:p>
      <w:pPr>
        <w:tabs>
          <w:tab w:pos="8504" w:val="right" w:leader="dot"/>
        </w:tabs>
        <w:spacing w:after="40" w:before="0"/>
        <w:ind w:left="454"/>
        <w:jc w:val="left"/>
      </w:pPr>
      <w:r>
        <w:rPr>
          <w:rFonts w:ascii="Palatino Linotype" w:hAnsi="Palatino Linotype"/>
          <w:b w:val="0"/>
          <w:sz w:val="22"/>
        </w:rPr>
        <w:t>5.5 RO1 workflow for trust-centric consent creation.</w:t>
        <w:tab/>
        <w:t>50</w:t>
      </w:r>
    </w:p>
    <w:p>
      <w:pPr>
        <w:tabs>
          <w:tab w:pos="8504" w:val="right" w:leader="dot"/>
        </w:tabs>
        <w:spacing w:after="40" w:before="0"/>
        <w:ind w:left="454"/>
        <w:jc w:val="left"/>
      </w:pPr>
      <w:r>
        <w:rPr>
          <w:rFonts w:ascii="Palatino Linotype" w:hAnsi="Palatino Linotype"/>
          <w:b w:val="0"/>
          <w:sz w:val="22"/>
        </w:rPr>
        <w:t>5.6 Six-component consent model C = (I, A, P, T, L, E).</w:t>
        <w:tab/>
        <w:t>51</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56</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57</w:t>
      </w:r>
    </w:p>
    <w:p>
      <w:pPr>
        <w:tabs>
          <w:tab w:pos="8504" w:val="right" w:leader="dot"/>
        </w:tabs>
        <w:spacing w:after="40" w:before="0"/>
        <w:ind w:left="454"/>
        <w:jc w:val="left"/>
      </w:pPr>
      <w:r>
        <w:rPr>
          <w:rFonts w:ascii="Palatino Linotype" w:hAnsi="Palatino Linotype"/>
          <w:b w:val="0"/>
          <w:sz w:val="22"/>
        </w:rPr>
        <w:t>6.1 Structure of a decentralised identifier and its DID document (after W3C 2022)</w:t>
        <w:tab/>
        <w:t>62</w:t>
      </w:r>
    </w:p>
    <w:p>
      <w:pPr>
        <w:tabs>
          <w:tab w:pos="8504" w:val="right" w:leader="dot"/>
        </w:tabs>
        <w:spacing w:after="40" w:before="0"/>
        <w:ind w:left="454"/>
        <w:jc w:val="left"/>
      </w:pPr>
      <w:r>
        <w:rPr>
          <w:rFonts w:ascii="Palatino Linotype" w:hAnsi="Palatino Linotype"/>
          <w:b w:val="0"/>
          <w:sz w:val="22"/>
        </w:rPr>
        <w:t>6.2 Structure of the role credential used by the prototype</w:t>
        <w:tab/>
        <w:t>63</w:t>
      </w:r>
    </w:p>
    <w:p>
      <w:pPr>
        <w:tabs>
          <w:tab w:pos="8504" w:val="right" w:leader="dot"/>
        </w:tabs>
        <w:spacing w:after="40" w:before="0"/>
        <w:ind w:left="454"/>
        <w:jc w:val="left"/>
      </w:pPr>
      <w:r>
        <w:rPr>
          <w:rFonts w:ascii="Palatino Linotype" w:hAnsi="Palatino Linotype"/>
          <w:b w:val="0"/>
          <w:sz w:val="22"/>
        </w:rPr>
        <w:t>6.3 RO2 workflow for decentralised identity and authority verification</w:t>
        <w:tab/>
        <w:t>64</w:t>
      </w:r>
    </w:p>
    <w:p>
      <w:pPr>
        <w:tabs>
          <w:tab w:pos="8504" w:val="right" w:leader="dot"/>
        </w:tabs>
        <w:spacing w:after="40" w:before="0"/>
        <w:ind w:left="454"/>
        <w:jc w:val="left"/>
      </w:pPr>
      <w:r>
        <w:rPr>
          <w:rFonts w:ascii="Palatino Linotype" w:hAnsi="Palatino Linotype"/>
          <w:b w:val="0"/>
          <w:sz w:val="22"/>
        </w:rPr>
        <w:t>6.4 Steps of the prototype for verifying the identity and the authority of a participant</w:t>
        <w:tab/>
        <w:t>68</w:t>
      </w:r>
    </w:p>
    <w:p>
      <w:pPr>
        <w:tabs>
          <w:tab w:pos="8504" w:val="right" w:leader="dot"/>
        </w:tabs>
        <w:spacing w:after="40" w:before="0"/>
        <w:ind w:left="454"/>
        <w:jc w:val="left"/>
      </w:pPr>
      <w:r>
        <w:rPr>
          <w:rFonts w:ascii="Palatino Linotype" w:hAnsi="Palatino Linotype"/>
          <w:b w:val="0"/>
          <w:sz w:val="22"/>
        </w:rPr>
        <w:t>6.5 Guardian interface after the credential of did:parent:A has been verified and the approval signed</w:t>
        <w:tab/>
        <w:t>69</w:t>
      </w:r>
    </w:p>
    <w:p>
      <w:pPr>
        <w:tabs>
          <w:tab w:pos="8504" w:val="right" w:leader="dot"/>
        </w:tabs>
        <w:spacing w:after="40" w:before="0"/>
        <w:ind w:left="454"/>
        <w:jc w:val="left"/>
      </w:pPr>
      <w:r>
        <w:rPr>
          <w:rFonts w:ascii="Palatino Linotype" w:hAnsi="Palatino Linotype"/>
          <w:b w:val="0"/>
          <w:sz w:val="22"/>
        </w:rPr>
        <w:t>6.6 Doctor interface for a requester with a valid credential who is not the doctor named in the consent</w:t>
        <w:tab/>
        <w:t>69</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13</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20</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21</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22</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24</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34</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48</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48</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54</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58</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59</w:t>
      </w:r>
    </w:p>
    <w:p>
      <w:pPr>
        <w:tabs>
          <w:tab w:pos="8504" w:val="right" w:leader="dot"/>
        </w:tabs>
        <w:spacing w:after="40" w:before="0"/>
        <w:ind w:left="454"/>
        <w:jc w:val="left"/>
      </w:pPr>
      <w:r>
        <w:rPr>
          <w:rFonts w:ascii="Palatino Linotype" w:hAnsi="Palatino Linotype"/>
          <w:b w:val="0"/>
          <w:sz w:val="22"/>
        </w:rPr>
        <w:t>6.1 Validation results of the prototype for identity and authority verification</w:t>
        <w:tab/>
        <w:t>71</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9"/>
          <w:headerReference w:type="even" r:id="rId50"/>
          <w:footerReference w:type="default" r:id="rId51"/>
          <w:footerReference w:type="even" r:id="rId52"/>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Within healthcare consent or authorisation;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Relevant to a review question;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These questions decide whether a study enters the review; whether it satisfies the requirements of Section 2.2 is decided separately in Section 2.4.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w:t>
      </w:r>
      <w:r>
        <w:t>.</w:t>
      </w:r>
      <w:r>
        <w:t xml:space="preserve">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w:t>
      </w:r>
      <w:r>
        <w:t>since the studies that combine several conditions test their own decisions, but none proves or tests the complete conjunction that includes multi-party approval</w:t>
      </w:r>
      <w:r>
        <w:t xml:space="preserve">,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Synthesis of the review: the conjunction gap and the assurance gap</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Policy controls on purpose or data scope are enforced by 10 of the 25 studies (Table 2.10), only six of which evaluate purpose-of-use as part of the access decision, and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integrated with the complete access decision (Req 5):</w:t>
      </w:r>
      <w:r>
        <w:t xml:space="preserve"> Req 5 is graded Yes in 8 of the 25 studies (Table 2.10). While some of them, such as (Eneh et al. 2026; Panagoulias et al. 2026), evaluate the validity period or the revocation of a consent at the time of the request, the others enforce them on a credential or at registration, and none integrates them with the complete multi-party authorisation decision. Without such integration, a consent that has expired or been revoked can remain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addressed through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w:t>
      </w:r>
      <w:r>
        <w:t>This requirement is addressed through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addressed through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addressed through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w:t>
      </w:r>
      <w:r>
        <w:t>This requirement is addressed through RO5, presented in Chapter 9.</w:t>
      </w:r>
    </w:p>
    <w:p>
      <w:pPr>
        <w:pStyle w:val="3"/>
        <w:keepNext/>
      </w:pPr>
      <w:r>
        <w:t>2.5.6 Verifiable Auditability and Security Assurance (Req 6)</w:t>
      </w:r>
    </w:p>
    <w:p>
      <w:pPr/>
      <w:r>
        <w:t xml:space="preserve">Audit ledger evidence and 46 automated tests, including twelve attack scenarios A1 to A12. </w:t>
      </w:r>
      <w:r>
        <w:t>This requirement is addressed through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some studies test their own decisions, but none proves or tests the complete conjunction defined in this review, including patient-defined multi-party approval as a standing condition of access.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that is integrated with the complete access decision; where they are evaluated at the time of the request, they stand apart from the identity, authority and approval conditions, and elsewhere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in which a recorded entry cannot be altered retroactively without altering the blocks that follow it (Wood 2014). In HALAH the chain holds no medical content; it anchors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The contract was deployed and its transactions sent through the MetaMask wallet (Consensys 2026), and every transaction is publicly visible on Etherscan.</w:t>
      </w:r>
    </w:p>
    <w:p>
      <w:pPr>
        <w:pStyle w:val="a4"/>
        <w:tabs>
          <w:tab w:pos="624" w:val="left"/>
        </w:tabs>
        <w:ind w:left="624" w:hanging="397"/>
      </w:pPr>
      <w:r>
        <w:t>2.</w:t>
        <w:tab/>
      </w:r>
      <w:r>
        <w:rPr>
          <w:b/>
        </w:rPr>
        <w:t xml:space="preserve">Solidity: </w:t>
      </w:r>
      <w: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t>4.</w:t>
        <w:tab/>
      </w:r>
      <w:r>
        <w:rPr>
          <w:b/>
        </w:rPr>
        <w:t xml:space="preserve">Decentralised identifiers and verifiable credentials: </w:t>
      </w:r>
      <w:r>
        <w:t>Every participant is named by a decentralised identifier (W3C 2022) and holds a role credential (W3C 2025) signed by a trusted issuer, so the identity of a participant and the authority of that participant are verified as two separate conditions, as Chapter 6 presents.</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w:t>
      </w:r>
      <w:r>
        <w:t>since a Validity Proof Service checks the consent once more before any data are released, as Chapter 8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pPr>
        <w:jc w:val="center"/>
      </w:pPr>
      <w:r>
        <w:drawing>
          <wp:inline xmlns:a="http://schemas.openxmlformats.org/drawingml/2006/main" xmlns:pic="http://schemas.openxmlformats.org/drawingml/2006/picture">
            <wp:extent cx="5400000" cy="3436780"/>
            <wp:docPr id="2086885383" name="Picture 2086885383"/>
            <wp:cNvGraphicFramePr>
              <a:graphicFrameLocks noChangeAspect="1"/>
            </wp:cNvGraphicFramePr>
            <a:graphic>
              <a:graphicData uri="http://schemas.openxmlformats.org/drawingml/2006/picture">
                <pic:pic>
                  <pic:nvPicPr>
                    <pic:cNvPr id="0" name="ch5_gates.png"/>
                    <pic:cNvPicPr/>
                  </pic:nvPicPr>
                  <pic:blipFill>
                    <a:blip r:embed="rId38"/>
                    <a:stretch>
                      <a:fillRect/>
                    </a:stretch>
                  </pic:blipFill>
                  <pic:spPr>
                    <a:xfrm>
                      <a:off x="0" y="0"/>
                      <a:ext cx="5400000" cy="3436780"/>
                    </a:xfrm>
                    <a:prstGeom prst="rect"/>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evaluated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4" name="Picture 2086885384"/>
            <wp:cNvGraphicFramePr>
              <a:graphicFrameLocks noChangeAspect="1"/>
            </wp:cNvGraphicFramePr>
            <a:graphic>
              <a:graphicData uri="http://schemas.openxmlformats.org/drawingml/2006/picture">
                <pic:pic>
                  <pic:nvPicPr>
                    <pic:cNvPr id="0" name="ch5_consent_created.png"/>
                    <pic:cNvPicPr/>
                  </pic:nvPicPr>
                  <pic:blipFill>
                    <a:blip r:embed="rId39"/>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5" name="Picture 2086885385"/>
            <wp:cNvGraphicFramePr>
              <a:graphicFrameLocks noChangeAspect="1"/>
            </wp:cNvGraphicFramePr>
            <a:graphic>
              <a:graphicData uri="http://schemas.openxmlformats.org/drawingml/2006/picture">
                <pic:pic>
                  <pic:nvPicPr>
                    <pic:cNvPr id="0" name="ch5_duplicate_guardian.png"/>
                    <pic:cNvPicPr/>
                  </pic:nvPicPr>
                  <pic:blipFill>
                    <a:blip r:embed="rId40"/>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Identifiers without a valid credential rejected before anything is stored; valid identifiers holding valid credentials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3 and 7: the guardian set G, and the threshold N derived from it as |G|;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to 10: the consent identifier is generated, the object is constructed and persisted, and its state becomes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6</w:t>
            </w:r>
          </w:p>
        </w:tc>
      </w:tr>
    </w:tbl>
    <w:p>
      <w:pPr>
        <w:pStyle w:val="1"/>
        <w:keepNext/>
        <w:spacing w:before="360"/>
      </w:pPr>
      <w:r/>
      <w:r>
        <w:rPr>
          <w:color w:val="FFFFFF"/>
          <w:sz w:val="2"/>
        </w:rPr>
        <w:t xml:space="preserve">6. </w:t>
      </w:r>
      <w:r>
        <w:rPr>
          <w:smallCaps/>
        </w:rPr>
        <w:t>Decentralised Identity and Authority Trust</w:t>
      </w:r>
    </w:p>
    <w:p>
      <w:pPr>
        <w:pStyle w:val="2"/>
        <w:keepNext/>
      </w:pPr>
      <w:r>
        <w:t>6.1 Introduction</w:t>
      </w:r>
    </w:p>
    <w:p>
      <w:pPr/>
      <w:r>
        <w:t>In the last chapter, we presented the research architecture and the trust-centric consent model, in which patient consent is created as the evaluable object C = (I, A, P, T, L, E). The identity component I of that object names the patient, the authorised doctor and the guardian set G, but naming a participant does not establish who that participant is or what that participant may do. A key attribute of a trustworthy authorisation decision is that identity and authority are distinct: a participant who can be identified is not thereby authorised, and a participant who holds a credential is not thereby the participant named in the consent (Mazzocca et al. 2025). Hence, it is important that the identity of a participant and the authority that the participant holds are verified as separate conditions before the participant takes part in a consent decision or requests healthcare data.</w:t>
      </w:r>
    </w:p>
    <w:p>
      <w:pPr/>
      <w:r>
        <w:t>In this chapter, building on the consent object presented in the last chapter, we present a decentralised method to verify the identity and the authority of a participant. In our work, we use decentralised identifiers coupled with verifiable credentials to model and verify who a participant is and which role the participant holds, and the result of this verification is the predicate VI of the authorisation decision; this provides a complete solution to research objective 2. In this chapter, we also present the results of the validation of the proposed solution to research question two, using the HALAH prototype introduced in Chapter 5.</w:t>
      </w:r>
    </w:p>
    <w:p>
      <w:pPr/>
      <w:r>
        <w:t>This chapter is described as follows: In Section 6.2, we provide a detailed explanation of decentralised identifiers, verifiable credentials, and the credential store and trusted-issuer registry of the prototype. In Section 6.3, the principle that identity is not authorisation and the verification condition VI are presented, and Section 6.4 shows the identity and authority verification workflow. Furthermore, Section 6.5 provides the step-by-step procedure and Algorithm 2 required to carry out the verification. Section 6.6 describes how the verification is realised in the prototype and the steps of its working, the proposed solution is validated in Section 6.7, while Section 6.8 concludes this chapter.</w:t>
      </w:r>
    </w:p>
    <w:p>
      <w:pPr>
        <w:pStyle w:val="2"/>
        <w:keepNext/>
      </w:pPr>
      <w:r>
        <w:t>6.2 Decentralised Identifiers and Verifiable Credentials</w:t>
      </w:r>
    </w:p>
    <w:p>
      <w:pPr/>
      <w:r>
        <w:t>A decentralised identifier (DID) can be defined as a globally unique identifier that is created and controlled by its subject without a central registration authority, and that resolves to a DID document holding the cryptographic material needed to verify the controller of the identifier (W3C 2022). In basic terms, a DID gives a participant an identity reference that no single healthcare institution owns, while a verifiable credential (VC) gives a participant a signed statement about an attribute, such as a professional role, that any party can verify from the signature of the issuer (W3C 2025). Today, DIDs and VCs are being applied in different fields, among them healthcare, education and government identity, so that a holder can present claims made by one issuer to another verifier (Mazzocca et al. 2025). In this thesis, the two are used together: the DID answers the question of who the participant is, and the VC answers the question of what the participant may do.</w:t>
      </w:r>
    </w:p>
    <w:p>
      <w:pPr>
        <w:pStyle w:val="3"/>
        <w:keepNext/>
      </w:pPr>
      <w:r>
        <w:t>6.2.1 Decentralised Identifiers</w:t>
      </w:r>
    </w:p>
    <w:p>
      <w:pPr/>
      <w:r>
        <w:t>A DID is a string with three parts separated by colons: the scheme did, the DID method, and the method-specific identifier (W3C 2022). For example, the identifier did:hospital:001 used in the prototype has the method hospital and the method-specific identifier 001. The method defines how an identifier is created, resolved, updated and deactivated. Resolving a DID returns its DID document, which lists the verification methods, such as public keys, by which the controller of the DID proves control of it, and may list the service endpoints at which the controller can be reached (W3C 2022). Figure 6.1 shows this structure.</w:t>
      </w:r>
    </w:p>
    <w:p>
      <w:pPr/>
      <w:r>
        <w:t>In this thesis, a DID is the identity reference of every participant. The patient, the authorised doctor and each guardian are named in the consent object by their DIDs, and the DID of a requester is the identity against which the credential of Section 6.2.2 is checked. In the current prototype a DID is checked for its syntax, and the resolution of the DID document is reserved for the next stage, as Section 6.6 explains.</w:t>
      </w:r>
    </w:p>
    <w:p>
      <w:pPr>
        <w:jc w:val="center"/>
      </w:pPr>
      <w:r>
        <w:drawing>
          <wp:inline xmlns:a="http://schemas.openxmlformats.org/drawingml/2006/main" xmlns:pic="http://schemas.openxmlformats.org/drawingml/2006/picture">
            <wp:extent cx="4680000" cy="2220317"/>
            <wp:docPr id="2086885386" name="Picture 2086885386"/>
            <wp:cNvGraphicFramePr>
              <a:graphicFrameLocks noChangeAspect="1"/>
            </wp:cNvGraphicFramePr>
            <a:graphic>
              <a:graphicData uri="http://schemas.openxmlformats.org/drawingml/2006/picture">
                <pic:pic>
                  <pic:nvPicPr>
                    <pic:cNvPr id="0" name="ch6_did_structure.png"/>
                    <pic:cNvPicPr/>
                  </pic:nvPicPr>
                  <pic:blipFill>
                    <a:blip r:embed="rId41"/>
                    <a:stretch>
                      <a:fillRect/>
                    </a:stretch>
                  </pic:blipFill>
                  <pic:spPr>
                    <a:xfrm>
                      <a:off x="0" y="0"/>
                      <a:ext cx="4680000" cy="2220317"/>
                    </a:xfrm>
                    <a:prstGeom prst="rect"/>
                  </pic:spPr>
                </pic:pic>
              </a:graphicData>
            </a:graphic>
          </wp:inline>
        </w:drawing>
      </w:r>
    </w:p>
    <w:p>
      <w:pPr>
        <w:spacing w:before="160" w:after="160"/>
        <w:jc w:val="center"/>
      </w:pPr>
      <w:r>
        <w:rPr>
          <w:sz w:val="20"/>
        </w:rPr>
        <w:t>Figure 6.1: Structure of a decentralised identifier and its DID document (after W3C 2022)</w:t>
      </w:r>
    </w:p>
    <w:p>
      <w:pPr>
        <w:pStyle w:val="3"/>
        <w:keepNext/>
      </w:pPr>
      <w:r>
        <w:t>6.2.2 Verifiable Credentials</w:t>
      </w:r>
    </w:p>
    <w:p>
      <w:pPr/>
      <w:r>
        <w:t>A verifiable credential is a set of claims made by an issuer about a subject, together with a proof that lets a verifier check that the claims were made by that issuer and have not been altered (W3C 2025). Three roles take part. The issuer signs the credential and gives it to the holder, the holder keeps the credential and presents it, and the verifier checks the proof and the claims (W3C 2025). The data model defines, among other properties, the issuer, the validity period validFrom and validUntil, the credentialSubject, which holds the identifier of the subject and the claims about it, and the proof (W3C 2025).</w:t>
      </w:r>
    </w:p>
    <w:p>
      <w:pPr/>
      <w:r>
        <w:t>In this study, the credential is a role credential: it states that the subject DID holds the role doctor or guardian and names the organisation of the holder, if any. The credential used by the prototype follows this structure, as Figure 6.2 shows, and its proof is an EIP-712 typed-data signature of the issuer (Bloemen, Logvinov &amp; Evans 2017), so the same signature scheme serves the credentials of this chapter and the guardian approvals of Chapter 7. A credential is taken to be valid only when its signature verifies, its issuer is trusted, its subject is the DID that presents it, and the time of the check lies inside its validity period; the role claim is then compared with the role that the step requires.</w:t>
      </w:r>
    </w:p>
    <w:p>
      <w:pPr>
        <w:jc w:val="center"/>
      </w:pPr>
      <w:r>
        <w:drawing>
          <wp:inline xmlns:a="http://schemas.openxmlformats.org/drawingml/2006/main" xmlns:pic="http://schemas.openxmlformats.org/drawingml/2006/picture">
            <wp:extent cx="3780000" cy="2281520"/>
            <wp:docPr id="2086885387" name="Picture 2086885387"/>
            <wp:cNvGraphicFramePr>
              <a:graphicFrameLocks noChangeAspect="1"/>
            </wp:cNvGraphicFramePr>
            <a:graphic>
              <a:graphicData uri="http://schemas.openxmlformats.org/drawingml/2006/picture">
                <pic:pic>
                  <pic:nvPicPr>
                    <pic:cNvPr id="0" name="ch6_credential_structure.png"/>
                    <pic:cNvPicPr/>
                  </pic:nvPicPr>
                  <pic:blipFill>
                    <a:blip r:embed="rId42"/>
                    <a:stretch>
                      <a:fillRect/>
                    </a:stretch>
                  </pic:blipFill>
                  <pic:spPr>
                    <a:xfrm>
                      <a:off x="0" y="0"/>
                      <a:ext cx="3780000" cy="2281520"/>
                    </a:xfrm>
                    <a:prstGeom prst="rect"/>
                  </pic:spPr>
                </pic:pic>
              </a:graphicData>
            </a:graphic>
          </wp:inline>
        </w:drawing>
      </w:r>
    </w:p>
    <w:p>
      <w:pPr>
        <w:spacing w:before="160" w:after="160"/>
        <w:jc w:val="center"/>
      </w:pPr>
      <w:r>
        <w:rPr>
          <w:sz w:val="20"/>
        </w:rPr>
        <w:t>Figure 6.2: Structure of the role credential used by the prototype</w:t>
      </w:r>
    </w:p>
    <w:p>
      <w:pPr>
        <w:pStyle w:val="3"/>
        <w:keepNext/>
      </w:pPr>
      <w:r>
        <w:t>6.2.3 Credential Store and Trusted Issuers</w:t>
      </w:r>
    </w:p>
    <w:p>
      <w:pPr/>
      <w:r>
        <w:t>The verification of Section 6.5 relies on two stores. The credential store holds the credential of each participant DID and stands in for the wallet of the holder at this stage of the prototype. The trusted-issuer registry maps the DID of each accepted issuer to the address to which its credential signatures must recover. A credential from an issuer that is not in the registry fails the issuer condition, and a credential whose signature recovers to another address fails the signature condition, so the two conditions are checked separately and recorded separately. In the current prototype, the registry holds one demo issuer, did:halah:issuer:demo-health-authority, and the credential store holds the credentials of four guardians and three doctors, from which the two guardians and the two doctors of the demonstrations are drawn. The key of the demo issuer can be reproduced from the source code, so the check demonstrates the verification steps and not the secrecy of the issuer key, as Chapter 5 noted.</w:t>
      </w:r>
    </w:p>
    <w:p>
      <w:pPr>
        <w:pStyle w:val="2"/>
        <w:keepNext/>
      </w:pPr>
      <w:r>
        <w:t>6.3 Overview of Decentralised Identity and Authority Trust</w:t>
      </w:r>
    </w:p>
    <w:p w14:paraId="6F769227" w14:textId="77777777" w:rsidR="009262C4" w:rsidRDefault="00000000">
      <w:pPr>
        <w:spacing w:after="110" w:line="264" w:lineRule="auto"/>
        <w:jc w:val="both"/>
      </w:pPr>
      <w: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w:t>
      </w:r>
      <w:r>
        <w:t>Equation (6.1)</w:t>
      </w:r>
      <w:r>
        <w:t>.</w:t>
      </w:r>
    </w:p>
    <w:p w14:paraId="32D1DC8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r>
      <w:r>
        <w:t>(6.1)</w:t>
      </w:r>
    </w:p>
    <w:p w14:paraId="3805F259" w14:textId="77777777" w:rsidR="009262C4" w:rsidRDefault="00000000">
      <w:pPr>
        <w:spacing w:after="110" w:line="264" w:lineRule="auto"/>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w:t>
      </w:r>
      <w:r>
        <w:t>Equation (6.2)</w:t>
      </w:r>
      <w:r>
        <w:t xml:space="preserve">, where u is the requesting participant and Authority(u, C) establishes whether the verified authority matches the role required by the consent. The DID verification process establishes whether the identity reference is valid. In the current prototype this check is structural, </w:t>
      </w:r>
      <w:r>
        <w:t>as Section 6.6 explains</w:t>
      </w:r>
      <w:r>
        <w:t>. The VC verification process establishes whether the participant possesses valid authority evidence. The final authorisation decision remains dependent on the consent requirements and access policy.</w:t>
      </w:r>
    </w:p>
    <w:p w14:paraId="572F08D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(u) = VerifyDID(u) ∧ VerifyVC(u) ∧ Authority(u, C).</w:t>
      </w:r>
      <w:r>
        <w:tab/>
      </w:r>
      <w:r>
        <w:t>(6.2)</w:t>
      </w:r>
    </w:p>
    <w:p>
      <w:pPr>
        <w:pStyle w:val="2"/>
        <w:keepNext/>
      </w:pPr>
      <w:r>
        <w:t>6.4 Identity and Authority Verification Workflow</w:t>
      </w:r>
    </w:p>
    <w:p w14:paraId="716D08AD" w14:textId="77777777" w:rsidR="009262C4" w:rsidRDefault="00000000">
      <w:pPr>
        <w:spacing w:after="110" w:line="264" w:lineRule="auto"/>
        <w:jc w:val="bot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w:t>
      </w:r>
      <w:r>
        <w:t>As shown in Figure 6.3, the output</w:t>
      </w:r>
      <w:r>
        <w:t xml:space="preserve"> of RO2 is not an access-grant decision. It is a verified identity and authority result that can be consumed by RO3 and RO4. This separation prevents a participant from obtaining access merely by presenting a valid identity credential.</w:t>
      </w:r>
    </w:p>
    <w:p>
      <w:pPr/>
      <w:r>
        <w:t>Figure 6.3 shows the target design of the workflow. Full DID resolution is planned for the next stage, whereas the current prototype performs a DID-format check, a check of a demo-issuer credential and EIP-712 signature recovery, as Section 6.6 explains.</w:t>
      </w:r>
    </w:p>
    <w:p w14:paraId="7EF2BF9E"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81400" cy="5334000"/>
                    </a:xfrm>
                    <a:prstGeom prst="rect">
                      <a:avLst/>
                    </a:prstGeom>
                  </pic:spPr>
                </pic:pic>
              </a:graphicData>
            </a:graphic>
          </wp:inline>
        </w:drawing>
      </w:r>
    </w:p>
    <w:p w14:paraId="41AE0A75" w14:textId="77777777" w:rsidR="009262C4" w:rsidRDefault="00000000">
      <w:pPr>
        <w:spacing w:after="160" w:before="160"/>
        <w:jc w:val="center"/>
      </w:pPr>
      <w:r>
        <w:rPr>
          <w:b/>
          <w:bCs/>
          <w:sz w:val="20"/>
          <w:szCs w:val="18"/>
        </w:rPr>
        <w:t>Figure 6.3: RO2 workflow for decentralised identity and authority verification</w:t>
      </w:r>
    </w:p>
    <w:p>
      <w:pPr>
        <w:pStyle w:val="2"/>
        <w:keepNext/>
      </w:pPr>
      <w:r>
        <w:t>6.5 Verification Model and Algorithm</w:t>
      </w:r>
    </w:p>
    <w:p>
      <w:pPr/>
      <w:r>
        <w:t>The proposed solution to Objective 2 is grounded in the decentralised identifiers and verifiable credentials of Section 6.2. The verification combines three checks, the identifier, the credential and the authority that the credential gives for the consent at hand, into the single predicate VI of Equation (6.2). Section 6.5.1 presents the procedure step by step, and Section 6.5.2 formalises it as Algorithm 2, which the prototype of Section 6.6 implements.</w:t>
      </w:r>
    </w:p>
    <w:p>
      <w:pPr>
        <w:pStyle w:val="3"/>
        <w:keepNext/>
      </w:pPr>
      <w:r>
        <w:t>6.5.1 Step-by-Step Procedure for DID and VC Identity and Authority Verification</w:t>
      </w:r>
    </w:p>
    <w:p>
      <w:pPr/>
      <w:r>
        <w:t>The procedure below is the one defined for this objective. It is presented in full so that the reader can understand the working of Algorithm 2, which formalises it in Section 6.5.2.</w:t>
      </w:r>
    </w:p>
    <w:p>
      <w:pPr/>
      <w:r>
        <w:t>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w:t>
      </w:r>
    </w:p>
    <w:p>
      <w:pPr>
        <w:pStyle w:val="a4"/>
      </w:pPr>
      <w:r>
        <w:rPr>
          <w:b/>
        </w:rPr>
        <w:t xml:space="preserve">Step 1 – Resolve the Participant’s DID. </w:t>
      </w:r>
      <w:r>
        <w:t>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w:t>
      </w:r>
    </w:p>
    <w:p>
      <w:pPr>
        <w:pStyle w:val="a4"/>
      </w:pPr>
      <w:r>
        <w:rPr>
          <w:b/>
        </w:rPr>
        <w:t xml:space="preserve">Step 2 – Verify the DID Document. </w:t>
      </w:r>
      <w:r>
        <w:t>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pStyle w:val="a4"/>
      </w:pPr>
      <w:r>
        <w:rPr>
          <w:b/>
        </w:rPr>
        <w:t xml:space="preserve">Step 3 – Retrieve the Participant’s Verifiable Credential. </w:t>
      </w:r>
      <w:r>
        <w:t>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w:t>
      </w:r>
    </w:p>
    <w:p>
      <w:pPr>
        <w:pStyle w:val="a4"/>
      </w:pPr>
      <w:r>
        <w:rPr>
          <w:b/>
        </w:rPr>
        <w:t xml:space="preserve">Step 4 – Verify the Verifiable Credential. </w:t>
      </w:r>
      <w:r>
        <w:t>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If any of these conditions fails, the verification process returns INVALID.</w:t>
      </w:r>
    </w:p>
    <w:p>
      <w:pPr>
        <w:pStyle w:val="a4"/>
      </w:pPr>
      <w:r>
        <w:rPr>
          <w:b/>
        </w:rPr>
        <w:t xml:space="preserve">Step 5 – Extract Role and Authority Claims. </w:t>
      </w:r>
      <w:r>
        <w:t>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a4"/>
      </w:pPr>
      <w:r>
        <w:rPr>
          <w:b/>
        </w:rPr>
        <w:t xml:space="preserve">Step 6 – Compare Authority Claims with Consent Requirements. </w:t>
      </w:r>
      <w:r>
        <w:t>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vertAlign w:val="subscript"/>
        </w:rPr>
        <w:t>C</w:t>
      </w:r>
      <w:r>
        <w:t>, where Claims(u) denotes the verified claims associated with participant u, and A</w:t>
      </w:r>
      <w:r>
        <w:rPr>
          <w:vertAlign w:val="subscript"/>
        </w:rPr>
        <w:t>C</w:t>
      </w:r>
      <w:r>
        <w:t xml:space="preserve"> denotes the authority requirements defined by consent object C. If the participant’s claims do not satisfy the required authority conditions, the system returns INVALID.</w:t>
      </w:r>
    </w:p>
    <w:p>
      <w:pPr>
        <w:pStyle w:val="a4"/>
      </w:pPr>
      <w:r>
        <w:rPr>
          <w:b/>
        </w:rPr>
        <w:t xml:space="preserve">Step 7 – Establish Identity–Authority Binding. </w:t>
      </w:r>
      <w:r>
        <w:t>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a4"/>
      </w:pPr>
      <w:r>
        <w:rPr>
          <w:b/>
        </w:rPr>
        <w:t xml:space="preserve">Step 8 – Record Identity and Authority Evidence. </w:t>
      </w:r>
      <w:r>
        <w:t>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a4"/>
      </w:pPr>
      <w:r>
        <w:rPr>
          <w:b/>
        </w:rPr>
        <w:t xml:space="preserve">Step 9 – Return the Verification Result. </w:t>
      </w:r>
      <w:r>
        <w:t>If DID resolution, DID verification, VC retrieval, VC verification, and authority validation are all successfully completed, the system returns VI(u) = VALID. Otherwise, the procedure terminates at the first failed mandatory verification condition and returns VI(u) = INVALID.</w:t>
      </w:r>
    </w:p>
    <w:p>
      <w:pPr/>
      <w:r>
        <w:t>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VI(u).</w:t>
      </w:r>
    </w:p>
    <w:p>
      <w:pPr/>
      <w:r>
        <w:t>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w:t>
      </w:r>
    </w:p>
    <w:p>
      <w:pPr/>
      <w:r>
        <w:t>Consequently, the procedure can be interpreted as a two-layer verification mechanism Identity(u) ∧ CredentialValidity(u) ∧ Authority(u, C) ⇒ VI(u) = VALID.</w:t>
      </w:r>
    </w:p>
    <w:p>
      <w:pPr>
        <w:pStyle w:val="3"/>
        <w:keepNext/>
      </w:pPr>
      <w:r>
        <w:t>6.5.2 Algorithm 2: DID and VC Identity and Authority Verification</w:t>
      </w:r>
    </w:p>
    <w:p w14:paraId="7C252671"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3840B47D"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2558E791" w14:textId="77777777" w:rsidR="009262C4" w:rsidRDefault="00000000">
      <w:pPr>
        <w:keepNext/>
        <w:spacing w:after="20"/>
      </w:pPr>
      <w:r>
        <w:rPr>
          <w:b/>
          <w:bCs/>
          <w:sz w:val="19"/>
          <w:szCs w:val="19"/>
        </w:rPr>
        <w:t xml:space="preserve">Require: </w:t>
      </w:r>
      <w:r>
        <w:rPr>
          <w:sz w:val="19"/>
          <w:szCs w:val="19"/>
        </w:rPr>
        <w:t>Participant u, consent object C</w:t>
      </w:r>
    </w:p>
    <w:p w14:paraId="5EB87C71"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668AE1ED"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Resolve DID of u</w:t>
      </w:r>
    </w:p>
    <w:p w14:paraId="790A29FE"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DID resolution fails </w:t>
      </w:r>
      <w:r>
        <w:rPr>
          <w:b/>
          <w:bCs/>
          <w:sz w:val="19"/>
          <w:szCs w:val="19"/>
        </w:rPr>
        <w:t>then</w:t>
      </w:r>
    </w:p>
    <w:p w14:paraId="15FA00DE"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INVALID</w:t>
      </w:r>
    </w:p>
    <w:p w14:paraId="33000769"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23291AEB"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Verify DID document and associated identity information</w:t>
      </w:r>
    </w:p>
    <w:p w14:paraId="7AFA5FB1"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DID verification fails </w:t>
      </w:r>
      <w:r>
        <w:rPr>
          <w:b/>
          <w:bCs/>
          <w:sz w:val="19"/>
          <w:szCs w:val="19"/>
        </w:rPr>
        <w:t>then</w:t>
      </w:r>
    </w:p>
    <w:p w14:paraId="7235FD96"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INVALID</w:t>
      </w:r>
    </w:p>
    <w:p w14:paraId="1C4E601A"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05C97B9F"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Retrieve VC associated with u</w:t>
      </w:r>
    </w:p>
    <w:p w14:paraId="1D9842C1"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VC retrieval fails </w:t>
      </w:r>
      <w:r>
        <w:rPr>
          <w:b/>
          <w:bCs/>
          <w:sz w:val="19"/>
          <w:szCs w:val="19"/>
        </w:rPr>
        <w:t>then</w:t>
      </w:r>
    </w:p>
    <w:p w14:paraId="75459E3B"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INVALID</w:t>
      </w:r>
    </w:p>
    <w:p w14:paraId="0AD43F83"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0B9544A8"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Verify VC signature, issuer, subject, and validity</w:t>
      </w:r>
    </w:p>
    <w:p w14:paraId="7877A01E" w14:textId="77777777" w:rsidR="009262C4" w:rsidRDefault="00000000">
      <w:pPr>
        <w:keepNext/>
        <w:tabs>
          <w:tab w:val="right" w:pos="520"/>
          <w:tab w:val="left" w:pos="720"/>
        </w:tabs>
        <w:spacing w:after="10"/>
        <w:ind w:left="720" w:hanging="720"/>
      </w:pPr>
      <w:r>
        <w:rPr>
          <w:color w:val="555555"/>
          <w:sz w:val="16"/>
          <w:szCs w:val="16"/>
        </w:rPr>
        <w:tab/>
        <w:t>14:</w:t>
        <w:tab/>
      </w:r>
      <w:r>
        <w:rPr>
          <w:b/>
          <w:bCs/>
          <w:sz w:val="19"/>
          <w:szCs w:val="19"/>
        </w:rPr>
        <w:t>if</w:t>
      </w:r>
      <w:r>
        <w:rPr>
          <w:sz w:val="19"/>
          <w:szCs w:val="19"/>
        </w:rPr>
        <w:t xml:space="preserve"> VC verification fails </w:t>
      </w:r>
      <w:r>
        <w:rPr>
          <w:b/>
          <w:bCs/>
          <w:sz w:val="19"/>
          <w:szCs w:val="19"/>
        </w:rPr>
        <w:t>then</w:t>
      </w:r>
    </w:p>
    <w:p w14:paraId="20469CDB" w14:textId="77777777" w:rsidR="009262C4" w:rsidRDefault="00000000">
      <w:pPr>
        <w:keepNext/>
        <w:tabs>
          <w:tab w:val="right" w:pos="520"/>
          <w:tab w:val="left" w:pos="1080"/>
        </w:tabs>
        <w:spacing w:after="10"/>
        <w:ind w:left="1080" w:hanging="1080"/>
      </w:pPr>
      <w:r>
        <w:rPr>
          <w:color w:val="555555"/>
          <w:sz w:val="16"/>
          <w:szCs w:val="16"/>
        </w:rPr>
        <w:tab/>
        <w:t>15:</w:t>
        <w:tab/>
      </w:r>
      <w:r>
        <w:rPr>
          <w:b/>
          <w:bCs/>
          <w:sz w:val="19"/>
          <w:szCs w:val="19"/>
        </w:rPr>
        <w:t>return</w:t>
      </w:r>
      <w:r>
        <w:rPr>
          <w:sz w:val="19"/>
          <w:szCs w:val="19"/>
        </w:rPr>
        <w:t xml:space="preserve"> INVALID</w:t>
      </w:r>
    </w:p>
    <w:p w14:paraId="4FFC3E12" w14:textId="77777777" w:rsidR="009262C4" w:rsidRDefault="00000000">
      <w:pPr>
        <w:keepNext/>
        <w:tabs>
          <w:tab w:val="right" w:pos="520"/>
          <w:tab w:val="left" w:pos="720"/>
        </w:tabs>
        <w:spacing w:after="10"/>
        <w:ind w:left="720" w:hanging="720"/>
      </w:pPr>
      <w:r>
        <w:rPr>
          <w:color w:val="555555"/>
          <w:sz w:val="16"/>
          <w:szCs w:val="16"/>
        </w:rPr>
        <w:tab/>
        <w:t>16:</w:t>
        <w:tab/>
      </w:r>
      <w:r>
        <w:rPr>
          <w:b/>
          <w:bCs/>
          <w:sz w:val="19"/>
          <w:szCs w:val="19"/>
        </w:rPr>
        <w:t>end if</w:t>
      </w:r>
    </w:p>
    <w:p w14:paraId="1AE62171"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Extract role and authority claims from VC</w:t>
      </w:r>
    </w:p>
    <w:p w14:paraId="099DAAEB" w14:textId="77777777" w:rsidR="009262C4" w:rsidRDefault="00000000">
      <w:pPr>
        <w:keepNext/>
        <w:tabs>
          <w:tab w:val="right" w:pos="520"/>
          <w:tab w:val="left" w:pos="720"/>
        </w:tabs>
        <w:spacing w:after="10"/>
        <w:ind w:left="720" w:hanging="720"/>
      </w:pPr>
      <w:r>
        <w:rPr>
          <w:color w:val="555555"/>
          <w:sz w:val="16"/>
          <w:szCs w:val="16"/>
        </w:rPr>
        <w:tab/>
        <w:t>18:</w:t>
        <w:tab/>
      </w:r>
      <w:r>
        <w:rPr>
          <w:b/>
          <w:bCs/>
          <w:sz w:val="19"/>
          <w:szCs w:val="19"/>
        </w:rPr>
        <w:t>if</w:t>
      </w:r>
      <w:r>
        <w:rPr>
          <w:sz w:val="19"/>
          <w:szCs w:val="19"/>
        </w:rPr>
        <w:t xml:space="preserve"> claims do not satisfy the authority requirements of C </w:t>
      </w:r>
      <w:r>
        <w:rPr>
          <w:b/>
          <w:bCs/>
          <w:sz w:val="19"/>
          <w:szCs w:val="19"/>
        </w:rPr>
        <w:t>then</w:t>
      </w:r>
    </w:p>
    <w:p w14:paraId="00B2BC10" w14:textId="77777777" w:rsidR="009262C4" w:rsidRDefault="00000000">
      <w:pPr>
        <w:keepNext/>
        <w:tabs>
          <w:tab w:val="right" w:pos="520"/>
          <w:tab w:val="left" w:pos="1080"/>
        </w:tabs>
        <w:spacing w:after="10"/>
        <w:ind w:left="1080" w:hanging="1080"/>
      </w:pPr>
      <w:r>
        <w:rPr>
          <w:color w:val="555555"/>
          <w:sz w:val="16"/>
          <w:szCs w:val="16"/>
        </w:rPr>
        <w:tab/>
        <w:t>19:</w:t>
        <w:tab/>
      </w:r>
      <w:r>
        <w:rPr>
          <w:b/>
          <w:bCs/>
          <w:sz w:val="19"/>
          <w:szCs w:val="19"/>
        </w:rPr>
        <w:t>return</w:t>
      </w:r>
      <w:r>
        <w:rPr>
          <w:sz w:val="19"/>
          <w:szCs w:val="19"/>
        </w:rPr>
        <w:t xml:space="preserve"> INVALID</w:t>
      </w:r>
    </w:p>
    <w:p w14:paraId="63E55840" w14:textId="77777777" w:rsidR="009262C4" w:rsidRDefault="00000000">
      <w:pPr>
        <w:keepNext/>
        <w:tabs>
          <w:tab w:val="right" w:pos="520"/>
          <w:tab w:val="left" w:pos="720"/>
        </w:tabs>
        <w:spacing w:after="10"/>
        <w:ind w:left="720" w:hanging="720"/>
      </w:pPr>
      <w:r>
        <w:rPr>
          <w:color w:val="555555"/>
          <w:sz w:val="16"/>
          <w:szCs w:val="16"/>
        </w:rPr>
        <w:tab/>
        <w:t>20:</w:t>
        <w:tab/>
      </w:r>
      <w:r>
        <w:rPr>
          <w:b/>
          <w:bCs/>
          <w:sz w:val="19"/>
          <w:szCs w:val="19"/>
        </w:rPr>
        <w:t>end if</w:t>
      </w:r>
    </w:p>
    <w:p w14:paraId="7077700E" w14:textId="77777777" w:rsidR="009262C4" w:rsidRDefault="00000000">
      <w:pPr>
        <w:keepNext/>
        <w:tabs>
          <w:tab w:val="right" w:pos="520"/>
          <w:tab w:val="left" w:pos="720"/>
        </w:tabs>
        <w:spacing w:after="10"/>
        <w:ind w:left="720" w:hanging="720"/>
      </w:pPr>
      <w:r>
        <w:rPr>
          <w:color w:val="555555"/>
          <w:sz w:val="16"/>
          <w:szCs w:val="16"/>
        </w:rPr>
        <w:tab/>
        <w:t>21:</w:t>
        <w:tab/>
      </w:r>
      <w:r>
        <w:rPr>
          <w:sz w:val="19"/>
          <w:szCs w:val="19"/>
        </w:rPr>
        <w:t>Record identity and authority verification evidence</w:t>
      </w:r>
    </w:p>
    <w:p w14:paraId="3112C877" w14:textId="77777777" w:rsidR="009262C4" w:rsidRDefault="00000000">
      <w:pPr>
        <w:tabs>
          <w:tab w:val="right" w:pos="520"/>
          <w:tab w:val="left" w:pos="720"/>
        </w:tabs>
        <w:spacing w:after="10"/>
        <w:ind w:left="720" w:hanging="720"/>
      </w:pPr>
      <w:r>
        <w:rPr>
          <w:color w:val="555555"/>
          <w:sz w:val="16"/>
          <w:szCs w:val="16"/>
        </w:rPr>
        <w:tab/>
        <w:t>22:</w:t>
        <w:tab/>
      </w:r>
      <w:r>
        <w:rPr>
          <w:b/>
          <w:bCs/>
          <w:sz w:val="19"/>
          <w:szCs w:val="19"/>
        </w:rPr>
        <w:t>return</w:t>
      </w:r>
      <w:r>
        <w:rPr>
          <w:sz w:val="19"/>
          <w:szCs w:val="19"/>
        </w:rPr>
        <w:t xml:space="preserve"> VALID</w:t>
      </w:r>
    </w:p>
    <w:p w14:paraId="38A14EFA" w14:textId="77777777" w:rsidR="009262C4" w:rsidRDefault="009262C4">
      <w:pPr>
        <w:pBdr>
          <w:bottom w:val="single" w:sz="12" w:space="0" w:color="000000"/>
        </w:pBdr>
        <w:spacing w:after="200"/>
      </w:pPr>
    </w:p>
    <w:p w14:paraId="1F5FAD2E" w14:textId="77777777" w:rsidR="009262C4" w:rsidRDefault="00000000">
      <w:pPr>
        <w:spacing w:after="110" w:line="264" w:lineRule="auto"/>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w:t>
      </w:r>
      <w:r>
        <w:t>(Chapters 7 and 8)</w:t>
      </w:r>
      <w:r>
        <w:t>.</w:t>
      </w:r>
    </w:p>
    <w:p>
      <w:pPr>
        <w:pStyle w:val="2"/>
        <w:keepNext/>
      </w:pPr>
      <w:r>
        <w:t>6.6 Prototype Implementation</w:t>
      </w:r>
    </w:p>
    <w:p>
      <w:pPr>
        <w:pStyle w:val="3"/>
        <w:keepNext/>
      </w:pPr>
      <w:r>
        <w:t>6.6.1 Realisation in the Prototype</w:t>
      </w:r>
    </w:p>
    <w:p w14:paraId="34FE290E"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lastRenderedPageBreak/>
        <w:t xml:space="preserve">access a particular patient's data. Each credential used by the prototype comes from a demo issuer, and the check covers the four conditions of VC</w:t>
      </w:r>
      <w:r>
        <w:rPr>
          <w:vertAlign w:val="subscript"/>
        </w:rPr>
        <w:t>valid</w:t>
      </w:r>
      <w:r>
        <w:t xml:space="preserve">, namely the signature, issuer, subject and validity time, together with the role claim. The doctor and guardian credentials are checked when the consent is created. Each guardian's credential is checked again before the guardian signs, </w:t>
      </w:r>
      <w:r>
        <w:t>as Section 6.4 describes</w:t>
      </w:r>
      <w:r>
        <w:t>,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w:t>
      </w:r>
      <w:r>
        <w:t>is presented in Section 6.7.</w:t>
      </w:r>
    </w:p>
    <w:p>
      <w:pPr>
        <w:pStyle w:val="3"/>
        <w:keepNext/>
      </w:pPr>
      <w:r>
        <w:t>6.6.2 Steps in the Working of the Prototype for Identity and Authority Verification</w:t>
      </w:r>
    </w:p>
    <w:p>
      <w:pPr/>
      <w:r>
        <w:t>In order to verify a participant, the HALAH prototype carries out the following steps at two points of the workflow: when a guardian approves a consent, and when a doctor requests data. The same service functions are called at both points, so the check that the guardian interface applies is the check that the doctor interface applies. The steps involved are as below:</w:t>
      </w:r>
    </w:p>
    <w:p>
      <w:pPr>
        <w:pStyle w:val="a4"/>
        <w:tabs>
          <w:tab w:pos="624" w:val="left"/>
        </w:tabs>
        <w:ind w:left="624" w:hanging="397"/>
      </w:pPr>
      <w:r>
        <w:t>1.</w:t>
        <w:tab/>
      </w:r>
      <w:r>
        <w:rPr>
          <w:u w:val="single"/>
        </w:rPr>
        <w:t xml:space="preserve">Get the DID and its credential: </w:t>
      </w:r>
      <w:r>
        <w:t>The DID of the participant is taken from the interface, for a guardian from the list of guardians of the consent and for a doctor from the DID entered, and the credential of that DID is read from the credential store.</w:t>
      </w:r>
    </w:p>
    <w:p>
      <w:pPr>
        <w:pStyle w:val="a4"/>
        <w:tabs>
          <w:tab w:pos="624" w:val="left"/>
        </w:tabs>
        <w:ind w:left="624" w:hanging="397"/>
      </w:pPr>
      <w:r>
        <w:t>2.</w:t>
        <w:tab/>
      </w:r>
      <w:r>
        <w:rPr>
          <w:u w:val="single"/>
        </w:rPr>
        <w:t xml:space="preserve">Check the identifier: </w:t>
      </w:r>
      <w:r>
        <w:t>The DID is checked against the syntax did:method:identifier, and a malformed identifier fails the check.</w:t>
      </w:r>
    </w:p>
    <w:p>
      <w:pPr>
        <w:pStyle w:val="a4"/>
        <w:tabs>
          <w:tab w:pos="624" w:val="left"/>
        </w:tabs>
        <w:ind w:left="624" w:hanging="397"/>
      </w:pPr>
      <w:r>
        <w:t>3.</w:t>
        <w:tab/>
      </w:r>
      <w:r>
        <w:rPr>
          <w:u w:val="single"/>
        </w:rPr>
        <w:t xml:space="preserve">Verify the credential: </w:t>
      </w:r>
      <w:r>
        <w:t>The four conditions of VC^valid| are evaluated one by one: the signature against the registered address of the issuer, the issuer against the registry, the subject against the DID presented, and the validity period against the clock of the server.</w:t>
      </w:r>
    </w:p>
    <w:p>
      <w:pPr>
        <w:pStyle w:val="a4"/>
        <w:tabs>
          <w:tab w:pos="624" w:val="left"/>
        </w:tabs>
        <w:ind w:left="624" w:hanging="397"/>
      </w:pPr>
      <w:r>
        <w:t>4.</w:t>
        <w:tab/>
      </w:r>
      <w:r>
        <w:rPr>
          <w:u w:val="single"/>
        </w:rPr>
        <w:t xml:space="preserve">Match the role and bind to the consent: </w:t>
      </w:r>
      <w:r>
        <w:t>The role claim must be guardian for an approval and doctor for a request, and the DID of the doctor must be the authorised doctor named in the consent.</w:t>
      </w:r>
    </w:p>
    <w:p>
      <w:pPr>
        <w:pStyle w:val="a4"/>
        <w:tabs>
          <w:tab w:pos="624" w:val="left"/>
        </w:tabs>
        <w:ind w:left="624" w:hanging="397"/>
      </w:pPr>
      <w:r>
        <w:t>5.</w:t>
        <w:tab/>
      </w:r>
      <w:r>
        <w:rPr>
          <w:u w:val="single"/>
        </w:rPr>
        <w:t xml:space="preserve">Record the evidence and return VI: </w:t>
      </w:r>
      <w:r>
        <w:t>The credential identifier and the issuer are written to the audit ledger with the approval, and the DID and credential of the requester with every decision. A guardian who fails the check cannot sign, and the refused approval is recorded; a doctor who fails VI is refused before the scope of the consent or any record is shown, and the refused request is recorded.</w:t>
      </w:r>
    </w:p>
    <w:p>
      <w:pPr/>
      <w:r>
        <w:t>The logical working of the above steps is shown pictorially in Figure 6.4. Figure 6.5 shows the guardian interface after step 5 for the guardian did:parent:A, with the credential verified and the signature added, and Figure 6.6 shows the doctor interface for a requester who holds a valid doctor credential but is not the doctor named in the consent, where VI fails and the request is refused and recorded.</w:t>
      </w:r>
    </w:p>
    <w:p>
      <w:pPr>
        <w:jc w:val="center"/>
      </w:pPr>
      <w:r>
        <w:drawing>
          <wp:inline xmlns:a="http://schemas.openxmlformats.org/drawingml/2006/main" xmlns:pic="http://schemas.openxmlformats.org/drawingml/2006/picture">
            <wp:extent cx="3780000" cy="3224426"/>
            <wp:docPr id="2086885388" name="Picture 2086885388"/>
            <wp:cNvGraphicFramePr>
              <a:graphicFrameLocks noChangeAspect="1"/>
            </wp:cNvGraphicFramePr>
            <a:graphic>
              <a:graphicData uri="http://schemas.openxmlformats.org/drawingml/2006/picture">
                <pic:pic>
                  <pic:nvPicPr>
                    <pic:cNvPr id="0" name="ch6_prototype_steps.png"/>
                    <pic:cNvPicPr/>
                  </pic:nvPicPr>
                  <pic:blipFill>
                    <a:blip r:embed="rId43"/>
                    <a:stretch>
                      <a:fillRect/>
                    </a:stretch>
                  </pic:blipFill>
                  <pic:spPr>
                    <a:xfrm>
                      <a:off x="0" y="0"/>
                      <a:ext cx="3780000" cy="3224426"/>
                    </a:xfrm>
                    <a:prstGeom prst="rect"/>
                  </pic:spPr>
                </pic:pic>
              </a:graphicData>
            </a:graphic>
          </wp:inline>
        </w:drawing>
      </w:r>
    </w:p>
    <w:p>
      <w:pPr>
        <w:spacing w:before="160" w:after="160"/>
        <w:jc w:val="center"/>
      </w:pPr>
      <w:r>
        <w:rPr>
          <w:sz w:val="20"/>
        </w:rPr>
        <w:t>Figure 6.4: Steps of the prototype for verifying the identity and the authority of a participant</w:t>
      </w:r>
    </w:p>
    <w:p>
      <w:pPr>
        <w:jc w:val="center"/>
      </w:pPr>
      <w:r>
        <w:drawing>
          <wp:inline xmlns:a="http://schemas.openxmlformats.org/drawingml/2006/main" xmlns:pic="http://schemas.openxmlformats.org/drawingml/2006/picture">
            <wp:extent cx="4860000" cy="2096471"/>
            <wp:docPr id="2086885389" name="Picture 2086885389"/>
            <wp:cNvGraphicFramePr>
              <a:graphicFrameLocks noChangeAspect="1"/>
            </wp:cNvGraphicFramePr>
            <a:graphic>
              <a:graphicData uri="http://schemas.openxmlformats.org/drawingml/2006/picture">
                <pic:pic>
                  <pic:nvPicPr>
                    <pic:cNvPr id="0" name="ch6_guardian_credential_verified.png"/>
                    <pic:cNvPicPr/>
                  </pic:nvPicPr>
                  <pic:blipFill>
                    <a:blip r:embed="rId44"/>
                    <a:stretch>
                      <a:fillRect/>
                    </a:stretch>
                  </pic:blipFill>
                  <pic:spPr>
                    <a:xfrm>
                      <a:off x="0" y="0"/>
                      <a:ext cx="4860000" cy="2096471"/>
                    </a:xfrm>
                    <a:prstGeom prst="rect"/>
                  </pic:spPr>
                </pic:pic>
              </a:graphicData>
            </a:graphic>
          </wp:inline>
        </w:drawing>
      </w:r>
    </w:p>
    <w:p>
      <w:pPr>
        <w:spacing w:before="160" w:after="160"/>
        <w:jc w:val="center"/>
      </w:pPr>
      <w:r>
        <w:rPr>
          <w:sz w:val="20"/>
        </w:rPr>
        <w:t>Figure 6.5: Guardian interface after the credential of did:parent:A has been verified and the approval signed</w:t>
      </w:r>
    </w:p>
    <w:p>
      <w:pPr>
        <w:jc w:val="center"/>
      </w:pPr>
      <w:r>
        <w:drawing>
          <wp:inline xmlns:a="http://schemas.openxmlformats.org/drawingml/2006/main" xmlns:pic="http://schemas.openxmlformats.org/drawingml/2006/picture">
            <wp:extent cx="4860000" cy="2906470"/>
            <wp:docPr id="2086885390" name="Picture 2086885390"/>
            <wp:cNvGraphicFramePr>
              <a:graphicFrameLocks noChangeAspect="1"/>
            </wp:cNvGraphicFramePr>
            <a:graphic>
              <a:graphicData uri="http://schemas.openxmlformats.org/drawingml/2006/picture">
                <pic:pic>
                  <pic:nvPicPr>
                    <pic:cNvPr id="0" name="ch6_requester_vi_fail.png"/>
                    <pic:cNvPicPr/>
                  </pic:nvPicPr>
                  <pic:blipFill>
                    <a:blip r:embed="rId45"/>
                    <a:stretch>
                      <a:fillRect/>
                    </a:stretch>
                  </pic:blipFill>
                  <pic:spPr>
                    <a:xfrm>
                      <a:off x="0" y="0"/>
                      <a:ext cx="4860000" cy="2906470"/>
                    </a:xfrm>
                    <a:prstGeom prst="rect"/>
                  </pic:spPr>
                </pic:pic>
              </a:graphicData>
            </a:graphic>
          </wp:inline>
        </w:drawing>
      </w:r>
    </w:p>
    <w:p>
      <w:pPr>
        <w:spacing w:before="160" w:after="160"/>
        <w:jc w:val="center"/>
      </w:pPr>
      <w:r>
        <w:rPr>
          <w:sz w:val="20"/>
        </w:rPr>
        <w:t>Figure 6.6: Doctor interface for a requester with a valid credential who is not the doctor named in the consent</w:t>
      </w:r>
    </w:p>
    <w:p>
      <w:pPr>
        <w:pStyle w:val="2"/>
        <w:keepNext/>
      </w:pPr>
      <w:r>
        <w:t>6.7 Prototype Validation and Discussion</w:t>
      </w:r>
    </w:p>
    <w:p>
      <w:pPr/>
      <w:r>
        <w:t>Objective two involves the verification of the identity and the authority of a participant as two separate conditions. The result of RO2 is therefore the verification model of Sections 6.3 to 6.5 and its predicate VI, not a set of measurements. The prototype results reported in this section show that the model can be realised and behaves as specified, so they are reported as outcomes, verified or refused, rather than as numbers; the quantitative evaluation of the complete framework is given in Chapter 10. RO2 is validated in three ways: through the live run of the prototype, through the automated tests of the credential check, and through the adversarial scenario A12, and the results are brought together in Table 6.1.</w:t>
      </w:r>
    </w:p>
    <w:p>
      <w:pPr>
        <w:pStyle w:val="3"/>
        <w:keepNext/>
      </w:pPr>
      <w:r>
        <w:t>6.7.1 Validation of Identity and Authority Verification</w:t>
      </w:r>
    </w:p>
    <w:p>
      <w:pPr/>
      <w:r>
        <w:t>Live scenario. In the local run of 11 October 2026 on the consent 18ab9b62, whose creation was reported in Chapter 5, the guardian did:parent:A approved at 17:41:45 and the guardian did:parent:B at 17:41:53. Each approval was accepted only after the guardian credential had been verified, and the ledger row of each approval holds the credential identifier, urn:halah:vc:guardian:did:parent:A and urn:halah:vc:guardian:did:parent:B, and the issuer did:halah:issuer:demo-health-authority (Figure 6.5). A request was then made with the DID did:hospital:002, which holds a valid doctor credential but is not the doctor named in the consent. The decision matrix recorded VI = FAIL with the other four checks passed, and the request was refused at 17:42:04 with the result DENIED and the DID and credential of the requester written to the ledger (Figure 6.6). The same request made with did:hospital:001, the authorised doctor, passed VI at 17:42:19 and was granted at 17:42:21. This is the positive control: the same consent, the same credential store and the same checks, with only the requester changed. At creation, in the same run, a doctor DID without a valid doctor credential and a guardian DID without a valid guardian credential had been rejected before the consent was stored, as reported in Section 5.9.1.</w:t>
      </w:r>
    </w:p>
    <w:p>
      <w:pPr/>
      <w:r>
        <w:t>Before and after the credential check. Before the credential check was added on 11 October 2026, the identity check accepted any string that began with did:. A probe of the decision function with three inputs, a doctor DID with no credential, two DIDs typed into one field, and a guardian DID used as the doctor, returned VI = PASS and ALLOW for all three. After the change, the same probe returns VI = FAIL and DENY for all three. The design of Section 6.5 was therefore correct before the change, but its implementation was not, which is the kind of gap that the validation of each objective is meant to find.</w:t>
      </w:r>
    </w:p>
    <w:p>
      <w:pPr/>
      <w:r>
        <w:t>Automated tests. Five tests cover the credential check. The test test_demo_credentials_verify_and_are_reproducible asserts that each guardian credential verifies for the role guardian and fails for the role doctor, that each doctor credential verifies for the role doctor and fails for the role guardian, and that a stored credential equals the one the issuer produces for the same DID and role. The test test_each_credential_condition_fails_on_its_own alters one condition at a time, a claim changed after signing, an unknown issuer, the credential of another subject, a check dated after the validity period, the wrong role, and a DID with no credential, and asserts that each condition fails on its own. The test test_did_syntax asserts that nine malformed identifiers are refused. The test test_vi_binds_the_requester_to_the_consent_doctor asserts that a valid doctor who is not the doctor of the consent fails VI, and the test test_credential_time_follows_the_evaluation_time_and_bad_fields_fail_closed asserts that a credential is refused when the evaluation time lies after its validity period and that a malformed credential object is refused rather than accepted. The adversarial scenario A12, invalid or forged credential (test_A13_invalid_or_forged_credential_is_rejected), presents a credential signed by a key that is not the issuer’s, a credential from an untrusted issuer, a guardian credential whose role claim was changed to doctor, the credential of another DID and an expired credential, and asserts that each fails VI and gives DENY; it also refuses a guardian posing as the doctor, a valid doctor not named in the consent, and a well-formed DID with no credential. All of these tests pass in the suite of 46 reported in Chapter 10, and the credential check takes about 6 ms per credential, as measured in Chapter 10.</w:t>
      </w:r>
    </w:p>
    <w:p>
      <w:pPr/>
      <w:r>
        <w:t>Table 6.1 brings these results together by condition of the verification model. For each condition it gives the step of the procedure and the lines of Algorithm 2 that apply it, the evidence from the live run and the automated tests, and the result observed.</w:t>
      </w:r>
    </w:p>
    <w:p>
      <w:pPr>
        <w:keepNext/>
        <w:spacing w:before="160" w:after="160"/>
        <w:jc w:val="center"/>
      </w:pPr>
      <w:r>
        <w:rPr>
          <w:sz w:val="20"/>
        </w:rPr>
        <w:t>Table 6.1: Validation results of the prototype for identity and authority verification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361"/>
        <w:gridCol w:w="2494"/>
        <w:gridCol w:w="3061"/>
        <w:gridCol w:w="1587"/>
      </w:tblGrid>
      <w:tr>
        <w:trPr>
          <w:tblHeader/>
          <w:cantSplit/>
        </w:trPr>
        <w:tc>
          <w:tcPr>
            <w:tcW w:type="dxa" w:w="13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Condition</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(procedure step and Algorithm 2 lines)</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58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syntax</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and 2 (Algorithm 2, lines 1 to 8), reduced in this stage to the syntax did:method:identifier.</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Test test_did_syntax: nine malformed identifiers refused, among them an empty string, a missing method, an upper-case method and a space inside the identifier. Run of 11 October 2026: two DIDs typed into one field refused (Section 5.9.1).</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Malformed identifiers refused; well-formed identifiers pass to the credential check.</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Credential found</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3 (lines 9 to 12): a credential for the DID must exist in the credential store.</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well-formed DID with no credential, did:hospital:999, fails VI (tests test_each_credential_condition_fails_on_its_own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No credential, no participation.</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Signature</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(lines 13 to 16): the signature must recover to the registered address of the issuer.</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claim changed after signing (validUntil moved to 2099) fails the signature condition; a credential signed by a key that is not the issuer’s is refused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Tampered and forged credentials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Issuer</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issuer must be in the trusted-issuer registry.</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credential from did:example:other and one from an unknown issuer fail the issuer condition (tests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Untrusted issuers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Subject</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subject of the credential must be the DID presented.</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credential of did:hospital:002 presented for did:hospital:001 fails the subject condition (tests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credential cannot be borrowed by another DID.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period</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time of the check must lie between validFrom and validUntil.</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check dated 1 January 2031, after the validUntil of the demo credentials, fails; an expired credential is refused (A12); the check follows the evaluation time passed to the decision function.</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Expired credentials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Role</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5 and 6 (lines 17 to 20): the role claim must be the role the step requires.</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guardian credential presented as a doctor fails the role condition; a guardian posing as the doctor is refused (A12). Each guardian credential verifies as guardian and fails as doctor, and each doctor credential the reverse.</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Wrong role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Binding to the consent</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6 and 7: the doctor must be the authorised doctor named in the consent.</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did:hospital:002 holds a valid doctor credential but is not the doctor of consent 18ab9b62; VI = FAIL, request DENIED at 17:42:04 (Figure 6.6). Test test_vi_binds_the_requester_to_the_consent_doctor.</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valid doctor is refused on a consent that does not name them; did:hospital:001 passed VI at 17:42:19.</w:t>
            </w:r>
          </w:p>
        </w:tc>
      </w:tr>
      <w:tr>
        <w:trPr>
          <w:cantSplit/>
        </w:trPr>
        <w:tc>
          <w:tcPr>
            <w:tcW w:type="dxa" w:w="13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Evidence</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8 (line 21): the verification evidence is recorded.</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rows of the approvals at 17:41:45 and 17:41:53 carry the credential identifier and the issuer; the STATE_CHECK and DATA_ACCESS rows of 17:42:04 and 17:42:19 carry the requester DID and its credential.</w:t>
            </w:r>
          </w:p>
        </w:tc>
        <w:tc>
          <w:tcPr>
            <w:tcW w:type="dxa" w:w="158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approval and every decision is traceable to a credential.</w:t>
            </w:r>
          </w:p>
        </w:tc>
      </w:tr>
    </w:tbl>
    <w:p>
      <w:pPr>
        <w:pStyle w:val="3"/>
        <w:keepNext/>
      </w:pPr>
      <w:r>
        <w:t>6.7.2 Discussion</w:t>
      </w:r>
    </w:p>
    <w:p>
      <w:pPr/>
      <w:r>
        <w:t>The use of decentralised identifiers and verifiable credentials for identity and authority verification has several advantages which include separation, evidence, and independence from a central identity provider. Separation means that the identity of a participant and the authority of that participant are two checks, so a valid identity never gives access by itself, and a credential never gives access to a consent that does not name its holder. Evidence means that every approval and every decision carries the credential identifier and the issuer, so an auditor can see on whose authority a guardian signed or a doctor was refused. Independence means that the verifier needs only the registered address of the issuer and not a connection to it, so a credential issued by one healthcare authority can be checked by any HALAH instance that trusts that authority.</w:t>
      </w:r>
    </w:p>
    <w:p>
      <w:pPr/>
      <w:r>
        <w:t>On the other hand, the trade-offs are the dependence on the issuer and the limits of this stage. A credential is only as trustworthy as its issuer, and the current check has no credential revocation list, so a credential withdrawn by its issuer remains valid until its validUntil time. The DID is checked for its syntax and not resolved, and the DID of the requester is entered rather than authenticated, so VI shows that the DID entered holds a valid doctor credential and is the doctor named in the consent, not that the person at the interface controls that DID. Although these may be considered limitations of the method, the certainty that no participant takes part without a credential of the right role from a trusted issuer outweighs them at this stage, and DID resolution, holder binding and wallet-held keys are addressed in the next stage of the research, as discussed in Chapter 11.</w:t>
      </w:r>
    </w:p>
    <w:p>
      <w:pPr>
        <w:pStyle w:val="2"/>
        <w:keepNext/>
      </w:pPr>
      <w:r>
        <w:t>6.8 Conclusion</w:t>
      </w:r>
    </w:p>
    <w:p>
      <w:pPr/>
      <w:r>
        <w:t>In this chapter, we discussed decentralised identifiers and verifiable credentials and used them to verify who a participant is and what authority the participant holds as two separate conditions. In particular, we presented the principle that identity is not authorisation, the verification condition VI(u) = VerifyDID(u) ∧ VerifyVC(u) ∧ Authority(u, C), the nine-step verification procedure and Algorithm 2, in which a credential is valid only when its signature, issuer, subject and validity period are all verified and its role claim matches the role that the consent requires. This addressed the second research objective of this thesis.</w:t>
      </w:r>
    </w:p>
    <w:p>
      <w:pPr/>
      <w:r>
        <w:t>In this chapter we also presented the realisation of the verification in the HALAH prototype and the results of its validation. At the end of the validation process, the results show that a guardian signs only after the guardian credential has been verified, that a doctor who holds a valid credential but is not the doctor named in the consent is refused before any record is shown, and that forged, tampered, expired, untrusted and misdirected credentials are refused one condition at a time. However, a key finding from the validation was that the prototype verifies the credential of the DID entered, not that the user controls that DID; holder binding and DID resolution are the work of the next stage.</w:t>
      </w:r>
    </w:p>
    <w:p>
      <w:pPr/>
      <w:r>
        <w:t>The next chapter will discuss in a methodological manner the steps involved in the multi-party approval of the consent by the guardian set, which is the solution for research objective 3.</w:t>
      </w:r>
    </w:p>
    <w:sectPr w:rsidR="009262C4">
      <w:headerReference w:type="default" r:id="rId53"/>
      <w:headerReference w:type="even" r:id="rId54"/>
      <w:footerReference w:type="default" r:id="rId55"/>
      <w:footerReference w:type="even" r:id="rId56"/>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header" Target="header1.xml"/><Relationship Id="rId47" Type="http://schemas.openxmlformats.org/officeDocument/2006/relationships/header" Target="header2.xml"/><Relationship Id="rId48" Type="http://schemas.openxmlformats.org/officeDocument/2006/relationships/footer" Target="footer2.xml"/><Relationship Id="rId49" Type="http://schemas.openxmlformats.org/officeDocument/2006/relationships/header" Target="header3.xml"/><Relationship Id="rId50" Type="http://schemas.openxmlformats.org/officeDocument/2006/relationships/header" Target="header4.xml"/><Relationship Id="rId51" Type="http://schemas.openxmlformats.org/officeDocument/2006/relationships/footer" Target="footer3.xml"/><Relationship Id="rId52" Type="http://schemas.openxmlformats.org/officeDocument/2006/relationships/footer" Target="footer4.xml"/><Relationship Id="rId53" Type="http://schemas.openxmlformats.org/officeDocument/2006/relationships/header" Target="header5.xml"/><Relationship Id="rId54" Type="http://schemas.openxmlformats.org/officeDocument/2006/relationships/header" Target="header6.xml"/><Relationship Id="rId55" Type="http://schemas.openxmlformats.org/officeDocument/2006/relationships/footer" Target="footer5.xml"/><Relationship Id="rId56"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2026-10-23T09:38:37Z</dcterms:created>
  <dcterms:modified xsi:type="dcterms:W3CDTF">2026-10-23T09:38:37Z</dcterms:modified>
</cp:coreProperties>
</file>