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5</w:t>
            </w:r>
          </w:p>
        </w:tc>
      </w:tr>
    </w:tbl>
    <w:p>
      <w:pPr>
        <w:pStyle w:val="1"/>
        <w:keepNext/>
        <w:spacing w:before="360"/>
      </w:pPr>
      <w:r/>
      <w:r>
        <w:rPr>
          <w:color w:val="FFFFFF"/>
          <w:sz w:val="2"/>
        </w:rPr>
        <w:t xml:space="preserve">5. </w:t>
      </w:r>
      <w:r>
        <w:rPr>
          <w:smallCaps/>
        </w:rPr>
        <w:t>Research Architecture and Trust-Centric Consent Model</w:t>
      </w:r>
    </w:p>
    <w:p>
      <w:pPr>
        <w:pStyle w:val="2"/>
        <w:keepNext/>
      </w:pPr>
      <w:r>
        <w:t>5.1 Introduction</w:t>
      </w:r>
    </w:p>
    <w:p>
      <w:pPr/>
      <w:r>
        <w:t xml:space="preserve">In this chapter, firstly the research architecture on which the whole framework is built is presented. There are three layers in the architecture, and the role of each layer is explained in this chapter. Furthermore, a model is proposed to represent patient consent as an evaluable authorisation object</w:t>
      </w:r>
      <w:r>
        <w:rPr>
          <w:strike/>
          <w:color w:val="FF0000"/>
        </w:rPr>
        <w:t xml:space="preserve">; this provides</w:t>
      </w:r>
      <w:r>
        <w:rPr>
          <w:color w:val="FF0000"/>
        </w:rPr>
        <w:t xml:space="preserve">. This provides</w:t>
      </w:r>
      <w:r>
        <w:t xml:space="preserve"> a complete solution to research objective 1. In this chapter, we also present the results of the validation of the proposed solution to research question one. To validate this research question, we built the HALAH prototype and used the following technologies to test the system:</w:t>
      </w:r>
    </w:p>
    <w:p>
      <w:pPr>
        <w:pStyle w:val="a4"/>
        <w:tabs>
          <w:tab w:pos="624" w:val="left"/>
        </w:tabs>
        <w:ind w:left="624" w:hanging="397"/>
      </w:pPr>
      <w:r>
        <w:t>1.</w:t>
        <w:tab/>
      </w:r>
      <w:r>
        <w:rPr>
          <w:b/>
        </w:rPr>
        <w:t xml:space="preserve">Blockchain: </w:t>
      </w:r>
      <w:r>
        <w:t xml:space="preserve">A blockchain is a decentralised and distributed ledger in which a recorded entry cannot be altered retroactively without altering the blocks that follow it (Wood 2014). In HALAH the chain holds no medical content</w:t>
      </w:r>
      <w:r>
        <w:rPr>
          <w:strike/>
          <w:color w:val="FF0000"/>
        </w:rPr>
        <w:t xml:space="preserve">; it anchors</w:t>
      </w:r>
      <w:r>
        <w:rPr>
          <w:color w:val="FF0000"/>
        </w:rPr>
        <w:t xml:space="preserve">. It anchors</w:t>
      </w:r>
      <w:r>
        <w:t xml:space="preserve"> only the state of an approved consent, as a soulbound token (Cai 2022) that cannot be transferred, and its revocation. The Ethereum test network Sepolia (Ethereum Foundation 2026b) was chosen because it runs the same virtual machine as the main network, so the contract behaves as it would in production, while its ether has no monetary value. </w:t>
      </w:r>
      <w:r>
        <w:rPr>
          <w:strike/>
          <w:color w:val="FF0000"/>
        </w:rPr>
        <w:t xml:space="preserve">The contract was deployed and its transactions sent through</w:t>
      </w:r>
      <w:r>
        <w:rPr>
          <w:color w:val="FF0000"/>
        </w:rPr>
        <w:t xml:space="preserve">The contract was deployed through</w:t>
      </w:r>
      <w:r>
        <w:t xml:space="preserve"> the MetaMask wallet (Consensys 2026), and every transaction is publicly visible on Etherscan.</w:t>
      </w:r>
    </w:p>
    <w:p>
      <w:pPr>
        <w:pStyle w:val="a4"/>
        <w:tabs>
          <w:tab w:pos="624" w:val="left"/>
        </w:tabs>
        <w:ind w:left="624" w:hanging="397"/>
      </w:pPr>
      <w:r>
        <w:t>2.</w:t>
        <w:tab/>
      </w:r>
      <w:r>
        <w:rPr>
          <w:b/>
        </w:rPr>
        <w:t xml:space="preserve">Solidity: </w:t>
      </w:r>
      <w:r>
        <w:t>The consent contract ConsentSBTv3 is written in Solidity, the contract language of Ethereum (Ethereum Foundation 2026a), on the OpenZeppelin implementation of the ERC-721 token standard (Entriken et al. 2018) with the ERC-5484 soulbound interface (Cai 2022), and was compiled in the Remix environment (Ethereum Foundation 2026c). The contract stores the start time, the expiry time and the revocation flag of each consent and reports whether the consent is valid at a given time, so the temporal and lifecycle conditions of Req 5 can be checked against the chain by any party, independently of the application.</w:t>
      </w:r>
    </w:p>
    <w:p>
      <w:pPr>
        <w:pStyle w:val="a4"/>
        <w:tabs>
          <w:tab w:pos="624" w:val="left"/>
        </w:tabs>
        <w:ind w:left="624" w:hanging="397"/>
      </w:pPr>
      <w:r>
        <w:t>3.</w:t>
        <w:tab/>
      </w:r>
      <w:r>
        <w:rPr>
          <w:b/>
        </w:rPr>
        <w:t xml:space="preserve">Python and Streamlit: </w:t>
      </w:r>
      <w:r>
        <w:t>The Controller and the four role interfaces of the prototype, for the patient, the guardian, the doctor and the auditor, are written in Python with the Streamlit library, and the application reaches Sepolia through the web3 library. Consents, approvals, decisions and the audit ledger are kept in a local SQLite database, so the auditor can query the evidence of every decision while nothing but the consent state goes to the chain.</w:t>
      </w:r>
    </w:p>
    <w:p>
      <w:pPr>
        <w:pStyle w:val="a4"/>
        <w:tabs>
          <w:tab w:pos="624" w:val="left"/>
        </w:tabs>
        <w:ind w:left="624" w:hanging="397"/>
      </w:pPr>
      <w:r>
        <w:t>4.</w:t>
        <w:tab/>
      </w:r>
      <w:r>
        <w:rPr>
          <w:b/>
        </w:rPr>
        <w:t xml:space="preserve">Decentralised identifiers and verifiable credentials: </w:t>
      </w:r>
      <w:r>
        <w:t xml:space="preserve">Every participant is named by a decentralised identifier </w:t>
      </w:r>
      <w:r>
        <w:rPr>
          <w:strike/>
          <w:color w:val="FF0000"/>
        </w:rPr>
        <w:t xml:space="preserve">(W3C 2022) and holds a role credential</w:t>
      </w:r>
      <w:r>
        <w:rPr>
          <w:color w:val="FF0000"/>
        </w:rPr>
        <w:t xml:space="preserve">(W3C 2022), and the doctor and each guardian hold a role credential</w:t>
      </w:r>
      <w:r>
        <w:t xml:space="preserve"> (W3C 2025) signed by a trusted issuer, so the identity of a participant and the authority of that participant are verified as two separate conditions, as Chapter 6 presents.</w:t>
      </w:r>
    </w:p>
    <w:p>
      <w:pPr>
        <w:pStyle w:val="a4"/>
        <w:tabs>
          <w:tab w:pos="624" w:val="left"/>
        </w:tabs>
        <w:ind w:left="624" w:hanging="397"/>
      </w:pPr>
      <w:r>
        <w:t>5.</w:t>
        <w:tab/>
      </w:r>
      <w:r>
        <w:rPr>
          <w:b/>
        </w:rPr>
        <w:t xml:space="preserve">Synthea: </w:t>
      </w:r>
      <w:r>
        <w:t>The healthcare records of the prototype are synthetic patients produced by the Synthea generator (Walonoski et al. 2018). The dataset is described in Section 5.7.</w:t>
      </w:r>
    </w:p>
    <w:p>
      <w:pPr/>
      <w:r>
        <w:t>The outline of this chapter is as follows. In Section 5.2, we outline the three layers of the architecture and their components. Subsequently, in Section 5.3 we explain where trust is evaluated and where the boundaries between the layers lie, and in Section 5.4 we map the architecture to the six research objectives. In Section 5.5, we present the trust-centric consent model: the creation workflow, the structure of the consent object C = (I, A, P, T, L, E), and the creation procedure as Algorithm 1. Furthermore, in Section 5.6, we discuss the aims of engineering the prototype system used for validating the proposed consent model. In Section 5.7, we outline and explain the dataset used for validation purposes. In Section 5.8 we explain in detail in a stepwise manner the working of the prototype for consent creation. Finally, in Section 5.9 we discuss the results obtained from the validation of the consent model and the evaluation of the architecture, and Section 5.10 concludes the chapter.</w:t>
      </w:r>
    </w:p>
    <w:p>
      <w:pPr>
        <w:pStyle w:val="2"/>
        <w:keepNext/>
      </w:pPr>
      <w:r>
        <w:t>5.2 Layered Architecture and Component Decomposition</w:t>
      </w:r>
    </w:p>
    <w:p w14:paraId="41D8500A" w14:textId="77777777" w:rsidR="009262C4" w:rsidRDefault="00000000">
      <w:pPr>
        <w:spacing w:after="110" w:line="264" w:lineRule="auto"/>
        <w:jc w:val="both"/>
      </w:pPr>
      <w:r>
        <w:t>The proposed research architecture adopts a Model–View–Controller (MVC) design to provide a structured implementation foundation for the trusted multi-party consent management framework. In the proposed framework, MVC does more than separate data, interfaces, and application logic. It is extended to support a separation between the representation of consent, the interaction of independent stakeholders, and the enforcement of security-critical authorisation decisions. A healthcare consent decision may involve patients, guardians, healthcare professionals, and auditors, each of whom may possess different identities, authorities, and responsibilities. Consequently, the system cannot rely on a single user authentication event or a static permission entry to determine whether access should be granted. Instead, the authorisation decision is the result of evaluating independently verifiable security conditions together.</w:t>
      </w:r>
    </w:p>
    <w:p w14:paraId="27D68898" w14:textId="77777777" w:rsidR="009262C4" w:rsidRDefault="00000000">
      <w:pPr>
        <w:spacing w:after="110" w:line="264" w:lineRule="auto"/>
        <w:jc w:val="both"/>
      </w:pPr>
      <w:r>
        <w:t>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5.1 illustrates the conceptual relationship among these layers. The protected healthcare data are deliberately positioned outside the three MVC layers as a protected resource whose access is mediated by the Controller rather than directly exposed to the View.</w:t>
      </w:r>
    </w:p>
    <w:p w14:paraId="6C42FC51" w14:textId="77777777" w:rsidR="009262C4" w:rsidRDefault="00000000">
      <w:pPr>
        <w:keepNext/>
        <w:spacing w:before="160" w:after="60"/>
        <w:jc w:val="center"/>
      </w:pPr>
      <w:r>
        <w:rPr>
          <w:noProof/>
        </w:rPr>
        <w:drawing>
          <wp:inline distT="0" distB="0" distL="0" distR="0" wp14:anchorId="4DAE03E1" wp14:editId="27D7BEAF">
            <wp:extent cx="5715000" cy="3524250"/>
            <wp:effectExtent l="0" t="0" r="0" b="0"/>
            <wp:docPr id="1618481870"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24250"/>
                    </a:xfrm>
                    <a:prstGeom prst="rect">
                      <a:avLst/>
                    </a:prstGeom>
                  </pic:spPr>
                </pic:pic>
              </a:graphicData>
            </a:graphic>
          </wp:inline>
        </w:drawing>
      </w:r>
    </w:p>
    <w:p w14:paraId="60D6AC1B" w14:textId="77777777" w:rsidR="009262C4" w:rsidRDefault="00000000">
      <w:pPr>
        <w:spacing w:after="160" w:before="160"/>
        <w:jc w:val="center"/>
      </w:pPr>
      <w:r>
        <w:rPr>
          <w:b/>
          <w:bCs/>
          <w:sz w:val="20"/>
          <w:szCs w:val="18"/>
        </w:rPr>
        <w:t xml:space="preserve">Figure 5.1: </w:t>
      </w:r>
      <w:r>
        <w:rPr>
          <w:sz w:val="20"/>
          <w:szCs w:val="18"/>
        </w:rPr>
        <w:t>Layered MVC architecture and component decomposition of the HALAH framework.</w:t>
      </w:r>
    </w:p>
    <w:p w14:paraId="26956B3E" w14:textId="77777777" w:rsidR="009262C4" w:rsidRDefault="00000000">
      <w:pPr>
        <w:spacing w:after="110" w:line="264" w:lineRule="auto"/>
        <w:jc w:val="both"/>
      </w:pPr>
      <w:r>
        <w:t xml:space="preserve">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w:t>
        <w:lastRenderedPageBreak/>
        <w:t xml:space="preserve">associated with the resulting decision. Consequently, the Controller acts as the coordination point through which sensitive operations must pass before protected healthcare data can be accessed. The Model therefore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temporal, and lifecycle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14:paraId="4D3FDE6C" w14:textId="77777777" w:rsidR="009262C4" w:rsidRDefault="00000000">
      <w:pPr>
        <w:spacing w:after="110" w:line="264" w:lineRule="auto"/>
        <w:jc w:val="both"/>
      </w:pPr>
      <w:r>
        <w:t>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14:paraId="2644B837" w14:textId="77777777" w:rsidR="009262C4" w:rsidRDefault="00000000">
      <w:pPr>
        <w:keepNext/>
        <w:spacing w:before="160" w:after="60"/>
        <w:jc w:val="center"/>
      </w:pPr>
      <w:r>
        <w:rPr>
          <w:noProof/>
        </w:rPr>
        <w:drawing>
          <wp:inline distT="0" distB="0" distL="0" distR="0" wp14:anchorId="1ABB014A" wp14:editId="132D32D3">
            <wp:extent cx="5715000" cy="2209800"/>
            <wp:effectExtent l="0" t="0" r="0" b="0"/>
            <wp:docPr id="2035954216"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09800"/>
                    </a:xfrm>
                    <a:prstGeom prst="rect">
                      <a:avLst/>
                    </a:prstGeom>
                  </pic:spPr>
                </pic:pic>
              </a:graphicData>
            </a:graphic>
          </wp:inline>
        </w:drawing>
      </w:r>
    </w:p>
    <w:p w14:paraId="355BEDCC" w14:textId="77777777" w:rsidR="009262C4" w:rsidRDefault="00000000">
      <w:pPr>
        <w:spacing w:after="160" w:before="160"/>
        <w:jc w:val="center"/>
      </w:pPr>
      <w:r>
        <w:rPr>
          <w:b/>
          <w:bCs/>
          <w:sz w:val="20"/>
          <w:szCs w:val="18"/>
        </w:rPr>
        <w:t xml:space="preserve">Figure 5.2: </w:t>
      </w:r>
      <w:r>
        <w:rPr>
          <w:sz w:val="20"/>
          <w:szCs w:val="18"/>
        </w:rPr>
        <w:t>Functional decomposition of the MVC components.</w:t>
      </w:r>
    </w:p>
    <w:p w14:paraId="22BE8074" w14:textId="77777777" w:rsidR="009262C4" w:rsidRDefault="00000000">
      <w:pPr>
        <w:spacing w:after="110" w:line="264" w:lineRule="auto"/>
        <w:jc w:val="both"/>
      </w:pPr>
      <w:r>
        <w:t xml:space="preserve">In the implemented prototype, the Controller comprises eight principal functions rather than six, </w:t>
      </w:r>
      <w:r>
        <w:t>since a Validity Proof Service checks the consent once more before any data are released, as Chapter 8 presents, and an On-chain Anchor Service</w:t>
      </w:r>
      <w:r>
        <w:t xml:space="preserve"> anchors the Sepolia mint as a background process. A revoke transaction is sent when the patient revokes a consent, and the patient view waits for its confirmation. The Model correspondingly contains the ConsentSBTv3 soulbound contract deployed on Sepolia together with the application audit ledger, both of which an independent verification tool reads, </w:t>
      </w:r>
      <w:r>
        <w:t>as described in Chapter 10</w:t>
      </w:r>
      <w:r>
        <w:t>. In the present prototype, each DID must be well formed, and the doctor and each guardian must hold a valid verifiable credential from a demo issuer. The guardian's credential is checked before the guardian signs, and V</w:t>
      </w:r>
      <w:r>
        <w:rPr>
          <w:vertAlign w:val="subscript"/>
        </w:rPr>
        <w:t>I</w:t>
      </w:r>
      <w:r>
        <w:t xml:space="preserve"> combines the doctor's credential check with the EIP-712 verification of each listed guardian's signature. </w:t>
      </w:r>
      <w:r>
        <w:t>The requester's DID is declared</w:t>
      </w:r>
      <w:r>
        <w:t xml:space="preserve"> in the interface rather than authenticated, and wallet-held signing keys, full DID resolution and proof that the user controls the DID are deferred to the next stage. However, each guardian approval is an EIP-712 typed-data signature bound to the consent identifier, so the multi-party threshold is enforced over signed approvals rather than over interface actions.</w:t>
      </w:r>
    </w:p>
    <w:p>
      <w:pPr>
        <w:pStyle w:val="2"/>
        <w:keepNext/>
      </w:pPr>
      <w:r>
        <w:t>5.3 Trust Evaluation and Architectural Boundaries</w:t>
      </w:r>
    </w:p>
    <w:p w14:paraId="5D5E853A" w14:textId="77777777" w:rsidR="009262C4" w:rsidRDefault="00000000">
      <w:pPr>
        <w:spacing w:after="110" w:line="264" w:lineRule="auto"/>
        <w:jc w:val="both"/>
      </w:pPr>
      <w:r>
        <w:t>The architectural layers cooperate through a controlled authorisation sequence rather than through unrestricted direct communication. A healthcare data-access request is not evaluated according to a single authentication event. As illustrated in Figure 5.3, the Controller coordinates a sequence of trust predicates representing the conditions established by the sub-research questions. The first condition, V</w:t>
      </w:r>
      <w:r>
        <w:rPr>
          <w:vertAlign w:val="subscript"/>
        </w:rPr>
        <w:t>I</w:t>
      </w:r>
      <w:r>
        <w:t>(u), determines whether the requesting participant possesses valid identity and authority evidence. The second condition, V</w:t>
      </w:r>
      <w:r>
        <w:rPr>
          <w:vertAlign w:val="subscript"/>
        </w:rPr>
        <w:t>A</w:t>
      </w:r>
      <w:r>
        <w:t xml:space="preserve">(C), determines whether the required independently verified participants have collectively satisfied the authorisation threshold N. The third condition, V</w:t>
      </w:r>
      <w:r>
        <w:rPr>
          <w:vertAlign w:val="subscript"/>
        </w:rPr>
        <w:t>P</w:t>
      </w:r>
      <w:r>
        <w:t xml:space="preserve">(C, R), determines whether the requested operation complies with the consent policy, including purpose and data-scope restrictions. The fourth condition, V</w:t>
      </w:r>
      <w:r>
        <w:rPr>
          <w:vertAlign w:val="subscript"/>
        </w:rPr>
        <w:t>T</w:t>
      </w:r>
      <w:r>
        <w:t>(C, t), determines whether the consent remains valid at the time of the request. The fifth condition, V</w:t>
      </w:r>
      <w:r>
        <w:rPr>
          <w:vertAlign w:val="subscript"/>
        </w:rPr>
        <w:t>L</w:t>
      </w:r>
      <w:r>
        <w:t xml:space="preserve">(C), determines whether the consent remains in a valid lifecycle state. The integrated decision </w:t>
      </w:r>
      <w:r>
        <w:t>can therefore be expressed as Equation (5.1)</w:t>
      </w:r>
      <w:r>
        <w:t>. In the current prototype, the Consent Engine derives the lifecycle state, a request proceeds only when this state is ACTIVE, and the revocation flag and the token are also checked within V</w:t>
      </w:r>
      <w:r>
        <w:rPr>
          <w:vertAlign w:val="subscript"/>
        </w:rPr>
        <w:t>A</w:t>
      </w:r>
      <w:r>
        <w:t>.</w:t>
      </w:r>
    </w:p>
    <w:p>
      <w:pPr/>
      <w:r>
        <w:t>Equation (5.1) states that a request is allowed only when every one of the five conditions holds at the time of the request. Conversely, the failure of any one condition is sufficient for refusal, as Equation (5.2) states, and the success of the other conditions cannot compensate for it.</w:t>
      </w:r>
    </w:p>
    <w:p w14:paraId="54552F6D" w14:textId="77777777" w:rsidR="009262C4" w:rsidRDefault="00000000">
      <w:pPr>
        <w:keepLines/>
        <w:tabs>
          <w:tab w:val="center" w:pos="4564"/>
          <w:tab w:val="right" w:pos="9128"/>
        </w:tabs>
        <w:spacing w:before="80" w:after="160"/>
      </w:pPr>
      <w:r>
        <w:rPr/>
        <w:tab/>
      </w:r>
      <w:r>
        <w:rPr>
          <w:rFonts w:ascii="Cambria Math" w:hAnsi="Cambria Math" w:cs="Cambria Math" w:eastAsia="Cambria Math"/>
          <w:sz w:val="18"/>
        </w:rPr>
        <w:t>Decision(C, R, t) = ALLOW ⟺ V</w:t>
      </w:r>
      <w:r>
        <w:rPr>
          <w:rFonts w:ascii="Cambria Math" w:hAnsi="Cambria Math" w:cs="Cambria Math" w:eastAsia="Cambria Math"/>
          <w:sz w:val="18"/>
          <w:vertAlign w:val="subscript"/>
        </w:rPr>
        <w:t>I</w:t>
      </w:r>
      <w:r>
        <w:rPr>
          <w:rFonts w:ascii="Cambria Math" w:hAnsi="Cambria Math" w:cs="Cambria Math" w:eastAsia="Cambria Math"/>
          <w:sz w:val="18"/>
        </w:rPr>
        <w:t>(u) ∧ V</w:t>
      </w:r>
      <w:r>
        <w:rPr>
          <w:rFonts w:ascii="Cambria Math" w:hAnsi="Cambria Math" w:cs="Cambria Math" w:eastAsia="Cambria Math"/>
          <w:sz w:val="18"/>
          <w:vertAlign w:val="subscript"/>
        </w:rPr>
        <w:t>A</w:t>
      </w:r>
      <w:r>
        <w:rPr>
          <w:rFonts w:ascii="Cambria Math" w:hAnsi="Cambria Math" w:cs="Cambria Math" w:eastAsia="Cambria Math"/>
          <w:sz w:val="18"/>
        </w:rPr>
        <w:t>(C) ∧ V</w:t>
      </w:r>
      <w:r>
        <w:rPr>
          <w:rFonts w:ascii="Cambria Math" w:hAnsi="Cambria Math" w:cs="Cambria Math" w:eastAsia="Cambria Math"/>
          <w:sz w:val="18"/>
          <w:vertAlign w:val="subscript"/>
        </w:rPr>
        <w:t>P</w:t>
      </w:r>
      <w:r>
        <w:rPr>
          <w:rFonts w:ascii="Cambria Math" w:hAnsi="Cambria Math" w:cs="Cambria Math" w:eastAsia="Cambria Math"/>
          <w:sz w:val="18"/>
        </w:rPr>
        <w:t>(C, R) ∧ V</w:t>
      </w:r>
      <w:r>
        <w:rPr>
          <w:rFonts w:ascii="Cambria Math" w:hAnsi="Cambria Math" w:cs="Cambria Math" w:eastAsia="Cambria Math"/>
          <w:sz w:val="18"/>
          <w:vertAlign w:val="subscript"/>
        </w:rPr>
        <w:t>T</w:t>
      </w:r>
      <w:r>
        <w:rPr>
          <w:rFonts w:ascii="Cambria Math" w:hAnsi="Cambria Math" w:cs="Cambria Math" w:eastAsia="Cambria Math"/>
          <w:sz w:val="18"/>
        </w:rPr>
        <w:t>(C, t) ∧ V</w:t>
      </w:r>
      <w:r>
        <w:rPr>
          <w:rFonts w:ascii="Cambria Math" w:hAnsi="Cambria Math" w:cs="Cambria Math" w:eastAsia="Cambria Math"/>
          <w:sz w:val="18"/>
          <w:vertAlign w:val="subscript"/>
        </w:rPr>
        <w:t>L</w:t>
      </w:r>
      <w:r>
        <w:rPr>
          <w:rFonts w:ascii="Cambria Math" w:hAnsi="Cambria Math" w:cs="Cambria Math" w:eastAsia="Cambria Math"/>
          <w:sz w:val="18"/>
        </w:rPr>
        <w:t>(C).</w:t>
      </w:r>
      <w:r>
        <w:rPr/>
        <w:tab/>
        <w:t>(5.1)</w:t>
      </w:r>
    </w:p>
    <w:p w14:paraId="54552F6D" w14:textId="77777777" w:rsidR="009262C4" w:rsidRDefault="00000000">
      <w:pPr>
        <w:keepLines/>
        <w:tabs>
          <w:tab w:val="center" w:pos="4564"/>
          <w:tab w:val="right" w:pos="9128"/>
        </w:tabs>
        <w:spacing w:before="80" w:after="160"/>
      </w:pPr>
      <w:r>
        <w:rPr/>
        <w:tab/>
      </w:r>
      <w:r>
        <w:rPr>
          <w:rFonts w:ascii="Cambria Math" w:hAnsi="Cambria Math" w:cs="Cambria Math" w:eastAsia="Cambria Math"/>
          <w:sz w:val="18"/>
        </w:rPr>
        <w:t>¬(V</w:t>
      </w:r>
      <w:r>
        <w:rPr>
          <w:rFonts w:ascii="Cambria Math" w:hAnsi="Cambria Math" w:cs="Cambria Math" w:eastAsia="Cambria Math"/>
          <w:sz w:val="18"/>
          <w:vertAlign w:val="subscript"/>
        </w:rPr>
        <w:t>I</w:t>
      </w:r>
      <w:r>
        <w:rPr>
          <w:rFonts w:ascii="Cambria Math" w:hAnsi="Cambria Math" w:cs="Cambria Math" w:eastAsia="Cambria Math"/>
          <w:sz w:val="18"/>
        </w:rPr>
        <w:t xml:space="preserve"> ∧ V</w:t>
      </w:r>
      <w:r>
        <w:rPr>
          <w:rFonts w:ascii="Cambria Math" w:hAnsi="Cambria Math" w:cs="Cambria Math" w:eastAsia="Cambria Math"/>
          <w:sz w:val="18"/>
          <w:vertAlign w:val="subscript"/>
        </w:rPr>
        <w:t>A</w:t>
      </w:r>
      <w:r>
        <w:rPr>
          <w:rFonts w:ascii="Cambria Math" w:hAnsi="Cambria Math" w:cs="Cambria Math" w:eastAsia="Cambria Math"/>
          <w:sz w:val="18"/>
        </w:rPr>
        <w:t xml:space="preserve"> ∧ V</w:t>
      </w:r>
      <w:r>
        <w:rPr>
          <w:rFonts w:ascii="Cambria Math" w:hAnsi="Cambria Math" w:cs="Cambria Math" w:eastAsia="Cambria Math"/>
          <w:sz w:val="18"/>
          <w:vertAlign w:val="subscript"/>
        </w:rPr>
        <w:t>P</w:t>
      </w:r>
      <w:r>
        <w:rPr>
          <w:rFonts w:ascii="Cambria Math" w:hAnsi="Cambria Math" w:cs="Cambria Math" w:eastAsia="Cambria Math"/>
          <w:sz w:val="18"/>
        </w:rPr>
        <w:t xml:space="preserve"> ∧ V</w:t>
      </w:r>
      <w:r>
        <w:rPr>
          <w:rFonts w:ascii="Cambria Math" w:hAnsi="Cambria Math" w:cs="Cambria Math" w:eastAsia="Cambria Math"/>
          <w:sz w:val="18"/>
          <w:vertAlign w:val="subscript"/>
        </w:rPr>
        <w:t>T</w:t>
      </w:r>
      <w:r>
        <w:rPr>
          <w:rFonts w:ascii="Cambria Math" w:hAnsi="Cambria Math" w:cs="Cambria Math" w:eastAsia="Cambria Math"/>
          <w:sz w:val="18"/>
        </w:rPr>
        <w:t xml:space="preserve"> ∧ V</w:t>
      </w:r>
      <w:r>
        <w:rPr>
          <w:rFonts w:ascii="Cambria Math" w:hAnsi="Cambria Math" w:cs="Cambria Math" w:eastAsia="Cambria Math"/>
          <w:sz w:val="18"/>
          <w:vertAlign w:val="subscript"/>
        </w:rPr>
        <w:t>L</w:t>
      </w:r>
      <w:r>
        <w:rPr>
          <w:rFonts w:ascii="Cambria Math" w:hAnsi="Cambria Math" w:cs="Cambria Math" w:eastAsia="Cambria Math"/>
          <w:sz w:val="18"/>
        </w:rPr>
        <w:t>) ⟹ Decision(C, R, t) = DENY.</w:t>
      </w:r>
      <w:r>
        <w:rPr/>
        <w:tab/>
        <w:t>(5.2)</w:t>
      </w:r>
    </w:p>
    <w:p w14:paraId="0E29E02F" w14:textId="77777777" w:rsidR="009262C4" w:rsidRDefault="00000000">
      <w:pPr>
        <w:keepNext/>
        <w:spacing w:before="160" w:after="60"/>
        <w:jc w:val="center"/>
      </w:pPr>
      <w:r>
        <w:rPr>
          <w:noProof/>
        </w:rPr>
        <w:lastRenderedPageBreak/>
        <w:drawing>
          <wp:inline distT="0" distB="0" distL="0" distR="0" wp14:anchorId="4803924F" wp14:editId="4C10A961">
            <wp:extent cx="3676650" cy="5334000"/>
            <wp:effectExtent l="0" t="0" r="0" b="0"/>
            <wp:docPr id="2086885382" name="F8.png" descr="Trust predicate evaluation and authorisation decision flow" title="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76650" cy="5334000"/>
                    </a:xfrm>
                    <a:prstGeom prst="rect">
                      <a:avLst/>
                    </a:prstGeom>
                  </pic:spPr>
                </pic:pic>
              </a:graphicData>
            </a:graphic>
          </wp:inline>
        </w:drawing>
      </w:r>
    </w:p>
    <w:p w14:paraId="778A2F68" w14:textId="77777777" w:rsidR="009262C4" w:rsidRDefault="00000000">
      <w:pPr>
        <w:spacing w:after="160" w:before="160"/>
        <w:jc w:val="center"/>
      </w:pPr>
      <w:r>
        <w:rPr>
          <w:b/>
          <w:bCs/>
          <w:sz w:val="20"/>
          <w:szCs w:val="18"/>
        </w:rPr>
        <w:t xml:space="preserve">Figure 5.3: </w:t>
      </w:r>
      <w:r>
        <w:rPr>
          <w:sz w:val="20"/>
          <w:szCs w:val="18"/>
        </w:rPr>
        <w:t>Trust predicate evaluation and authorisation decision flow</w:t>
      </w:r>
      <w:r>
        <w:rPr>
          <w:sz w:val="20"/>
          <w:szCs w:val="18"/>
        </w:rPr>
        <w:t>.</w:t>
      </w:r>
    </w:p>
    <w:p w14:paraId="0B499BCD" w14:textId="77777777" w:rsidR="009262C4" w:rsidRDefault="00000000">
      <w:pPr>
        <w:spacing w:after="110" w:line="264" w:lineRule="auto"/>
        <w:jc w:val="both"/>
      </w:pPr>
      <w:r>
        <w:t xml:space="preserve">If any required predicate evaluates to false, the decision is DENY. The Controller does not itself create these trust conditions. Instead, it evaluates evidence represented by the Model and coordinates the resulting decision. For the interpretation of the architecture: the Controller is a decision-enforcement mechanism, whereas the Model is a representation of trust and governance state. Both successful and unsuccessful decisions are subsequently associated with authorisation evidence, which supports accountability and subsequent verification. The layered architecture also establishes explicit trust boundaries. The View is considered an interaction boundary and therefore cannot be treated as a trusted source of authorisation decisions.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 Figure 5.4 puts the same conditions in the order a request meets them. A DID answers who is asking, a verifiable credential and a signed approval answer what that participant may do, the threshold answers whether the members of G agreed, and </w:t>
      </w:r>
      <w:r>
        <w:t>the policy, temporal and lifecycle checks answer</w:t>
      </w:r>
      <w:r>
        <w:t xml:space="preserve"> whether the consent is still valid for this request. The figure also states, gate by gate, what the current prototype checks, so the reader can see where the design and the prototype differ before the detailed sections.</w:t>
      </w:r>
    </w:p>
    <w:p>
      <w:pPr>
        <w:jc w:val="center"/>
      </w:pPr>
      <w:r>
        <w:drawing>
          <wp:inline xmlns:a="http://schemas.openxmlformats.org/drawingml/2006/main" xmlns:pic="http://schemas.openxmlformats.org/drawingml/2006/picture">
            <wp:extent cx="5400000" cy="3436780"/>
            <wp:docPr id="2086885383" name="Picture 2086885383"/>
            <wp:cNvGraphicFramePr>
              <a:graphicFrameLocks noChangeAspect="1"/>
            </wp:cNvGraphicFramePr>
            <a:graphic>
              <a:graphicData uri="http://schemas.openxmlformats.org/drawingml/2006/picture">
                <pic:pic>
                  <pic:nvPicPr>
                    <pic:cNvPr id="0" name="ch5_gates.png"/>
                    <pic:cNvPicPr/>
                  </pic:nvPicPr>
                  <pic:blipFill>
                    <a:blip r:embed="rId37"/>
                    <a:stretch>
                      <a:fillRect/>
                    </a:stretch>
                  </pic:blipFill>
                  <pic:spPr>
                    <a:xfrm>
                      <a:off x="0" y="0"/>
                      <a:ext cx="5400000" cy="3436780"/>
                    </a:xfrm>
                    <a:prstGeom prst="rect"/>
                  </pic:spPr>
                </pic:pic>
              </a:graphicData>
            </a:graphic>
          </wp:inline>
        </w:drawing>
      </w:r>
    </w:p>
    <w:p w14:paraId="440A59D9" w14:textId="77777777" w:rsidR="009262C4" w:rsidRDefault="00000000">
      <w:pPr>
        <w:spacing w:after="160" w:before="160"/>
        <w:jc w:val="center"/>
      </w:pPr>
      <w:r>
        <w:rPr>
          <w:b/>
          <w:bCs/>
          <w:sz w:val="20"/>
          <w:szCs w:val="18"/>
        </w:rPr>
        <w:t xml:space="preserve">Figure 5.4: </w:t>
      </w:r>
      <w:r>
        <w:rPr>
          <w:sz w:val="20"/>
          <w:szCs w:val="18"/>
        </w:rPr>
        <w:t>The four gates that an access request passes before data are released</w:t>
      </w:r>
      <w:r>
        <w:rPr>
          <w:sz w:val="20"/>
          <w:szCs w:val="18"/>
        </w:rPr>
        <w:t>.</w:t>
      </w:r>
    </w:p>
    <w:p>
      <w:pPr>
        <w:pStyle w:val="2"/>
        <w:keepNext/>
      </w:pPr>
      <w:r>
        <w:t>5.4 MVC Architecture and the Research Objectives</w:t>
      </w:r>
    </w:p>
    <w:p w14:paraId="7CD948E3" w14:textId="77777777" w:rsidR="009262C4" w:rsidRDefault="00000000">
      <w:pPr>
        <w:spacing w:after="110" w:line="264" w:lineRule="auto"/>
        <w:jc w:val="both"/>
      </w:pPr>
      <w:r>
        <w:t>The MVC architecture also provides a direct implementation structure for the research objectives, as summarised in Table 5.1. RO1 is primarily represented in the Model through the development of the trust-aware consent object C = (I, A, P, T, L, E).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For RO5, temporal conditions and lifecycle state are represented in the Model, while V</w:t>
      </w:r>
      <w:r>
        <w:rPr>
          <w:vertAlign w:val="subscript"/>
        </w:rPr>
        <w:t>T</w:t>
      </w:r>
      <w:r>
        <w:t xml:space="preserve"> and V</w:t>
      </w:r>
      <w:r>
        <w:rPr>
          <w:vertAlign w:val="subscript"/>
        </w:rPr>
        <w:t>L</w:t>
      </w:r>
      <w:r>
        <w:t xml:space="preserve"> are evaluated by the Controller before an access decision is produced. RO6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evidence generated by the Controller and stored in the Model is what the empirical validation and the independent verifier examine.</w:t>
      </w:r>
    </w:p>
    <w:p w14:paraId="36CE361C" w14:textId="77777777" w:rsidR="009262C4" w:rsidRDefault="00000000">
      <w:pPr>
        <w:keepNext/>
        <w:spacing w:before="160" w:after="160"/>
        <w:jc w:val="center"/>
      </w:pPr>
      <w:r>
        <w:rPr>
          <w:b/>
          <w:bCs/>
          <w:sz w:val="20"/>
          <w:szCs w:val="18"/>
        </w:rPr>
        <w:lastRenderedPageBreak/>
        <w:t xml:space="preserve">Table 5.1: </w:t>
      </w:r>
      <w:r>
        <w:rPr>
          <w:sz w:val="20"/>
          <w:szCs w:val="18"/>
        </w:rPr>
        <w:t>Mapping between research objectives and MVC components</w:t>
      </w:r>
    </w:p>
    <w:tbl>
      <w:tblPr>
        <w:tblW w:w="9128" w:type="dxa"/>
        <w:jc w:val="center"/>
        <w:tblBorders>
          <w:top w:val="single" w:sz="12" w:color="000000" w:space="0"/>
          <w:left w:val="nil"/>
          <w:bottom w:val="single" w:sz="12" w:color="000000" w:space="0"/>
          <w:right w:val="nil"/>
          <w:insideH w:val="nil"/>
          <w:insideV w:val="nil"/>
        </w:tblBorders>
        <w:tblCellMar>
          <w:top w:w="50" w:type="dxa"/>
          <w:left w:w="70" w:type="dxa"/>
          <w:bottom w:w="50" w:type="dxa"/>
          <w:right w:w="70" w:type="dxa"/>
        </w:tblCellMar>
        <w:tblLook w:val="0000" w:firstRow="0" w:lastRow="0" w:firstColumn="0" w:lastColumn="0" w:noHBand="0" w:noVBand="0"/>
      </w:tblPr>
      <w:tblGrid>
        <w:gridCol w:w="1500"/>
        <w:gridCol w:w="1700"/>
        <w:gridCol w:w="2500"/>
        <w:gridCol w:w="3428"/>
      </w:tblGrid>
      <w:tr w:rsidR="009262C4" w14:paraId="7338A8E4" w14:textId="77777777">
        <w:trPr>
          <w:cantSplit/>
          <w:tblHeader/>
        </w:trPr>
        <w:tc>
          <w:tcPr>
            <w:tcW w:w="150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1FFE9D93"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Research Objective</w:t>
            </w:r>
          </w:p>
        </w:tc>
        <w:tc>
          <w:tcPr>
            <w:tcW w:w="170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05EFDC3C"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Primary MVC Component</w:t>
            </w:r>
          </w:p>
        </w:tc>
        <w:tc>
          <w:tcPr>
            <w:tcW w:w="250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5DE09661"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Core Mechanism</w:t>
            </w:r>
          </w:p>
        </w:tc>
        <w:tc>
          <w:tcPr>
            <w:tcW w:w="3428"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0BF5E401"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Expected Contribution</w:t>
            </w:r>
          </w:p>
        </w:tc>
      </w:tr>
      <w:tr w:rsidR="009262C4" w14:paraId="3D438939"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FB42B50" w14:textId="77777777" w:rsidR="009262C4" w:rsidRDefault="00000000">
            <w:pPr>
              <w:keepNext/>
              <w:spacing w:before="40" w:after="40" w:line="240" w:lineRule="auto"/>
              <w:jc w:val="left"/>
            </w:pPr>
            <w:r>
              <w:rPr>
                <w:rFonts w:ascii="Palatino Linotype" w:hAnsi="Palatino Linotype" w:cs="Palatino Linotype"/>
                <w:color w:val="000000"/>
                <w:sz w:val="20"/>
                <w:szCs w:val="17"/>
              </w:rPr>
              <w:t>RO1</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DEE78E7" w14:textId="77777777" w:rsidR="009262C4" w:rsidRDefault="00000000">
            <w:pPr>
              <w:keepNext/>
              <w:spacing w:before="40" w:after="40" w:line="240" w:lineRule="auto"/>
              <w:jc w:val="left"/>
            </w:pPr>
            <w:r>
              <w:rPr>
                <w:rFonts w:ascii="Palatino Linotype" w:hAnsi="Palatino Linotype" w:cs="Palatino Linotype"/>
                <w:color w:val="000000"/>
                <w:sz w:val="20"/>
                <w:szCs w:val="17"/>
              </w:rPr>
              <w:t>Model</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0A0EB6A" w14:textId="77777777" w:rsidR="009262C4" w:rsidRDefault="00000000">
            <w:pPr>
              <w:keepNext/>
              <w:spacing w:before="40" w:after="40" w:line="240" w:lineRule="auto"/>
              <w:jc w:val="left"/>
            </w:pPr>
            <w:r>
              <w:rPr>
                <w:rFonts w:ascii="Palatino Linotype" w:hAnsi="Palatino Linotype" w:cs="Palatino Linotype"/>
                <w:color w:val="000000"/>
                <w:sz w:val="20"/>
                <w:szCs w:val="17"/>
              </w:rPr>
              <w:t>Trust-aware consent representation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87435E0" w14:textId="77777777" w:rsidR="009262C4" w:rsidRDefault="00000000">
            <w:pPr>
              <w:keepNext/>
              <w:spacing w:before="40" w:after="40" w:line="240" w:lineRule="auto"/>
              <w:jc w:val="left"/>
            </w:pPr>
            <w:r>
              <w:rPr>
                <w:rFonts w:ascii="Palatino Linotype" w:hAnsi="Palatino Linotype" w:cs="Palatino Linotype"/>
                <w:color w:val="000000"/>
                <w:sz w:val="20"/>
                <w:szCs w:val="17"/>
              </w:rPr>
              <w:t>Transforms consent from a passive permission record into a structured and evaluable authorisation object.</w:t>
            </w:r>
          </w:p>
        </w:tc>
      </w:tr>
      <w:tr w:rsidR="009262C4" w14:paraId="3950BA9E"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F4280C" w14:textId="77777777" w:rsidR="009262C4" w:rsidRDefault="00000000">
            <w:pPr>
              <w:keepNext/>
              <w:spacing w:before="40" w:after="40" w:line="240" w:lineRule="auto"/>
              <w:jc w:val="left"/>
            </w:pPr>
            <w:r>
              <w:rPr>
                <w:rFonts w:ascii="Palatino Linotype" w:hAnsi="Palatino Linotype" w:cs="Palatino Linotype"/>
                <w:color w:val="000000"/>
                <w:sz w:val="20"/>
                <w:szCs w:val="17"/>
              </w:rPr>
              <w:t>RO2</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BB1341E" w14:textId="77777777" w:rsidR="009262C4" w:rsidRDefault="00000000">
            <w:pPr>
              <w:keepNext/>
              <w:spacing w:before="40" w:after="40" w:line="240" w:lineRule="auto"/>
              <w:jc w:val="left"/>
            </w:pPr>
            <w:r>
              <w:rPr>
                <w:rFonts w:ascii="Palatino Linotype" w:hAnsi="Palatino Linotype" w:cs="Palatino Linotype"/>
                <w:color w:val="000000"/>
                <w:sz w:val="20"/>
                <w:szCs w:val="17"/>
              </w:rPr>
              <w:t>Controller and Model</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82941FB" w14:textId="77777777" w:rsidR="009262C4" w:rsidRDefault="00000000">
            <w:pPr>
              <w:keepNext/>
              <w:spacing w:before="40" w:after="40" w:line="240" w:lineRule="auto"/>
              <w:jc w:val="left"/>
            </w:pPr>
            <w:r>
              <w:rPr>
                <w:rFonts w:ascii="Palatino Linotype" w:hAnsi="Palatino Linotype" w:cs="Palatino Linotype"/>
                <w:color w:val="000000"/>
                <w:sz w:val="20"/>
                <w:szCs w:val="17"/>
              </w:rPr>
              <w:t>DID and VC verification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1D52748" w14:textId="77777777" w:rsidR="009262C4" w:rsidRDefault="00000000">
            <w:pPr>
              <w:keepNext/>
              <w:spacing w:before="40" w:after="40" w:line="240" w:lineRule="auto"/>
              <w:jc w:val="left"/>
            </w:pPr>
            <w:r>
              <w:rPr>
                <w:rFonts w:ascii="Palatino Linotype" w:hAnsi="Palatino Linotype" w:cs="Palatino Linotype"/>
                <w:color w:val="000000"/>
                <w:sz w:val="20"/>
                <w:szCs w:val="17"/>
              </w:rPr>
              <w:t>Establishes trustworthy participants while explicitly separating identity from authorisation authority.</w:t>
            </w:r>
          </w:p>
        </w:tc>
      </w:tr>
      <w:tr w:rsidR="009262C4" w14:paraId="48D9C487"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914017C" w14:textId="77777777" w:rsidR="009262C4" w:rsidRDefault="00000000">
            <w:pPr>
              <w:keepNext/>
              <w:spacing w:before="40" w:after="40" w:line="240" w:lineRule="auto"/>
              <w:jc w:val="left"/>
            </w:pPr>
            <w:r>
              <w:rPr>
                <w:rFonts w:ascii="Palatino Linotype" w:hAnsi="Palatino Linotype" w:cs="Palatino Linotype"/>
                <w:color w:val="000000"/>
                <w:sz w:val="20"/>
                <w:szCs w:val="17"/>
              </w:rPr>
              <w:t>RO3</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F89D3D4" w14:textId="77777777" w:rsidR="009262C4" w:rsidRDefault="00000000">
            <w:pPr>
              <w:keepNext/>
              <w:spacing w:before="40" w:after="40" w:line="240" w:lineRule="auto"/>
              <w:jc w:val="left"/>
            </w:pPr>
            <w:r>
              <w:rPr>
                <w:rFonts w:ascii="Palatino Linotype" w:hAnsi="Palatino Linotype" w:cs="Palatino Linotype"/>
                <w:color w:val="000000"/>
                <w:sz w:val="20"/>
                <w:szCs w:val="17"/>
              </w:rPr>
              <w:t>Controller</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590476E" w14:textId="77777777" w:rsidR="009262C4" w:rsidRDefault="00000000">
            <w:pPr>
              <w:keepNext/>
              <w:spacing w:before="40" w:after="40" w:line="240" w:lineRule="auto"/>
              <w:jc w:val="left"/>
            </w:pPr>
            <w:r>
              <w:rPr>
                <w:rFonts w:ascii="Palatino Linotype" w:hAnsi="Palatino Linotype" w:cs="Palatino Linotype"/>
                <w:color w:val="000000"/>
                <w:sz w:val="20"/>
                <w:szCs w:val="17"/>
              </w:rPr>
              <w:t>Verified multi-party threshold evaluation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111184" w14:textId="77777777" w:rsidR="009262C4" w:rsidRDefault="00000000">
            <w:pPr>
              <w:keepNext/>
              <w:spacing w:before="40" w:after="40" w:line="240" w:lineRule="auto"/>
              <w:jc w:val="left"/>
            </w:pPr>
            <w:r>
              <w:rPr>
                <w:rFonts w:ascii="Palatino Linotype" w:hAnsi="Palatino Linotype" w:cs="Palatino Linotype"/>
                <w:color w:val="000000"/>
                <w:sz w:val="20"/>
                <w:szCs w:val="17"/>
              </w:rPr>
              <w:t>Establishes collective trust and prevents unilateral authorisation when multiple approvals are required.</w:t>
            </w:r>
          </w:p>
        </w:tc>
      </w:tr>
      <w:tr w:rsidR="009262C4" w14:paraId="1D1DACC2"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5554522" w14:textId="77777777" w:rsidR="009262C4" w:rsidRDefault="00000000">
            <w:pPr>
              <w:keepNext/>
              <w:spacing w:before="40" w:after="40" w:line="240" w:lineRule="auto"/>
              <w:jc w:val="left"/>
            </w:pPr>
            <w:r>
              <w:rPr>
                <w:rFonts w:ascii="Palatino Linotype" w:hAnsi="Palatino Linotype" w:cs="Palatino Linotype"/>
                <w:color w:val="000000"/>
                <w:sz w:val="20"/>
                <w:szCs w:val="17"/>
              </w:rPr>
              <w:t>RO4</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34A1E3E" w14:textId="77777777" w:rsidR="009262C4" w:rsidRDefault="00000000">
            <w:pPr>
              <w:keepNext/>
              <w:spacing w:before="40" w:after="40" w:line="240" w:lineRule="auto"/>
              <w:jc w:val="left"/>
            </w:pPr>
            <w:r>
              <w:rPr>
                <w:rFonts w:ascii="Palatino Linotype" w:hAnsi="Palatino Linotype" w:cs="Palatino Linotype"/>
                <w:color w:val="000000"/>
                <w:sz w:val="20"/>
                <w:szCs w:val="17"/>
              </w:rPr>
              <w:t>Controller and Model</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D76F1CA" w14:textId="77777777" w:rsidR="009262C4" w:rsidRDefault="00000000">
            <w:pPr>
              <w:keepNext/>
              <w:spacing w:before="40" w:after="40" w:line="240" w:lineRule="auto"/>
              <w:jc w:val="left"/>
            </w:pPr>
            <w:r>
              <w:rPr>
                <w:rFonts w:ascii="Palatino Linotype" w:hAnsi="Palatino Linotype" w:cs="Palatino Linotype"/>
                <w:color w:val="000000"/>
                <w:sz w:val="20"/>
                <w:szCs w:val="17"/>
              </w:rPr>
              <w:t>Policy, purpose, and data-scope evaluation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7268DDF" w14:textId="77777777" w:rsidR="009262C4" w:rsidRDefault="00000000">
            <w:pPr>
              <w:keepNext/>
              <w:spacing w:before="40" w:after="40" w:line="240" w:lineRule="auto"/>
              <w:jc w:val="left"/>
            </w:pPr>
            <w:r>
              <w:rPr>
                <w:rFonts w:ascii="Palatino Linotype" w:hAnsi="Palatino Linotype" w:cs="Palatino Linotype"/>
                <w:color w:val="000000"/>
                <w:sz w:val="20"/>
                <w:szCs w:val="17"/>
              </w:rPr>
              <w:t>Ensures that valid participants and sufficient approvals remain constrained by the authorised purpose and healthcare data scope.</w:t>
            </w:r>
          </w:p>
        </w:tc>
      </w:tr>
      <w:tr w:rsidR="009262C4" w14:paraId="6EF202A0"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67954FD" w14:textId="77777777" w:rsidR="009262C4" w:rsidRDefault="00000000">
            <w:pPr>
              <w:keepNext/>
              <w:spacing w:before="40" w:after="40" w:line="240" w:lineRule="auto"/>
              <w:jc w:val="left"/>
            </w:pPr>
            <w:r>
              <w:rPr>
                <w:rFonts w:ascii="Palatino Linotype" w:hAnsi="Palatino Linotype" w:cs="Palatino Linotype"/>
                <w:color w:val="000000"/>
                <w:sz w:val="20"/>
                <w:szCs w:val="17"/>
              </w:rPr>
              <w:t>RO5</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7BE1E77" w14:textId="77777777" w:rsidR="009262C4" w:rsidRDefault="00000000">
            <w:pPr>
              <w:keepNext/>
              <w:spacing w:before="40" w:after="40" w:line="240" w:lineRule="auto"/>
              <w:jc w:val="left"/>
            </w:pPr>
            <w:r>
              <w:rPr>
                <w:rFonts w:ascii="Palatino Linotype" w:hAnsi="Palatino Linotype" w:cs="Palatino Linotype"/>
                <w:color w:val="000000"/>
                <w:sz w:val="20"/>
                <w:szCs w:val="17"/>
              </w:rPr>
              <w:t>Model and Controller</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3A389AE" w14:textId="77777777" w:rsidR="009262C4" w:rsidRDefault="00000000">
            <w:pPr>
              <w:keepNext/>
              <w:spacing w:before="40" w:after="40" w:line="240" w:lineRule="auto"/>
              <w:jc w:val="left"/>
            </w:pPr>
            <w:r>
              <w:rPr>
                <w:rFonts w:ascii="Palatino Linotype" w:hAnsi="Palatino Linotype" w:cs="Palatino Linotype"/>
                <w:color w:val="000000"/>
                <w:sz w:val="20"/>
                <w:szCs w:val="17"/>
              </w:rPr>
              <w:t>Temporal validity and consent lifecycle enforcement</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3E5B8DF" w14:textId="77777777" w:rsidR="009262C4" w:rsidRDefault="00000000">
            <w:pPr>
              <w:keepNext/>
              <w:spacing w:before="40" w:after="40" w:line="240" w:lineRule="auto"/>
              <w:jc w:val="left"/>
            </w:pPr>
            <w:r>
              <w:rPr>
                <w:rFonts w:ascii="Palatino Linotype" w:hAnsi="Palatino Linotype" w:cs="Palatino Linotype"/>
                <w:color w:val="000000"/>
                <w:sz w:val="20"/>
                <w:szCs w:val="17"/>
              </w:rPr>
              <w:t>Ensures that authorisation remains valid only within its permitted time interval and lifecycle state, and that expiration, revocation, and unauthorised state transitions are correctly enforced.</w:t>
            </w:r>
          </w:p>
        </w:tc>
      </w:tr>
      <w:tr w:rsidR="009262C4" w14:paraId="5B0D4992" w14:textId="77777777">
        <w:trPr>
          <w:cantSplit/>
        </w:trPr>
        <w:tc>
          <w:tcPr>
            <w:tcW w:w="1500" w:type="dxa"/>
            <w:tcBorders>
              <w:top w:val="nil"/>
              <w:left w:val="nil"/>
              <w:bottom w:val="nil"/>
              <w:right w:val="nil"/>
              <w:insideH w:val="nil"/>
              <w:insideV w:val="nil"/>
            </w:tcBorders>
            <w:tcMar>
              <w:top w:w="40" w:type="dxa"/>
              <w:left w:w="80" w:type="dxa"/>
              <w:bottom w:w="40" w:type="dxa"/>
              <w:right w:w="80" w:type="dxa"/>
            </w:tcMar>
            <w:vAlign w:val="top"/>
          </w:tcPr>
          <w:p w14:paraId="555B9621" w14:textId="77777777" w:rsidR="009262C4" w:rsidRDefault="00000000">
            <w:pPr>
              <w:spacing w:before="40" w:after="40" w:line="240" w:lineRule="auto"/>
              <w:jc w:val="left"/>
            </w:pPr>
            <w:r>
              <w:rPr>
                <w:rFonts w:ascii="Palatino Linotype" w:hAnsi="Palatino Linotype" w:cs="Palatino Linotype"/>
                <w:color w:val="000000"/>
                <w:sz w:val="20"/>
                <w:szCs w:val="17"/>
              </w:rPr>
              <w:t>RO6</w:t>
            </w:r>
          </w:p>
        </w:tc>
        <w:tc>
          <w:tcPr>
            <w:tcW w:w="1700" w:type="dxa"/>
            <w:tcBorders>
              <w:top w:val="nil"/>
              <w:left w:val="nil"/>
              <w:bottom w:val="nil"/>
              <w:right w:val="nil"/>
              <w:insideH w:val="nil"/>
              <w:insideV w:val="nil"/>
            </w:tcBorders>
            <w:tcMar>
              <w:top w:w="40" w:type="dxa"/>
              <w:left w:w="80" w:type="dxa"/>
              <w:bottom w:w="40" w:type="dxa"/>
              <w:right w:w="80" w:type="dxa"/>
            </w:tcMar>
            <w:vAlign w:val="top"/>
          </w:tcPr>
          <w:p w14:paraId="359B604F" w14:textId="77777777" w:rsidR="009262C4" w:rsidRDefault="00000000">
            <w:pPr>
              <w:spacing w:before="40" w:after="40" w:line="240" w:lineRule="auto"/>
              <w:jc w:val="left"/>
            </w:pPr>
            <w:r>
              <w:rPr>
                <w:rFonts w:ascii="Palatino Linotype" w:hAnsi="Palatino Linotype" w:cs="Palatino Linotype"/>
                <w:color w:val="000000"/>
                <w:sz w:val="20"/>
                <w:szCs w:val="17"/>
              </w:rPr>
              <w:t>Model, View, and Controller</w:t>
            </w:r>
          </w:p>
        </w:tc>
        <w:tc>
          <w:tcPr>
            <w:tcW w:w="2500" w:type="dxa"/>
            <w:tcBorders>
              <w:top w:val="nil"/>
              <w:left w:val="nil"/>
              <w:bottom w:val="nil"/>
              <w:right w:val="nil"/>
              <w:insideH w:val="nil"/>
              <w:insideV w:val="nil"/>
            </w:tcBorders>
            <w:tcMar>
              <w:top w:w="40" w:type="dxa"/>
              <w:left w:w="80" w:type="dxa"/>
              <w:bottom w:w="40" w:type="dxa"/>
              <w:right w:w="80" w:type="dxa"/>
            </w:tcMar>
            <w:vAlign w:val="top"/>
          </w:tcPr>
          <w:p w14:paraId="24CA74E4" w14:textId="77777777" w:rsidR="009262C4" w:rsidRDefault="00000000">
            <w:pPr>
              <w:spacing w:before="40" w:after="40" w:line="240" w:lineRule="auto"/>
              <w:jc w:val="left"/>
            </w:pPr>
            <w:r>
              <w:rPr>
                <w:rFonts w:ascii="Palatino Linotype" w:hAnsi="Palatino Linotype" w:cs="Palatino Linotype"/>
                <w:color w:val="000000"/>
                <w:sz w:val="20"/>
                <w:szCs w:val="17"/>
              </w:rPr>
              <w:t>Formal security analysis and empirical validation</w:t>
            </w:r>
          </w:p>
        </w:tc>
        <w:tc>
          <w:tcPr>
            <w:tcW w:w="3428" w:type="dxa"/>
            <w:tcBorders>
              <w:top w:val="nil"/>
              <w:left w:val="nil"/>
              <w:bottom w:val="nil"/>
              <w:right w:val="nil"/>
              <w:insideH w:val="nil"/>
              <w:insideV w:val="nil"/>
            </w:tcBorders>
            <w:tcMar>
              <w:top w:w="40" w:type="dxa"/>
              <w:left w:w="80" w:type="dxa"/>
              <w:bottom w:w="40" w:type="dxa"/>
              <w:right w:w="80" w:type="dxa"/>
            </w:tcMar>
            <w:vAlign w:val="top"/>
          </w:tcPr>
          <w:p w14:paraId="05F31F88" w14:textId="77777777" w:rsidR="009262C4" w:rsidRDefault="00000000">
            <w:pPr>
              <w:spacing w:before="40" w:after="40" w:line="240" w:lineRule="auto"/>
              <w:jc w:val="left"/>
            </w:pPr>
            <w:r>
              <w:rPr>
                <w:rFonts w:ascii="Palatino Linotype" w:hAnsi="Palatino Linotype" w:cs="Palatino Linotype"/>
                <w:color w:val="000000"/>
                <w:sz w:val="20"/>
                <w:szCs w:val="17"/>
              </w:rPr>
              <w:t>Will provide formal assurance (next stage) of the defined trust and authorisation properties and empirically evaluate whether the implemented framework correctly enforces authorised and unauthorised healthcare data-access decisions.</w:t>
            </w:r>
          </w:p>
        </w:tc>
      </w:tr>
    </w:tbl>
    <w:p w14:paraId="27CC437A" w14:textId="77777777" w:rsidR="009262C4" w:rsidRDefault="009262C4">
      <w:pPr>
        <w:spacing w:after="160"/>
      </w:pPr>
    </w:p>
    <w:p>
      <w:pPr>
        <w:spacing w:after="110" w:line="264" w:lineRule="auto"/>
        <w:jc w:val="both"/>
      </w:pPr>
      <w:r>
        <w:t xml:space="preserve">Table 5.2 summarises how the proposed framework differs from traditional EHR access control.</w:t>
      </w:r>
    </w:p>
    <w:p>
      <w:pPr>
        <w:keepNext/>
        <w:spacing w:before="160" w:after="160"/>
        <w:jc w:val="center"/>
      </w:pPr>
      <w:r>
        <w:rPr>
          <w:b/>
          <w:bCs/>
          <w:sz w:val="20"/>
          <w:szCs w:val="18"/>
        </w:rPr>
        <w:t xml:space="preserve">Table 5.2: </w:t>
      </w:r>
      <w:r>
        <w:rPr>
          <w:sz w:val="20"/>
          <w:szCs w:val="18"/>
        </w:rPr>
        <w:t>Traditional EHR access control compared with the HALAH framework</w:t>
      </w:r>
    </w:p>
    <w:tbl>
      <w:tblPr>
        <w:tblW w:w="9128" w:type="dxa"/>
        <w:jc w:val="center"/>
        <w:tblBorders>
          <w:top w:val="single" w:sz="12" w:color="000000" w:space="0"/>
          <w:left w:val="nil"/>
          <w:bottom w:val="single" w:sz="12" w:color="000000" w:space="0"/>
          <w:right w:val="nil"/>
          <w:insideH w:val="nil"/>
          <w:insideV w:val="nil"/>
        </w:tblBorders>
        <w:tblCellMar>
          <w:top w:w="50" w:type="dxa"/>
          <w:left w:w="70" w:type="dxa"/>
          <w:bottom w:w="50" w:type="dxa"/>
          <w:right w:w="70" w:type="dxa"/>
        </w:tblCellMar>
        <w:tblLook w:val="0000" w:firstRow="0" w:lastRow="0" w:firstColumn="0" w:lastColumn="0" w:noHBand="0" w:noVBand="0"/>
      </w:tblPr>
      <w:tblGrid>
        <w:gridCol w:w="2828"/>
        <w:gridCol w:w="2828"/>
        <w:gridCol w:w="3472"/>
      </w:tblGrid>
      <w:tr w:rsidR="009262C4">
        <w:trPr>
          <w:cantSplit/>
          <w:tblHeader/>
        </w:trPr>
        <w:tc>
          <w:tcPr>
            <w:tcW w:w="2828" w:type="dxa"/>
            <w:tcBorders>
              <w:top w:val="nil"/>
              <w:left w:val="nil"/>
              <w:bottom w:val="single" w:sz="6" w:color="000000"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b/>
                <w:bCs/>
                <w:color w:val="000000"/>
                <w:sz w:val="20"/>
                <w:szCs w:val="17"/>
              </w:rPr>
              <w:t>Aspect</w:t>
            </w:r>
          </w:p>
        </w:tc>
        <w:tc>
          <w:tcPr>
            <w:tcW w:w="2828" w:type="dxa"/>
            <w:tcBorders>
              <w:top w:val="nil"/>
              <w:left w:val="nil"/>
              <w:bottom w:val="single" w:sz="6" w:color="000000"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b/>
                <w:bCs/>
                <w:color w:val="000000"/>
                <w:sz w:val="20"/>
                <w:szCs w:val="17"/>
              </w:rPr>
              <w:t>Traditional EHR access control</w:t>
            </w:r>
          </w:p>
        </w:tc>
        <w:tc>
          <w:tcPr>
            <w:tcW w:w="3472" w:type="dxa"/>
            <w:tcBorders>
              <w:top w:val="nil"/>
              <w:left w:val="nil"/>
              <w:bottom w:val="single" w:sz="6" w:color="000000"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b/>
                <w:bCs/>
                <w:color w:val="000000"/>
                <w:sz w:val="20"/>
                <w:szCs w:val="17"/>
              </w:rPr>
              <w:t>HALAH framework</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Identity</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 xml:space="preserve">Central identity provider</w:t>
            </w:r>
            <w:r>
              <w:rPr>
                <w:rFonts w:ascii="Palatino Linotype" w:hAnsi="Palatino Linotype" w:cs="Palatino Linotype"/>
                <w:strike/>
                <w:color w:val="FF0000"/>
                <w:sz w:val="20"/>
                <w:szCs w:val="17"/>
              </w:rPr>
              <w:t xml:space="preserve">;</w:t>
            </w:r>
            <w:r>
              <w:rPr>
                <w:rFonts w:ascii="Palatino Linotype" w:hAnsi="Palatino Linotype" w:cs="Palatino Linotype"/>
                <w:color w:val="FF0000"/>
                <w:sz w:val="20"/>
                <w:szCs w:val="17"/>
              </w:rPr>
              <w:t xml:space="preserve">,</w:t>
            </w:r>
            <w:r>
              <w:rPr>
                <w:rFonts w:ascii="Palatino Linotype" w:hAnsi="Palatino Linotype" w:cs="Palatino Linotype"/>
                <w:color w:val="000000"/>
                <w:sz w:val="20"/>
                <w:szCs w:val="17"/>
              </w:rPr>
              <w:t xml:space="preserve"> institution login</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 xml:space="preserve">A DID for every participant</w:t>
            </w:r>
            <w:r>
              <w:rPr>
                <w:rFonts w:ascii="Palatino Linotype" w:hAnsi="Palatino Linotype" w:cs="Palatino Linotype"/>
                <w:strike/>
                <w:color w:val="FF0000"/>
                <w:sz w:val="20"/>
                <w:szCs w:val="17"/>
              </w:rPr>
              <w:t xml:space="preserve">;</w:t>
            </w:r>
            <w:r>
              <w:rPr>
                <w:rFonts w:ascii="Palatino Linotype" w:hAnsi="Palatino Linotype" w:cs="Palatino Linotype"/>
                <w:color w:val="FF0000"/>
                <w:sz w:val="20"/>
                <w:szCs w:val="17"/>
              </w:rPr>
              <w:t xml:space="preserve">,</w:t>
            </w:r>
            <w:r>
              <w:rPr>
                <w:rFonts w:ascii="Palatino Linotype" w:hAnsi="Palatino Linotype" w:cs="Palatino Linotype"/>
                <w:color w:val="000000"/>
                <w:sz w:val="20"/>
                <w:szCs w:val="17"/>
              </w:rPr>
              <w:t xml:space="preserve"> identity kept separate from authority</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Consent</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 stored record that permission was given</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An object C = (I, A, P, T, L, E), checked at every request</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Approval</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 static permission set by one party</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 xml:space="preserve">All listed guardians sign (EIP-712)</w:t>
            </w:r>
            <w:r>
              <w:rPr>
                <w:rFonts w:ascii="Palatino Linotype" w:hAnsi="Palatino Linotype" w:cs="Palatino Linotype"/>
                <w:strike/>
                <w:color w:val="FF0000"/>
                <w:sz w:val="20"/>
                <w:szCs w:val="17"/>
              </w:rPr>
              <w:t xml:space="preserve">;</w:t>
            </w:r>
            <w:r>
              <w:rPr>
                <w:rFonts w:ascii="Palatino Linotype" w:hAnsi="Palatino Linotype" w:cs="Palatino Linotype"/>
                <w:color w:val="FF0000"/>
                <w:sz w:val="20"/>
                <w:szCs w:val="17"/>
              </w:rPr>
              <w:t xml:space="preserve">,</w:t>
            </w:r>
            <w:r>
              <w:rPr>
                <w:rFonts w:ascii="Palatino Linotype" w:hAnsi="Palatino Linotype" w:cs="Palatino Linotype"/>
                <w:color w:val="000000"/>
                <w:sz w:val="20"/>
                <w:szCs w:val="17"/>
              </w:rPr>
              <w:t xml:space="preserve"> no single party can approve alone</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Access check</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Log in, then check a static permission</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VI ∧ VA ∧ VP ∧ VT ∧ VL, evaluated at every request</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Time and revocation</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Hard to verify once the permission is stored</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 xml:space="preserve">Validity window and revocation checked each time</w:t>
            </w:r>
            <w:r>
              <w:rPr>
                <w:rFonts w:ascii="Palatino Linotype" w:hAnsi="Palatino Linotype" w:cs="Palatino Linotype"/>
                <w:strike/>
                <w:color w:val="FF0000"/>
                <w:sz w:val="20"/>
                <w:szCs w:val="17"/>
              </w:rPr>
              <w:t xml:space="preserve">;</w:t>
            </w:r>
            <w:r>
              <w:rPr>
                <w:rFonts w:ascii="Palatino Linotype" w:hAnsi="Palatino Linotype" w:cs="Palatino Linotype"/>
                <w:color w:val="FF0000"/>
                <w:sz w:val="20"/>
                <w:szCs w:val="17"/>
              </w:rPr>
              <w:t xml:space="preserve">,</w:t>
            </w:r>
            <w:r>
              <w:rPr>
                <w:rFonts w:ascii="Palatino Linotype" w:hAnsi="Palatino Linotype" w:cs="Palatino Linotype"/>
                <w:color w:val="000000"/>
                <w:sz w:val="20"/>
                <w:szCs w:val="17"/>
              </w:rPr>
              <w:t xml:space="preserve"> on-chain revoke</w:t>
            </w:r>
          </w:p>
        </w:tc>
      </w:tr>
      <w:tr w:rsidR="009262C4">
        <w:trPr>
          <w:cantSplit/>
        </w:trPr>
        <w:tc>
          <w:tcPr>
            <w:tcW w:w="2828" w:type="dxa"/>
            <w:tcBorders>
              <w:top w:val="nil"/>
              <w:left w:val="nil"/>
              <w:bottom w:val="nil"/>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Audit</w:t>
            </w:r>
          </w:p>
        </w:tc>
        <w:tc>
          <w:tcPr>
            <w:tcW w:w="2828" w:type="dxa"/>
            <w:tcBorders>
              <w:top w:val="nil"/>
              <w:left w:val="nil"/>
              <w:bottom w:val="nil"/>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 record that consent occurred</w:t>
            </w:r>
          </w:p>
        </w:tc>
        <w:tc>
          <w:tcPr>
            <w:tcW w:w="3472" w:type="dxa"/>
            <w:tcBorders>
              <w:top w:val="nil"/>
              <w:left w:val="nil"/>
              <w:bottom w:val="nil"/>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 xml:space="preserve">Every access decision, allowed or denied, logged off-chain with its decision matrix</w:t>
            </w:r>
            <w:r>
              <w:rPr>
                <w:rFonts w:ascii="Palatino Linotype" w:hAnsi="Palatino Linotype" w:cs="Palatino Linotype"/>
                <w:strike/>
                <w:color w:val="FF0000"/>
                <w:sz w:val="20"/>
                <w:szCs w:val="17"/>
              </w:rPr>
              <w:t xml:space="preserve">;</w:t>
            </w:r>
            <w:r>
              <w:rPr>
                <w:rFonts w:ascii="Palatino Linotype" w:hAnsi="Palatino Linotype" w:cs="Palatino Linotype"/>
                <w:color w:val="FF0000"/>
                <w:sz w:val="20"/>
                <w:szCs w:val="17"/>
              </w:rPr>
              <w:t xml:space="preserve">,</w:t>
            </w:r>
            <w:r>
              <w:rPr>
                <w:rFonts w:ascii="Palatino Linotype" w:hAnsi="Palatino Linotype" w:cs="Palatino Linotype"/>
                <w:color w:val="000000"/>
                <w:sz w:val="20"/>
                <w:szCs w:val="17"/>
              </w:rPr>
              <w:t xml:space="preserve"> consent state anchored on Sepolia</w:t>
            </w:r>
          </w:p>
        </w:tc>
      </w:tr>
    </w:tbl>
    <w:p>
      <w:pPr>
        <w:spacing w:after="110" w:line="264" w:lineRule="auto"/>
        <w:jc w:val="both"/>
      </w:pPr>
      <w:r/>
    </w:p>
    <w:p w14:paraId="62456633" w14:textId="77777777" w:rsidR="009262C4" w:rsidRDefault="00000000">
      <w:pPr>
        <w:spacing w:after="110" w:line="264" w:lineRule="auto"/>
        <w:jc w:val="both"/>
      </w:pPr>
      <w:r>
        <w:t xml:space="preserve">The contribution of the proposed architecture is the way MVC is used to carry a trust-oriented authorisation model, not the use of MVC itself. This design transforms multi-party consent management from a conventional record-management problem into a distributed security-governance problem. The evaluable consent object as such is already present in the literature. The key innovation is that consent effectiveness depends on the joint satisfaction of identity, authority, collective approval, policy, temporal, and lifecycle conditions on every access decision. Blockchain or other tamper-resistant storage mechanisms are integrated as infrastructure for preserving selected authorisation evidence. However, the blockchain itself is not treated as the source of trust. Its role is to strengthen integrity, non-repudiation, and auditability of the evidence generated by the authorisation process. The detailed solutions for RQ1 to RQ6 </w:t>
      </w:r>
      <w:r>
        <w:t>are presented in Chapters 5 to 10</w:t>
      </w:r>
      <w:r>
        <w:t>, and the formal assurance of the complete decision model remains for the next stage. The next section presents the solution for RO1, the consent object on which the other objectives build.</w:t>
      </w:r>
    </w:p>
    <w:p>
      <w:pPr>
        <w:pStyle w:val="2"/>
        <w:keepNext/>
      </w:pPr>
      <w:r>
        <w:t>5.5 Trust-Centric Consent Model</w:t>
      </w:r>
    </w:p>
    <w:p w14:paraId="5376DFE3" w14:textId="77777777" w:rsidR="009262C4" w:rsidRDefault="00000000">
      <w:pPr>
        <w:spacing w:after="110" w:line="264" w:lineRule="auto"/>
        <w:jc w:val="both"/>
      </w:pPr>
      <w:r>
        <w:t xml:space="preserve">This section presents the solution for RO1. </w:t>
      </w:r>
      <w:r>
        <w:t>Section 5.5.1 shows the consent creation workflow, Section 5.5.2 defines the structure of the consent object, Section 5.5.3 presents the creation procedure and the algorithm, Section 5.6 describes the aims of the prototype in which the model is realised, Section 5.7 the dataset, Section 5.8 the steps of consent creation, and Section 5.9 validates and evaluates it.</w:t>
      </w:r>
    </w:p>
    <w:p w14:paraId="201EB011" w14:textId="77777777" w:rsidR="009262C4" w:rsidRDefault="00000000">
      <w:pPr>
        <w:spacing w:after="110" w:line="264" w:lineRule="auto"/>
        <w:jc w:val="both"/>
      </w:pPr>
      <w: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The proposed consent object is represented as </w:t>
      </w:r>
      <w:r>
        <w:t>Equation (5.3)</w:t>
      </w:r>
      <w:r>
        <w:t>.</w:t>
      </w:r>
    </w:p>
    <w:p w14:paraId="54552F6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r>
      <w:r>
        <w:t>(5.3)</w:t>
      </w:r>
    </w:p>
    <w:p w14:paraId="63094BBA" w14:textId="77777777" w:rsidR="009262C4" w:rsidRDefault="00000000">
      <w:pPr>
        <w:spacing w:after="110" w:line="264" w:lineRule="auto"/>
        <w:jc w:val="both"/>
      </w:pPr>
      <w:r>
        <w:t>In Equation (5.3)</w:t>
      </w:r>
      <w:r>
        <w:t xml:space="preserve">, I represents patient and participant identity information, A represents authorisation requirements, P represents policy constraints, and E represents authorisation evidence. T represents the temporal validity window, and L represents the current state of the consent object and its permissible transitions. </w:t>
      </w:r>
      <w:r>
        <w:t>The temporal component bounds the consent in time, and the lifecycle component states whether the consent can currently be used. The identity component identifies</w:t>
      </w:r>
      <w:r>
        <w:t xml:space="preserve">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3"/>
        <w:keepNext/>
      </w:pPr>
      <w:r>
        <w:t>5.5.1 Consent Creation Workflow</w:t>
      </w:r>
    </w:p>
    <w:p w14:paraId="19D1B142" w14:textId="77777777" w:rsidR="009262C4" w:rsidRDefault="00000000">
      <w:pPr>
        <w:spacing w:after="110" w:line="264" w:lineRule="auto"/>
        <w:jc w:val="both"/>
      </w:pPr>
      <w:r>
        <w:t>Figure 5.5</w:t>
      </w:r>
      <w:r>
        <w:t xml:space="preserve">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14:paraId="1C89E102" w14:textId="77777777" w:rsidR="009262C4" w:rsidRDefault="00000000">
      <w:pPr>
        <w:keepNext/>
        <w:spacing w:before="160" w:after="60"/>
        <w:jc w:val="center"/>
      </w:pPr>
      <w:r>
        <w:rPr>
          <w:noProof/>
        </w:rPr>
        <w:lastRenderedPageBreak/>
        <w:drawing>
          <wp:inline distT="0" distB="0" distL="0" distR="0" wp14:anchorId="22282531" wp14:editId="79277C59">
            <wp:extent cx="2495550" cy="5334000"/>
            <wp:effectExtent l="0" t="0" r="0" b="0"/>
            <wp:docPr id="197938274" name="F10_slide.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95550" cy="5334000"/>
                    </a:xfrm>
                    <a:prstGeom prst="rect">
                      <a:avLst/>
                    </a:prstGeom>
                  </pic:spPr>
                </pic:pic>
              </a:graphicData>
            </a:graphic>
          </wp:inline>
        </w:drawing>
      </w:r>
    </w:p>
    <w:p w14:paraId="7089CDC2" w14:textId="77777777" w:rsidR="009262C4" w:rsidRDefault="00000000">
      <w:pPr>
        <w:spacing w:after="160" w:before="160"/>
        <w:jc w:val="center"/>
      </w:pPr>
      <w:r>
        <w:rPr>
          <w:b/>
          <w:bCs/>
          <w:sz w:val="20"/>
          <w:szCs w:val="18"/>
        </w:rPr>
        <w:t>Figure 5.5</w:t>
      </w:r>
      <w:r>
        <w:rPr>
          <w:b/>
          <w:bCs/>
          <w:sz w:val="20"/>
          <w:szCs w:val="18"/>
        </w:rPr>
        <w:t xml:space="preserve">: </w:t>
      </w:r>
      <w:r>
        <w:rPr>
          <w:sz w:val="20"/>
          <w:szCs w:val="18"/>
        </w:rPr>
        <w:t>RO1 workflow for trust-centric consent creation.</w:t>
      </w:r>
    </w:p>
    <w:p w14:paraId="71A788FB" w14:textId="77777777" w:rsidR="009262C4" w:rsidRDefault="00000000">
      <w:pPr>
        <w:spacing w:after="110" w:line="264" w:lineRule="auto"/>
        <w:jc w:val="both"/>
      </w:pPr>
      <w:r>
        <w:t>The specification is accepted only when the required fields are valid. For example, the expiry time must be later than the start time, the data scope must not be empty, and each guardian DID must be well formed.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 Once the consent object is created, its lifecycle state L becomes PENDING, because the consent cannot produce an effective authorisation decision until the required approvals have been obtained. In the current prototype, this state is PENDING_SIGNATURE</w:t>
      </w:r>
      <w:r>
        <w:t>.</w:t>
      </w:r>
    </w:p>
    <w:p>
      <w:pPr>
        <w:pStyle w:val="3"/>
        <w:keepNext/>
      </w:pPr>
      <w:r>
        <w:t>5.5.2 Structure of the Consent Object</w:t>
      </w:r>
    </w:p>
    <w:p w14:paraId="5F6EAA5F" w14:textId="77777777" w:rsidR="009262C4" w:rsidRDefault="00000000">
      <w:pPr>
        <w:spacing w:after="110" w:line="264" w:lineRule="auto"/>
        <w:jc w:val="both"/>
      </w:pPr>
      <w:r>
        <w:t>Figure 5.6</w:t>
      </w:r>
      <w:r>
        <w:t xml:space="preserve"> shows how the validated information is combined to construct the consent object. The resulting object therefore captures the patient's preference and the evidence needed for later authorisation decisions.</w:t>
      </w:r>
    </w:p>
    <w:p w14:paraId="338AE876" w14:textId="77777777" w:rsidR="009262C4" w:rsidRDefault="00000000">
      <w:pPr>
        <w:keepNext/>
        <w:spacing w:before="160" w:after="60"/>
        <w:jc w:val="center"/>
      </w:pPr>
      <w:r>
        <w:rPr>
          <w:noProof/>
        </w:rPr>
        <w:lastRenderedPageBreak/>
        <w:drawing>
          <wp:inline distT="0" distB="0" distL="0" distR="0" wp14:anchorId="7ADA6155" wp14:editId="26D4F596">
            <wp:extent cx="5715000" cy="3162300"/>
            <wp:effectExtent l="0" t="0" r="0" b="0"/>
            <wp:docPr id="71915820" name="F11.png" descr="Six-component consent model C = (I, A, P, T, L, E) with the content and supplier of each component, where L is the lifecycle state. The states shown are those of the design, and the states implemented in the prototype are given in Chapter 9" title="Six-component consent model C = (I, A, P, T, L, E) with the content and supplier of each component, where L is the lifecycle state. The states shown are those of the design, and the states implemented in the prototype are given in Chapte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162300"/>
                    </a:xfrm>
                    <a:prstGeom prst="rect">
                      <a:avLst/>
                    </a:prstGeom>
                  </pic:spPr>
                </pic:pic>
              </a:graphicData>
            </a:graphic>
          </wp:inline>
        </w:drawing>
      </w:r>
    </w:p>
    <w:p w14:paraId="7304CA8F" w14:textId="77777777" w:rsidR="009262C4" w:rsidRDefault="00000000">
      <w:pPr>
        <w:spacing w:after="160" w:before="160"/>
        <w:jc w:val="center"/>
      </w:pPr>
      <w:r>
        <w:rPr>
          <w:b/>
          <w:bCs/>
          <w:sz w:val="20"/>
          <w:szCs w:val="18"/>
        </w:rPr>
        <w:t>Figure 5.6</w:t>
      </w:r>
      <w:r>
        <w:rPr>
          <w:b/>
          <w:bCs/>
          <w:sz w:val="20"/>
          <w:szCs w:val="18"/>
        </w:rPr>
        <w:t xml:space="preserve">: </w:t>
      </w:r>
      <w:r>
        <w:rPr>
          <w:sz w:val="20"/>
          <w:szCs w:val="18"/>
        </w:rPr>
        <w:t>Six-component consent model C = (I, A, P, T, L, E)</w:t>
      </w:r>
      <w:r>
        <w:rPr>
          <w:sz w:val="20"/>
          <w:szCs w:val="18"/>
        </w:rPr>
        <w:t>.</w:t>
      </w:r>
    </w:p>
    <w:p w14:paraId="19DBCC08" w14:textId="77777777" w:rsidR="009262C4" w:rsidRDefault="00000000">
      <w:pPr>
        <w:spacing w:after="110" w:line="264" w:lineRule="auto"/>
        <w:jc w:val="both"/>
      </w:pPr>
      <w:r>
        <w:t>Unlike the consent objects reported in the literature, this object carries the guardian set and threshold together with the purpose, data scope, validity interval, and lifecycle state.</w:t>
      </w:r>
    </w:p>
    <w:p>
      <w:pPr>
        <w:pStyle w:val="3"/>
        <w:keepNext/>
      </w:pPr>
      <w:r>
        <w:t>5.5.3 Trust-Aware Consent Creation Procedure and Algorithm</w:t>
      </w:r>
    </w:p>
    <w:p>
      <w:pPr/>
      <w:r>
        <w:t>The Trust-Aware Consent Creation procedure establishes a valid and auditable consent object by sequentially validating the participating entities, consent purpose, data scope, and temporal constraints before the consent is persisted. The procedure consists of the following steps.</w:t>
      </w:r>
    </w:p>
    <w:p>
      <w:pPr>
        <w:pStyle w:val="a4"/>
      </w:pPr>
      <w:r>
        <w:rPr>
          <w:b/>
        </w:rPr>
        <w:t xml:space="preserve">Step 1 – Validate Patient Identity. </w:t>
      </w:r>
      <w:r>
        <w:t>The system first validates the patient’s identity Ip. The identity is checked against the available identity and credential verification mechanisms to ensure that the consent request originates from a recognised patient entity. If Ip cannot be successfully validated, the procedure terminates immediately and returns REJECT.</w:t>
      </w:r>
    </w:p>
    <w:p>
      <w:pPr>
        <w:pStyle w:val="a4"/>
      </w:pPr>
      <w:r>
        <w:rPr>
          <w:b/>
        </w:rPr>
        <w:t xml:space="preserve">Step 2 – Validate the Authorised Doctor. </w:t>
      </w:r>
      <w:r>
        <w:t>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w:t>
      </w:r>
    </w:p>
    <w:p>
      <w:pPr>
        <w:pStyle w:val="a4"/>
      </w:pPr>
      <w:r>
        <w:rPr>
          <w:b/>
        </w:rPr>
        <w:t xml:space="preserve">Step 3 – Validate Guardian or Proxy Participants. </w:t>
      </w:r>
      <w:r>
        <w:t>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w:t>
      </w:r>
    </w:p>
    <w:p>
      <w:pPr>
        <w:pStyle w:val="a4"/>
      </w:pPr>
      <w:r>
        <w:rPr>
          <w:b/>
        </w:rPr>
        <w:t xml:space="preserve">Step 4 – Validate the Intended Purpose. </w:t>
      </w:r>
      <w:r>
        <w:t>The intended data-use purpose Pu 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a4"/>
      </w:pPr>
      <w:r>
        <w:rPr>
          <w:b/>
        </w:rPr>
        <w:t xml:space="preserve">Step 5 – Validate the Data Scope. </w:t>
      </w:r>
      <w:r>
        <w:t>The requested data scope SC is validated to determine precisely which healthcare resources may be accessed under the consent. The scope may represent specific resource categories, such as observations, medications, procedures, or other resource categories. This step establishes the principle of least privilege by ensuring that consent is associated with explicitly defined data resources rather than the patient’s entire healthcare record.</w:t>
      </w:r>
    </w:p>
    <w:p>
      <w:pPr>
        <w:pStyle w:val="a4"/>
      </w:pPr>
      <w:r>
        <w:rPr>
          <w:b/>
        </w:rPr>
        <w:t xml:space="preserve">Step 6 – Validate the Consent Validity Interval. </w:t>
      </w:r>
      <w:r>
        <w:t>The system validates the temporal validity interval T = (ts, te), where ts represents the consent start time and te represents the expiration time. The system verifies that the interval is logically valid by requiring te &gt; ts. If this condition is not satisfied, the consent request is rejected.</w:t>
      </w:r>
    </w:p>
    <w:p>
      <w:pPr>
        <w:pStyle w:val="a4"/>
      </w:pPr>
      <w:r>
        <w:rPr>
          <w:b/>
        </w:rPr>
        <w:t xml:space="preserve">Step 7 – Define the Authorisation Requirement. </w:t>
      </w:r>
      <w:r>
        <w:t>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w:t>
      </w:r>
    </w:p>
    <w:p>
      <w:pPr>
        <w:pStyle w:val="a4"/>
      </w:pPr>
      <w:r>
        <w:rPr>
          <w:b/>
        </w:rPr>
        <w:t xml:space="preserve">Step 8 – Generate a Unique Consent Identifier. </w:t>
      </w:r>
      <w:r>
        <w:t>The system generates a unique consent identifier idC. This identifier provides a persistent reference to the consent object and enables subsequent operations, including consent verification, access authorisation, modification, revocation, and audit.</w:t>
      </w:r>
    </w:p>
    <w:p>
      <w:pPr>
        <w:pStyle w:val="a4"/>
      </w:pPr>
      <w:r>
        <w:rPr>
          <w:b/>
        </w:rPr>
        <w:t xml:space="preserve">Step 9 – Construct the Consent Object. </w:t>
      </w:r>
      <w:r>
        <w:t xml:space="preserve">The validated information is combined to construct the consent object C = (I, A, P, </w:t>
      </w:r>
      <w:r>
        <w:t xml:space="preserve">T, L, </w:t>
      </w:r>
      <w:r>
        <w:t xml:space="preserve">E), where I represents the verified identity information, A represents the authorisation requirements, P represents the consent purpose and associated permissions, </w:t>
      </w:r>
      <w:r>
        <w:t xml:space="preserve">T represents the validity interval, L represents the lifecycle state, </w:t>
      </w:r>
      <w:r>
        <w:t>and E represents the evidence associated with the consent decision. The resulting object therefore captures not only the patient’s preference but also the evidence required to support subsequent authorisation decisions.</w:t>
      </w:r>
    </w:p>
    <w:p>
      <w:pPr>
        <w:pStyle w:val="a4"/>
      </w:pPr>
      <w:r>
        <w:rPr>
          <w:b/>
        </w:rPr>
        <w:t xml:space="preserve">Step 10 – Persist the Consent Object. </w:t>
      </w:r>
      <w:r>
        <w:t>The constructed consent object C is persisted in the consent-management infrastructure. The persistence mechanism provides a stable representation of the consent state that can subsequently be referenced by the access-control and authorisation components.</w:t>
      </w:r>
    </w:p>
    <w:p>
      <w:pPr>
        <w:pStyle w:val="a4"/>
      </w:pPr>
      <w:r>
        <w:rPr>
          <w:b/>
        </w:rPr>
        <w:t xml:space="preserve">Step 11 – Record Consent Creation Evidence. </w:t>
      </w:r>
      <w:r>
        <w:t>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a4"/>
      </w:pPr>
      <w:r>
        <w:rPr>
          <w:b/>
        </w:rPr>
        <w:t xml:space="preserve">Step 12 – Return the Consent Result. </w:t>
      </w:r>
      <w:r>
        <w:t>If all validation and construction operations are completed successfully, the system returns the newly created consent object C. If any mandatory validation fails during the process, the system terminates the procedure and returns REJECT.</w:t>
      </w:r>
    </w:p>
    <w:p>
      <w:pPr/>
      <w:r>
        <w:t>The overall procedure can therefore be represented as a sequential trust establishment process that Ip → D → G → Pu → SC → T → A → idC → C → E.</w:t>
      </w:r>
    </w:p>
    <w:p>
      <w:pPr/>
      <w:r>
        <w:t>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14:paraId="015AAA3F" w14:textId="77777777" w:rsidR="009262C4" w:rsidRDefault="00000000">
      <w:pPr>
        <w:keepNext/>
        <w:pBdr>
          <w:top w:val="single" w:sz="12" w:space="0" w:color="000000"/>
          <w:bottom w:val="single" w:sz="6" w:space="0" w:color="000000"/>
        </w:pBdr>
        <w:spacing w:before="220" w:after="40"/>
      </w:pPr>
      <w:r>
        <w:rPr>
          <w:b/>
          <w:bCs/>
          <w:sz w:val="19"/>
          <w:szCs w:val="19"/>
        </w:rPr>
        <w:t xml:space="preserve">Algorithm 1 </w:t>
      </w:r>
      <w:r>
        <w:rPr>
          <w:sz w:val="19"/>
          <w:szCs w:val="19"/>
        </w:rPr>
        <w:t>Trust-Aware Consent Creation</w:t>
      </w:r>
    </w:p>
    <w:p w14:paraId="0E41ED42" w14:textId="77777777" w:rsidR="009262C4" w:rsidRDefault="00000000">
      <w:pPr>
        <w:keepNext/>
        <w:spacing w:after="20"/>
      </w:pPr>
      <w:r>
        <w:rPr>
          <w:b/>
          <w:bCs/>
          <w:sz w:val="19"/>
          <w:szCs w:val="19"/>
        </w:rPr>
        <w:t xml:space="preserve">Require: </w:t>
      </w:r>
      <w:r>
        <w:rPr>
          <w:sz w:val="19"/>
          <w:szCs w:val="19"/>
        </w:rPr>
        <w:t>Patient identity I</w:t>
      </w:r>
      <w:r>
        <w:rPr>
          <w:sz w:val="19"/>
          <w:szCs w:val="19"/>
          <w:vertAlign w:val="subscript"/>
        </w:rPr>
        <w:t>p</w:t>
      </w:r>
      <w:r>
        <w:rPr>
          <w:sz w:val="19"/>
          <w:szCs w:val="19"/>
        </w:rPr>
        <w:t>, authorised doctor D, guardian set G, purpose P</w:t>
      </w:r>
      <w:r>
        <w:rPr>
          <w:sz w:val="19"/>
          <w:szCs w:val="19"/>
          <w:vertAlign w:val="subscript"/>
        </w:rPr>
        <w:t>u</w:t>
      </w:r>
      <w:r>
        <w:rPr>
          <w:sz w:val="19"/>
          <w:szCs w:val="19"/>
        </w:rPr>
        <w:t>, data scope S</w:t>
      </w:r>
      <w:r>
        <w:rPr>
          <w:sz w:val="19"/>
          <w:szCs w:val="19"/>
          <w:vertAlign w:val="subscript"/>
        </w:rPr>
        <w:t>C</w:t>
      </w:r>
      <w:r>
        <w:rPr>
          <w:sz w:val="19"/>
          <w:szCs w:val="19"/>
        </w:rPr>
        <w:t>, validity interval T</w:t>
      </w:r>
    </w:p>
    <w:p w14:paraId="1237C390" w14:textId="77777777" w:rsidR="009262C4" w:rsidRDefault="00000000">
      <w:pPr>
        <w:keepNext/>
        <w:spacing w:after="40"/>
      </w:pPr>
      <w:r>
        <w:rPr>
          <w:b/>
          <w:bCs/>
          <w:sz w:val="19"/>
          <w:szCs w:val="19"/>
        </w:rPr>
        <w:t xml:space="preserve">Ensure: </w:t>
      </w:r>
      <w:r>
        <w:rPr>
          <w:sz w:val="19"/>
          <w:szCs w:val="19"/>
        </w:rPr>
        <w:t>Consent object C or rejection</w:t>
      </w:r>
    </w:p>
    <w:p w14:paraId="00562E57"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Validate I</w:t>
      </w:r>
      <w:r>
        <w:rPr>
          <w:sz w:val="19"/>
          <w:szCs w:val="19"/>
          <w:vertAlign w:val="subscript"/>
        </w:rPr>
        <w:t>p</w:t>
      </w:r>
    </w:p>
    <w:p w14:paraId="053C7239"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I</w:t>
      </w:r>
      <w:r>
        <w:rPr>
          <w:sz w:val="19"/>
          <w:szCs w:val="19"/>
          <w:vertAlign w:val="subscript"/>
        </w:rPr>
        <w:t>p</w:t>
      </w:r>
      <w:r>
        <w:rPr>
          <w:sz w:val="19"/>
          <w:szCs w:val="19"/>
        </w:rPr>
        <w:t xml:space="preserve"> is invalid </w:t>
      </w:r>
      <w:r>
        <w:rPr>
          <w:b/>
          <w:bCs/>
          <w:sz w:val="19"/>
          <w:szCs w:val="19"/>
        </w:rPr>
        <w:t>then</w:t>
      </w:r>
    </w:p>
    <w:p w14:paraId="7AF6AFC9" w14:textId="77777777" w:rsidR="009262C4" w:rsidRDefault="00000000">
      <w:pPr>
        <w:keepNext/>
        <w:tabs>
          <w:tab w:val="right" w:pos="520"/>
          <w:tab w:val="left" w:pos="1080"/>
        </w:tabs>
        <w:spacing w:after="10"/>
        <w:ind w:left="1080" w:hanging="1080"/>
      </w:pPr>
      <w:r>
        <w:rPr>
          <w:color w:val="555555"/>
          <w:sz w:val="16"/>
          <w:szCs w:val="16"/>
        </w:rPr>
        <w:tab/>
        <w:t>3:</w:t>
        <w:tab/>
      </w:r>
      <w:r>
        <w:rPr>
          <w:b/>
          <w:bCs/>
          <w:sz w:val="19"/>
          <w:szCs w:val="19"/>
        </w:rPr>
        <w:t>return</w:t>
      </w:r>
      <w:r>
        <w:rPr>
          <w:sz w:val="19"/>
          <w:szCs w:val="19"/>
        </w:rPr>
        <w:t xml:space="preserve"> REJECT</w:t>
      </w:r>
    </w:p>
    <w:p w14:paraId="64C2B5FD" w14:textId="77777777" w:rsidR="009262C4" w:rsidRDefault="00000000">
      <w:pPr>
        <w:keepNext/>
        <w:tabs>
          <w:tab w:val="right" w:pos="520"/>
          <w:tab w:val="left" w:pos="720"/>
        </w:tabs>
        <w:spacing w:after="10"/>
        <w:ind w:left="720" w:hanging="720"/>
      </w:pPr>
      <w:r>
        <w:rPr>
          <w:color w:val="555555"/>
          <w:sz w:val="16"/>
          <w:szCs w:val="16"/>
        </w:rPr>
        <w:tab/>
        <w:t>4:</w:t>
        <w:tab/>
      </w:r>
      <w:r>
        <w:rPr>
          <w:b/>
          <w:bCs/>
          <w:sz w:val="19"/>
          <w:szCs w:val="19"/>
        </w:rPr>
        <w:t>end if</w:t>
      </w:r>
    </w:p>
    <w:p w14:paraId="1CCCA605" w14:textId="77777777" w:rsidR="009262C4" w:rsidRDefault="00000000">
      <w:pPr>
        <w:keepNext/>
        <w:tabs>
          <w:tab w:val="right" w:pos="520"/>
          <w:tab w:val="left" w:pos="720"/>
        </w:tabs>
        <w:spacing w:after="10"/>
        <w:ind w:left="720" w:hanging="720"/>
      </w:pPr>
      <w:r>
        <w:rPr>
          <w:color w:val="555555"/>
          <w:sz w:val="16"/>
          <w:szCs w:val="16"/>
        </w:rPr>
        <w:tab/>
        <w:t>5:</w:t>
        <w:tab/>
      </w:r>
      <w:r>
        <w:rPr>
          <w:sz w:val="19"/>
          <w:szCs w:val="19"/>
        </w:rPr>
        <w:t>Validate authorised doctor D, guardian set G, purpose P</w:t>
      </w:r>
      <w:r>
        <w:rPr>
          <w:sz w:val="19"/>
          <w:szCs w:val="19"/>
          <w:vertAlign w:val="subscript"/>
        </w:rPr>
        <w:t>u</w:t>
      </w:r>
      <w:r>
        <w:rPr>
          <w:sz w:val="19"/>
          <w:szCs w:val="19"/>
        </w:rPr>
        <w:t xml:space="preserve"> and data scope S</w:t>
      </w:r>
      <w:r>
        <w:rPr>
          <w:sz w:val="19"/>
          <w:szCs w:val="19"/>
          <w:vertAlign w:val="subscript"/>
        </w:rPr>
        <w:t>C</w:t>
      </w:r>
    </w:p>
    <w:p w14:paraId="7209D200"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if</w:t>
      </w:r>
      <w:r>
        <w:rPr>
          <w:sz w:val="19"/>
          <w:szCs w:val="19"/>
        </w:rPr>
        <w:t xml:space="preserve"> any of them is invalid </w:t>
      </w:r>
      <w:r>
        <w:rPr>
          <w:b/>
          <w:bCs/>
          <w:sz w:val="19"/>
          <w:szCs w:val="19"/>
        </w:rPr>
        <w:t>then</w:t>
      </w:r>
    </w:p>
    <w:p w14:paraId="7DCA2F13" w14:textId="77777777" w:rsidR="009262C4" w:rsidRDefault="00000000">
      <w:pPr>
        <w:keepNext/>
        <w:tabs>
          <w:tab w:val="right" w:pos="520"/>
          <w:tab w:val="left" w:pos="1080"/>
        </w:tabs>
        <w:spacing w:after="10"/>
        <w:ind w:left="1080" w:hanging="1080"/>
      </w:pPr>
      <w:r>
        <w:rPr>
          <w:color w:val="555555"/>
          <w:sz w:val="16"/>
          <w:szCs w:val="16"/>
        </w:rPr>
        <w:tab/>
        <w:t>7:</w:t>
        <w:tab/>
      </w:r>
      <w:r>
        <w:rPr>
          <w:b/>
          <w:bCs/>
          <w:sz w:val="19"/>
          <w:szCs w:val="19"/>
        </w:rPr>
        <w:t>return</w:t>
      </w:r>
      <w:r>
        <w:rPr>
          <w:sz w:val="19"/>
          <w:szCs w:val="19"/>
        </w:rPr>
        <w:t xml:space="preserve"> REJECT</w:t>
      </w:r>
    </w:p>
    <w:p w14:paraId="507CED74" w14:textId="77777777" w:rsidR="009262C4" w:rsidRDefault="00000000">
      <w:pPr>
        <w:keepNext/>
        <w:tabs>
          <w:tab w:val="right" w:pos="520"/>
          <w:tab w:val="left" w:pos="720"/>
        </w:tabs>
        <w:spacing w:after="10"/>
        <w:ind w:left="720" w:hanging="720"/>
      </w:pPr>
      <w:r>
        <w:rPr>
          <w:color w:val="555555"/>
          <w:sz w:val="16"/>
          <w:szCs w:val="16"/>
        </w:rPr>
        <w:tab/>
        <w:t>8:</w:t>
        <w:tab/>
      </w:r>
      <w:r>
        <w:rPr>
          <w:b/>
          <w:bCs/>
          <w:sz w:val="19"/>
          <w:szCs w:val="19"/>
        </w:rPr>
        <w:t>end if</w:t>
      </w:r>
    </w:p>
    <w:p w14:paraId="63AE573A" w14:textId="77777777" w:rsidR="009262C4" w:rsidRDefault="00000000">
      <w:pPr>
        <w:keepNext/>
        <w:tabs>
          <w:tab w:val="right" w:pos="520"/>
          <w:tab w:val="left" w:pos="720"/>
        </w:tabs>
        <w:spacing w:after="10"/>
        <w:ind w:left="720" w:hanging="720"/>
      </w:pPr>
      <w:r>
        <w:rPr>
          <w:color w:val="555555"/>
          <w:sz w:val="16"/>
          <w:szCs w:val="16"/>
        </w:rPr>
        <w:tab/>
        <w:t>9:</w:t>
        <w:tab/>
      </w:r>
      <w:r>
        <w:rPr>
          <w:sz w:val="19"/>
          <w:szCs w:val="19"/>
        </w:rPr>
        <w:t>Validate validity interval T = (t</w:t>
      </w:r>
      <w:r>
        <w:rPr>
          <w:sz w:val="19"/>
          <w:szCs w:val="19"/>
          <w:vertAlign w:val="subscript"/>
        </w:rPr>
        <w:t>s</w:t>
      </w:r>
      <w:r>
        <w:rPr>
          <w:sz w:val="19"/>
          <w:szCs w:val="19"/>
        </w:rPr>
        <w:t xml:space="preserve">, t</w:t>
      </w:r>
      <w:r>
        <w:rPr>
          <w:sz w:val="19"/>
          <w:szCs w:val="19"/>
          <w:vertAlign w:val="subscript"/>
        </w:rPr>
        <w:t>e</w:t>
      </w:r>
      <w:r>
        <w:rPr>
          <w:sz w:val="19"/>
          <w:szCs w:val="19"/>
        </w:rPr>
        <w:t>)</w:t>
      </w:r>
    </w:p>
    <w:p w14:paraId="32552EFA"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if</w:t>
      </w:r>
      <w:r>
        <w:rPr>
          <w:sz w:val="19"/>
          <w:szCs w:val="19"/>
        </w:rPr>
        <w:t xml:space="preserve"> t</w:t>
      </w:r>
      <w:r>
        <w:rPr>
          <w:sz w:val="19"/>
          <w:szCs w:val="19"/>
          <w:vertAlign w:val="subscript"/>
        </w:rPr>
        <w:t>e</w:t>
      </w:r>
      <w:r>
        <w:rPr>
          <w:sz w:val="19"/>
          <w:szCs w:val="19"/>
        </w:rPr>
        <w:t xml:space="preserve"> ≤ t</w:t>
      </w:r>
      <w:r>
        <w:rPr>
          <w:sz w:val="19"/>
          <w:szCs w:val="19"/>
          <w:vertAlign w:val="subscript"/>
        </w:rPr>
        <w:t>s</w:t>
      </w:r>
      <w:r>
        <w:rPr>
          <w:sz w:val="19"/>
          <w:szCs w:val="19"/>
        </w:rPr>
        <w:t xml:space="preserve"> </w:t>
      </w:r>
      <w:r>
        <w:rPr>
          <w:b/>
          <w:bCs/>
          <w:sz w:val="19"/>
          <w:szCs w:val="19"/>
        </w:rPr>
        <w:t>then</w:t>
      </w:r>
    </w:p>
    <w:p w14:paraId="08F7FDAC" w14:textId="77777777" w:rsidR="009262C4" w:rsidRDefault="00000000">
      <w:pPr>
        <w:keepNext/>
        <w:tabs>
          <w:tab w:val="right" w:pos="520"/>
          <w:tab w:val="left" w:pos="1080"/>
        </w:tabs>
        <w:spacing w:after="10"/>
        <w:ind w:left="1080" w:hanging="1080"/>
      </w:pPr>
      <w:r>
        <w:rPr>
          <w:color w:val="555555"/>
          <w:sz w:val="16"/>
          <w:szCs w:val="16"/>
        </w:rPr>
        <w:tab/>
        <w:t>11:</w:t>
        <w:tab/>
      </w:r>
      <w:r>
        <w:rPr>
          <w:b/>
          <w:bCs/>
          <w:sz w:val="19"/>
          <w:szCs w:val="19"/>
        </w:rPr>
        <w:t>return</w:t>
      </w:r>
      <w:r>
        <w:rPr>
          <w:sz w:val="19"/>
          <w:szCs w:val="19"/>
        </w:rPr>
        <w:t xml:space="preserve"> REJECT</w:t>
      </w:r>
    </w:p>
    <w:p w14:paraId="2CCB6296"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end if</w:t>
      </w:r>
    </w:p>
    <w:p w14:paraId="1191E9B0"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Define authorisation requirement A</w:t>
      </w:r>
    </w:p>
    <w:p w14:paraId="25BECC92" w14:textId="77777777" w:rsidR="009262C4" w:rsidRDefault="00000000">
      <w:pPr>
        <w:keepNext/>
        <w:tabs>
          <w:tab w:val="right" w:pos="520"/>
          <w:tab w:val="left" w:pos="720"/>
        </w:tabs>
        <w:spacing w:after="10"/>
        <w:ind w:left="720" w:hanging="720"/>
      </w:pPr>
      <w:r>
        <w:rPr>
          <w:color w:val="555555"/>
          <w:sz w:val="16"/>
          <w:szCs w:val="16"/>
        </w:rPr>
        <w:tab/>
        <w:t>14:</w:t>
        <w:tab/>
      </w:r>
      <w:r>
        <w:rPr>
          <w:sz w:val="19"/>
          <w:szCs w:val="19"/>
        </w:rPr>
        <w:t xml:space="preserve">Generate consent identifier id</w:t>
      </w:r>
      <w:r>
        <w:rPr>
          <w:sz w:val="19"/>
          <w:szCs w:val="19"/>
          <w:vertAlign w:val="subscript"/>
        </w:rPr>
        <w:t>C</w:t>
      </w:r>
    </w:p>
    <w:p w14:paraId="23BAC965" w14:textId="77777777" w:rsidR="009262C4" w:rsidRDefault="00000000">
      <w:pPr>
        <w:keepNext/>
        <w:tabs>
          <w:tab w:val="right" w:pos="520"/>
          <w:tab w:val="left" w:pos="720"/>
        </w:tabs>
        <w:spacing w:after="10"/>
        <w:ind w:left="720" w:hanging="720"/>
      </w:pPr>
      <w:r>
        <w:rPr>
          <w:color w:val="555555"/>
          <w:sz w:val="16"/>
          <w:szCs w:val="16"/>
        </w:rPr>
        <w:tab/>
        <w:t>15:</w:t>
        <w:tab/>
      </w:r>
      <w:r>
        <w:rPr>
          <w:sz w:val="19"/>
          <w:szCs w:val="19"/>
        </w:rPr>
        <w:t>Construct C = (I, A, P, T, L, E)</w:t>
      </w:r>
    </w:p>
    <w:p w14:paraId="4FCCDEB0"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Persist C</w:t>
      </w:r>
    </w:p>
    <w:p w14:paraId="0187EC38"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Record consent creation evidence</w:t>
      </w:r>
    </w:p>
    <w:p w14:paraId="567DD17F" w14:textId="77777777" w:rsidR="009262C4" w:rsidRDefault="00000000">
      <w:pPr>
        <w:tabs>
          <w:tab w:val="right" w:pos="520"/>
          <w:tab w:val="left" w:pos="720"/>
        </w:tabs>
        <w:spacing w:after="10"/>
        <w:ind w:left="720" w:hanging="720"/>
      </w:pPr>
      <w:r>
        <w:rPr>
          <w:color w:val="555555"/>
          <w:sz w:val="16"/>
          <w:szCs w:val="16"/>
        </w:rPr>
        <w:tab/>
        <w:t>18:</w:t>
        <w:tab/>
      </w:r>
      <w:r>
        <w:rPr>
          <w:b/>
          <w:bCs/>
          <w:sz w:val="19"/>
          <w:szCs w:val="19"/>
        </w:rPr>
        <w:t>return</w:t>
      </w:r>
      <w:r>
        <w:rPr>
          <w:sz w:val="19"/>
          <w:szCs w:val="19"/>
        </w:rPr>
        <w:t xml:space="preserve"> C</w:t>
      </w:r>
    </w:p>
    <w:p w14:paraId="33DAD4F9" w14:textId="77777777" w:rsidR="009262C4" w:rsidRDefault="009262C4">
      <w:pPr>
        <w:pBdr>
          <w:bottom w:val="single" w:sz="12" w:space="0" w:color="000000"/>
        </w:pBdr>
        <w:spacing w:after="200"/>
      </w:pPr>
    </w:p>
    <w:p w14:paraId="6D291F9C" w14:textId="77777777" w:rsidR="009262C4" w:rsidRDefault="00000000">
      <w:pPr>
        <w:spacing w:after="110" w:line="264" w:lineRule="auto"/>
        <w:jc w:val="both"/>
      </w:pPr>
      <w:r>
        <w:t xml:space="preserve">Algorithm 1 formalises the creation process. The algorithm does not grant data access directly. Instead, it creates a consent object that can later be evaluated by the authorisation mechanism. The consent is placed in the PENDING state (PENDING_SIGNATURE in the prototype),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2"/>
        <w:keepNext/>
      </w:pPr>
      <w:r>
        <w:t>5.6 Prototype Implementation</w:t>
      </w:r>
    </w:p>
    <w:p w14:paraId="0B22F021" w14:textId="77777777" w:rsidR="009262C4" w:rsidRDefault="00000000">
      <w:pPr>
        <w:spacing w:after="110" w:line="264" w:lineRule="auto"/>
        <w:jc w:val="both"/>
      </w:pPr>
      <w:r>
        <w:t xml:space="preserve">RO1 has been completed at the conceptual and prototype level, and the HALAH patient interface creates the consent object, assigns the identifier, and records the creation event in the audit layer. The main contribution of RO1 is that consent is represented as an evaluable authorisation object rather than as a binary permission. In the current prototype, the patient DID is selected from the loaded record set. The doctor DID and each guardian DID must be well formed and must hold a valid credential for its role, issued by a demo issuer, before the consent is stored, </w:t>
      </w:r>
      <w:r>
        <w:t>as qualified in Chapter 6</w:t>
      </w:r>
      <w:r>
        <w:t xml:space="preserve">. The validation evidence for consent creation, including the demonstration scenarios and the unit-level tests, </w:t>
      </w:r>
      <w:r>
        <w:t>is presented in Section 5.9.</w:t>
      </w:r>
    </w:p>
    <w:p>
      <w:pPr>
        <w:pStyle w:val="3"/>
        <w:keepNext/>
      </w:pPr>
      <w:r>
        <w:t>5.6.1 Aims of Engineering the Prototype System</w:t>
      </w:r>
    </w:p>
    <w:p>
      <w:pPr/>
      <w:r>
        <w:t>The primary aim of engineering the prototype system was to simulate the working of the HALAH framework, in which patient consent is created as an evaluable object and every access request is evaluated against it. In particular, in this section, our objective was to use the developed HALAH prototype to test the efficacy of the consent model proposed in Section 5.5: a patient must be able to create the object C = (I, A, P, T, L, E) through an interface, and the object must carry every component that the later checks need. For validating the other objectives of this thesis, we have extended the same prototype (see Chapters 6 to 9).</w:t>
      </w:r>
    </w:p>
    <w:p>
      <w:pPr/>
      <w:r>
        <w:t>As discussed in Chapter 2, one of the major challenges of consent management in healthcare is that a stored record of permission does not establish who may act on it, whether every required party agreed, or whether a request stays within the purpose and the data scope that the patient set. With our framework, the consent object carries these conditions, and the prototype makes the design testable: the same code that the interface calls is called by the automated tests, so a check that the interface enforces can also be attacked directly at the service level, which is how the gaps closed by the hardening of 1 October 2026 were found. The prototype also produces evidence: every creation, approval, decision and revocation is written to the audit ledger with the result of each check, so the claims of this and the following chapters can be traced to recorded events rather than to screenshots alone.</w:t>
      </w:r>
    </w:p>
    <w:p>
      <w:pPr/>
      <w:r>
        <w:t xml:space="preserve">We used the Ethereum test network Sepolia as the computing platform for the on-chain part of the prototype, and Solidity as its programming language (Ethereum Foundation 2026a). Sepolia was chosen because it runs the same virtual machine as the Ethereum main network, so the contract and its transactions behave as they would in production, while its ether has no monetary value, which allowed the mint and revoke transactions to be repeated during development. The prototype is not engineered for throughput or for a production deployment</w:t>
      </w:r>
      <w:r>
        <w:rPr>
          <w:strike/>
          <w:color w:val="FF0000"/>
        </w:rPr>
        <w:t xml:space="preserve">; its purpose</w:t>
      </w:r>
      <w:r>
        <w:rPr>
          <w:color w:val="FF0000"/>
        </w:rPr>
        <w:t xml:space="preserve">. Its purpose</w:t>
      </w:r>
      <w:r>
        <w:t xml:space="preserve"> is to validate the design.</w:t>
      </w:r>
    </w:p>
    <w:p>
      <w:pPr>
        <w:pStyle w:val="2"/>
        <w:keepNext/>
      </w:pPr>
      <w:r>
        <w:t>5.7 Datasets Used for Validation</w:t>
      </w:r>
    </w:p>
    <w:p w14:paraId="012CE1B9" w14:textId="77777777" w:rsidR="009262C4" w:rsidRDefault="00000000">
      <w:pPr>
        <w:spacing w:after="110" w:line="264" w:lineRule="auto"/>
        <w:jc w:val="both"/>
      </w:pPr>
      <w:r>
        <w:t>The prototype uses synthetic patient records from the Synthea 1K sample (Walonoski et al. 2018), taken from synthea.mitre.org in its CSV export rather than its FHIR R4 export (HL7 International 2019). Synthea generates realistic but artificial patients, so no real patient data is involved.</w:t>
      </w:r>
      <w:r>
        <w:rPr/>
        <w:t xml:space="preserve"> The Synthea 1K sample is a public synthetic healthcare dataset of 1,000 simulated patient records, with patient demographics, medical conditions, medications and procedures in CSV files.</w:t>
      </w:r>
      <w:r>
        <w:t xml:space="preserve"> The prototype loads a subset of patients together with their conditions, observations, medications and procedures, and these tables provide the healthcare data modules that a consent can authorise, such as Observation, Medication and Procedure. The records are used only to construct representative consent workflows</w:t>
      </w:r>
      <w:r>
        <w:rPr/>
        <w:t xml:space="preserve"> and the healthcare data-access scenarios used to test the prototype</w:t>
      </w:r>
      <w:r>
        <w:t>. The authorisation decisions do not depend on the clinical content, and no medical content is written to the chain. The records are not changed. The only step is the selection of the subset loaded into the local database of the prototype.</w:t>
      </w:r>
    </w:p>
    <w:p>
      <w:pPr/>
      <w:r>
        <w:t>Table 5.3 shows the Synthea tables loaded by the prototype, the number of records in the loaded subset, and the consent module that each table supplies. The patient DID of the prototype is derived from the Synthea patient identifier, and the records of a patient are selected by that identifier when a consent authorises the module.</w:t>
      </w:r>
    </w:p>
    <w:p>
      <w:pPr>
        <w:keepNext/>
        <w:spacing w:before="160" w:after="160"/>
        <w:jc w:val="center"/>
      </w:pPr>
      <w:r>
        <w:rPr>
          <w:sz w:val="20"/>
        </w:rPr>
        <w:t>Table 5.3: Synthea tables loaded by the prototype and the consent module supplied by each</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814"/>
        <w:gridCol w:w="1814"/>
        <w:gridCol w:w="2494"/>
        <w:gridCol w:w="2381"/>
      </w:tblGrid>
      <w:tr>
        <w:trPr>
          <w:tblHeader/>
          <w:cantSplit/>
        </w:trPr>
        <w:tc>
          <w:tcPr>
            <w:tcW w:type="dxa" w:w="1814"/>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Synthea table</w:t>
            </w:r>
          </w:p>
        </w:tc>
        <w:tc>
          <w:tcPr>
            <w:tcW w:type="dxa" w:w="1814"/>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Records in the loaded subset</w:t>
            </w:r>
          </w:p>
        </w:tc>
        <w:tc>
          <w:tcPr>
            <w:tcW w:type="dxa" w:w="2494"/>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Record selected by</w:t>
            </w:r>
          </w:p>
        </w:tc>
        <w:tc>
          <w:tcPr>
            <w:tcW w:type="dxa" w:w="238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Consent module</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113</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Id (the source of the patient DID)</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 identity in the patient interface</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observations.csv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4,428</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Observation</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medications.csv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2,931</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Medication</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conditions.csv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4,748</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Condition</w:t>
            </w:r>
          </w:p>
        </w:tc>
      </w:tr>
      <w:tr>
        <w:trPr>
          <w:cantSplit/>
        </w:trPr>
        <w:tc>
          <w:tcPr>
            <w:tcW w:type="dxa" w:w="1814"/>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procedures.csv</w:t>
            </w:r>
          </w:p>
        </w:tc>
        <w:tc>
          <w:tcPr>
            <w:tcW w:type="dxa" w:w="1814"/>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4,237</w:t>
            </w:r>
          </w:p>
        </w:tc>
        <w:tc>
          <w:tcPr>
            <w:tcW w:type="dxa" w:w="2494"/>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Procedure</w:t>
            </w:r>
          </w:p>
        </w:tc>
      </w:tr>
    </w:tbl>
    <w:p>
      <w:pPr>
        <w:pStyle w:val="2"/>
        <w:keepNext/>
      </w:pPr>
      <w:r>
        <w:t>5.8 Steps in the Working of the Prototype System for Consent Creation</w:t>
      </w:r>
    </w:p>
    <w:p>
      <w:pPr/>
      <w:r>
        <w:t>In order to create a consent, the HALAH prototype carries out its work at two levels, namely the patient interface and the service layer. In the patient interface, the consent specification is entered and checked. In the service layer, the consent object is constructed, stored and recorded in the audit ledger. The steps at both levels follow Algorithm 1 and are explained below in Section 5.8.1 and Section 5.8.2 respectively, and Figure 5.7 shows the patient interface after a consent has been created.</w:t>
      </w:r>
    </w:p>
    <w:p>
      <w:pPr>
        <w:pStyle w:val="3"/>
        <w:keepNext/>
      </w:pPr>
      <w:r>
        <w:t>5.8.1 Steps in the patient interface</w:t>
      </w:r>
    </w:p>
    <w:p>
      <w:pPr/>
      <w:r>
        <w:t>1. The patient selects the role Patient and their own DID, which the prototype loads from the record set.</w:t>
      </w:r>
    </w:p>
    <w:p>
      <w:pPr/>
      <w:r>
        <w:t>2. The patient enters the DID of the authorised doctor and the DIDs of the guardians, separated by commas.</w:t>
      </w:r>
    </w:p>
    <w:p>
      <w:pPr/>
      <w:r>
        <w:t>3. The patient selects the data modules from Observation, Medication, Condition and Procedure, and sets the start and expiry times.</w:t>
      </w:r>
    </w:p>
    <w:p>
      <w:pPr/>
      <w:r>
        <w:t>4. The patient presses Initial Consent. The prototype checks that at least one guardian is listed, that the doctor DID holds a valid doctor credential, that each guardian DID holds a valid guardian credential, that no guardian appears twice, that the data scope is not empty and that the expiry time is later than the start time. If any check fails, an error message names the failed field and nothing is stored.</w:t>
      </w:r>
    </w:p>
    <w:p>
      <w:pPr>
        <w:pStyle w:val="3"/>
        <w:keepNext/>
      </w:pPr>
      <w:r>
        <w:t>5.8.2 Steps in the service layer</w:t>
      </w:r>
    </w:p>
    <w:p>
      <w:pPr/>
      <w:r>
        <w:t>5. If every check passes, the service layer assigns the consent identifier, stores the object in the state PENDING_SIGNATURE with N set to the number of guardians, writes the CREATE_CONSENT event to the audit ledger, and returns the identifier to the interface, which shows it to the patient.</w:t>
      </w:r>
    </w:p>
    <w:p>
      <w:pPr/>
      <w:r>
        <w:t>6. The new consent appears in the patient's list with 0 of N approvals, where it waits for the guardians, whose steps are presented in Chapter 7.</w:t>
      </w:r>
    </w:p>
    <w:p>
      <w:pPr>
        <w:jc w:val="center"/>
      </w:pPr>
      <w:r>
        <w:drawing>
          <wp:inline xmlns:a="http://schemas.openxmlformats.org/drawingml/2006/main" xmlns:pic="http://schemas.openxmlformats.org/drawingml/2006/picture">
            <wp:extent cx="4860000" cy="3645000"/>
            <wp:docPr id="2086885384" name="Picture 2086885384"/>
            <wp:cNvGraphicFramePr>
              <a:graphicFrameLocks noChangeAspect="1"/>
            </wp:cNvGraphicFramePr>
            <a:graphic>
              <a:graphicData uri="http://schemas.openxmlformats.org/drawingml/2006/picture">
                <pic:pic>
                  <pic:nvPicPr>
                    <pic:cNvPr id="0" name="ch5_consent_created.png"/>
                    <pic:cNvPicPr/>
                  </pic:nvPicPr>
                  <pic:blipFill>
                    <a:blip r:embed="rId38"/>
                    <a:stretch>
                      <a:fillRect/>
                    </a:stretch>
                  </pic:blipFill>
                  <pic:spPr>
                    <a:xfrm>
                      <a:off x="0" y="0"/>
                      <a:ext cx="4860000" cy="3645000"/>
                    </a:xfrm>
                    <a:prstGeom prst="rect"/>
                  </pic:spPr>
                </pic:pic>
              </a:graphicData>
            </a:graphic>
          </wp:inline>
        </w:drawing>
      </w:r>
    </w:p>
    <w:p>
      <w:pPr>
        <w:spacing w:before="160" w:after="160"/>
        <w:jc w:val="center"/>
      </w:pPr>
      <w:r>
        <w:rPr>
          <w:sz w:val="20"/>
        </w:rPr>
        <w:t>Figure 5.7: The patient interface of the HALAH prototype after a consent has been created.</w:t>
      </w:r>
    </w:p>
    <w:p>
      <w:pPr>
        <w:pStyle w:val="2"/>
        <w:keepNext/>
      </w:pPr>
      <w:r>
        <w:t>5.9 Prototype Evaluation and Discussion</w:t>
      </w:r>
    </w:p>
    <w:p>
      <w:pPr/>
      <w:r>
        <w:t xml:space="preserve">Objective one involves the representation of patient consent as an evaluable authorisation object. The result of RO1 is therefore the conceptual model of Sections 5.2 to 5.5, not a set of measurements. The prototype results reported in this section show only that the model can be realised and behaves as specified, so they are reported as outcomes, created or rejected, rather than as numbers</w:t>
      </w:r>
      <w:r>
        <w:rPr>
          <w:strike/>
          <w:color w:val="FF0000"/>
        </w:rPr>
        <w:t xml:space="preserve">; the quantitative</w:t>
      </w:r>
      <w:r>
        <w:rPr>
          <w:color w:val="FF0000"/>
        </w:rPr>
        <w:t xml:space="preserve">. The quantitative</w:t>
      </w:r>
      <w:r>
        <w:t xml:space="preserve"> evaluation of the complete framework is given in Chapter 10. The results of the validation carried out for this objective are shown in Figure 5.8 and Table 5.4, and the security properties of the architecture are examined in Table 5.5. RO1 is validated in two ways. First, the creation of the consent object is checked functionally: a valid specification must produce a consent object with all six components, and an invalid specification must be rejected before anything is stored. Second, the architecture is evaluated against the security properties it is designed to provide. The validation of the predicates that are evaluated against the consent object, VI, VA, VP, VT and VL, belongs to the chapters of RO2 to RO5, and the evaluation of the complete decision belongs to Chapter 10.</w:t>
      </w:r>
    </w:p>
    <w:p>
      <w:pPr>
        <w:pStyle w:val="3"/>
        <w:keepNext/>
      </w:pPr>
      <w:r>
        <w:t>5.9.1 Validation of Consent Creation</w:t>
      </w:r>
    </w:p>
    <w:p>
      <w:pPr/>
      <w:r>
        <w:t>Live scenarios. In the demonstration of 24 September 2026, Scenario 1 created the consent f050c29a for a patient with two guardians, did:parent:A and did:parent:B, the authorised doctor did:hospital:001, the four data modules, the purpose Treatment and a validity window ending on 31 December 2026. The audit ledger holds the CREATE_CONSENT event for this consent at 09:50:49 with the result SUCCESS, followed by a second consent, 04da25f5, created at 10:55:49 for another patient. Each creation was followed by the guardian approvals and the access decisions reported in the later chapters, which shows that the created object carried every component that the later checks needed.</w:t>
      </w:r>
    </w:p>
    <w:p>
      <w:pPr/>
      <w:r>
        <w:t>Rejected specifications. In the local run of 11 October 2026, three invalid specifications were submitted before the valid one. A doctor DID that does not hold a valid doctor credential was rejected, a guardian DID that does not hold a valid guardian credential was rejected, and a specification that named the same guardian twice was rejected with the message shown in Figure 5.8. Nothing was stored and nothing was logged for the three rejected submissions. The fourth submission, with two distinct guardians holding valid credentials, created the consent 18ab9b62 at 17:41:36, which was then used for the access decisions reported in Chapters 6 to 9.</w:t>
      </w:r>
    </w:p>
    <w:p>
      <w:pPr/>
      <w:r>
        <w:t xml:space="preserve">Automated tests. Two tests cover consent creation. The test test_patient_form_checks_the_doctor_and_the_guardians drives the patient form itself: it submits </w:t>
      </w:r>
      <w:r>
        <w:rPr>
          <w:strike/>
          <w:color w:val="FF0000"/>
        </w:rPr>
        <w:t xml:space="preserve">a malformed doctor DID</w:t>
      </w:r>
      <w:r>
        <w:rPr>
          <w:color w:val="FF0000"/>
        </w:rPr>
        <w:t xml:space="preserve">a doctor DID without a valid doctor credential</w:t>
      </w:r>
      <w:r>
        <w:t xml:space="preserve">, a guardian without a credential and a duplicate guardian, and asserts that each is refused with the right message, then submits a valid specification and asserts that the consent is created and logged. The test test_consent_persists_across_reload stores a consent, adds an approval, reloads the store from disk and asserts that </w:t>
      </w:r>
      <w:r>
        <w:rPr>
          <w:strike/>
          <w:color w:val="FF0000"/>
        </w:rPr>
        <w:t xml:space="preserve">the stored object is unchanged</w:t>
      </w:r>
      <w:r>
        <w:rPr>
          <w:color w:val="FF0000"/>
        </w:rPr>
        <w:t xml:space="preserve">the stored approval is unchanged</w:t>
      </w:r>
      <w:r>
        <w:t xml:space="preserve">. </w:t>
      </w:r>
      <w:r>
        <w:rPr>
          <w:strike/>
          <w:color w:val="FF0000"/>
        </w:rPr>
        <w:t xml:space="preserve">The adversarial test A5 (test_A5_empty_scope_is_rejected) belongs to RO4 but also exercises the creation rule that the data scope must not be empty. All of these tests pass</w:t>
      </w:r>
      <w:r>
        <w:rPr>
          <w:color w:val="FF0000"/>
        </w:rPr>
        <w:t xml:space="preserve">Both tests pass</w:t>
      </w:r>
      <w:r>
        <w:t xml:space="preserve"> in the suite of 46 reported in Chapter 10.</w:t>
      </w:r>
    </w:p>
    <w:p>
      <w:pPr>
        <w:jc w:val="center"/>
      </w:pPr>
      <w:r>
        <w:drawing>
          <wp:inline xmlns:a="http://schemas.openxmlformats.org/drawingml/2006/main" xmlns:pic="http://schemas.openxmlformats.org/drawingml/2006/picture">
            <wp:extent cx="4860000" cy="2930294"/>
            <wp:docPr id="2086885385" name="Picture 2086885385"/>
            <wp:cNvGraphicFramePr>
              <a:graphicFrameLocks noChangeAspect="1"/>
            </wp:cNvGraphicFramePr>
            <a:graphic>
              <a:graphicData uri="http://schemas.openxmlformats.org/drawingml/2006/picture">
                <pic:pic>
                  <pic:nvPicPr>
                    <pic:cNvPr id="0" name="ch5_duplicate_guardian.png"/>
                    <pic:cNvPicPr/>
                  </pic:nvPicPr>
                  <pic:blipFill>
                    <a:blip r:embed="rId39"/>
                    <a:stretch>
                      <a:fillRect/>
                    </a:stretch>
                  </pic:blipFill>
                  <pic:spPr>
                    <a:xfrm>
                      <a:off x="0" y="0"/>
                      <a:ext cx="4860000" cy="2930294"/>
                    </a:xfrm>
                    <a:prstGeom prst="rect"/>
                  </pic:spPr>
                </pic:pic>
              </a:graphicData>
            </a:graphic>
          </wp:inline>
        </w:drawing>
      </w:r>
    </w:p>
    <w:p>
      <w:pPr>
        <w:spacing w:before="160" w:after="160"/>
        <w:jc w:val="center"/>
      </w:pPr>
      <w:r>
        <w:rPr>
          <w:sz w:val="20"/>
        </w:rPr>
        <w:t>Figure 5.8: A specification that names the same guardian twice is rejected by Algorithm 1 before any consent is stored.</w:t>
      </w:r>
    </w:p>
    <w:p>
      <w:pPr/>
      <w:r>
        <w:t>Table 5.4 brings these results together by component of the consent object. For each component of C it gives the check that Algorithm 1 applies at creation, the evidence from the live runs and the automated tests, and the result observed.</w:t>
      </w:r>
    </w:p>
    <w:p>
      <w:pPr>
        <w:keepNext/>
        <w:spacing w:before="160" w:after="160"/>
        <w:jc w:val="center"/>
      </w:pPr>
      <w:r>
        <w:rPr>
          <w:sz w:val="20"/>
        </w:rPr>
        <w:t>Table 5.4: Validation results of the prototype for consent creation</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531"/>
        <w:gridCol w:w="2381"/>
        <w:gridCol w:w="2835"/>
        <w:gridCol w:w="1757"/>
      </w:tblGrid>
      <w:tr>
        <w:trPr>
          <w:tblHeader/>
          <w:cantSplit/>
        </w:trPr>
        <w:tc>
          <w:tcPr>
            <w:tcW w:type="dxa" w:w="153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Component</w:t>
            </w:r>
          </w:p>
        </w:tc>
        <w:tc>
          <w:tcPr>
            <w:tcW w:type="dxa" w:w="238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Check at creation (Algorithm 1)</w:t>
            </w:r>
          </w:p>
        </w:tc>
        <w:tc>
          <w:tcPr>
            <w:tcW w:type="dxa" w:w="2835"/>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Evidence</w:t>
            </w:r>
          </w:p>
        </w:tc>
        <w:tc>
          <w:tcPr>
            <w:tcW w:type="dxa" w:w="1757"/>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Result</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  Identity</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Steps 1 to 3: the patient identity, the authorised doctor DID holding a valid doctor credential, and each guardian DID holding a valid guardian credential.</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Run of 11 October 2026: a doctor DID without a valid doctor credential and a guardian DID without a valid guardian credential were rejected. Test test_patient_form_checks_the_doctor_and_the_guardians.</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Identifiers without a valid credential rejected before anything is stored</w:t>
            </w:r>
            <w:r>
              <w:rPr>
                <w:rFonts w:ascii="Palatino Linotype" w:hAnsi="Palatino Linotype" w:cs="Palatino Linotype"/>
                <w:strike/>
                <w:color w:val="FF0000"/>
                <w:sz w:val="20"/>
              </w:rPr>
              <w:t xml:space="preserve">; valid</w:t>
            </w:r>
            <w:r>
              <w:rPr>
                <w:rFonts w:ascii="Palatino Linotype" w:hAnsi="Palatino Linotype" w:cs="Palatino Linotype"/>
                <w:color w:val="FF0000"/>
                <w:sz w:val="20"/>
              </w:rPr>
              <w:t xml:space="preserve">. Valid</w:t>
            </w:r>
            <w:r>
              <w:rPr>
                <w:rFonts w:ascii="Palatino Linotype" w:hAnsi="Palatino Linotype" w:cs="Palatino Linotype"/>
                <w:color w:val="000000"/>
                <w:sz w:val="20"/>
              </w:rPr>
              <w:t xml:space="preserve"> identifiers holding valid credentials accepted.</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  Authorisation</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Steps 3 and 7: the guardian set G, and the threshold N derived from it as |G|</w:t>
            </w:r>
            <w:r>
              <w:rPr>
                <w:rFonts w:ascii="Palatino Linotype" w:hAnsi="Palatino Linotype" w:cs="Palatino Linotype"/>
                <w:strike/>
                <w:color w:val="FF0000"/>
                <w:sz w:val="20"/>
              </w:rPr>
              <w:t xml:space="preserve">; no guardian</w:t>
            </w:r>
            <w:r>
              <w:rPr>
                <w:rFonts w:ascii="Palatino Linotype" w:hAnsi="Palatino Linotype" w:cs="Palatino Linotype"/>
                <w:color w:val="FF0000"/>
                <w:sz w:val="20"/>
              </w:rPr>
              <w:t xml:space="preserve">. No guardian</w:t>
            </w:r>
            <w:r>
              <w:rPr>
                <w:rFonts w:ascii="Palatino Linotype" w:hAnsi="Palatino Linotype" w:cs="Palatino Linotype"/>
                <w:color w:val="000000"/>
                <w:sz w:val="20"/>
              </w:rPr>
              <w:t xml:space="preserve"> may appear twice.</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 specification naming the same guardian twice was rejected (Figure 5.8). Scenario 1 of 24 September 2026 created consent f050c29a with the two guardians did:parent:A and did:parent:B.</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Duplicate guardian rejected</w:t>
            </w:r>
            <w:r>
              <w:rPr>
                <w:rFonts w:ascii="Palatino Linotype" w:hAnsi="Palatino Linotype" w:cs="Palatino Linotype"/>
                <w:strike/>
                <w:color w:val="FF0000"/>
                <w:sz w:val="20"/>
              </w:rPr>
              <w:t xml:space="preserve">; consent created</w:t>
            </w:r>
            <w:r>
              <w:rPr>
                <w:rFonts w:ascii="Palatino Linotype" w:hAnsi="Palatino Linotype" w:cs="Palatino Linotype"/>
                <w:color w:val="FF0000"/>
                <w:sz w:val="20"/>
              </w:rPr>
              <w:t xml:space="preserve">. Consent created</w:t>
            </w:r>
            <w:r>
              <w:rPr>
                <w:rFonts w:ascii="Palatino Linotype" w:hAnsi="Palatino Linotype" w:cs="Palatino Linotype"/>
                <w:color w:val="000000"/>
                <w:sz w:val="20"/>
              </w:rPr>
              <w:t xml:space="preserve"> with N set to the number of guardians.</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  Policy</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Steps 4 and 5: the purpose and the data scope</w:t>
            </w:r>
            <w:r>
              <w:rPr>
                <w:rFonts w:ascii="Palatino Linotype" w:hAnsi="Palatino Linotype" w:cs="Palatino Linotype"/>
                <w:strike/>
                <w:color w:val="FF0000"/>
                <w:sz w:val="20"/>
              </w:rPr>
              <w:t xml:space="preserve">; the data scope must</w:t>
            </w:r>
            <w:r>
              <w:rPr>
                <w:rFonts w:ascii="Palatino Linotype" w:hAnsi="Palatino Linotype" w:cs="Palatino Linotype"/>
                <w:color w:val="FF0000"/>
                <w:sz w:val="20"/>
              </w:rPr>
              <w:t xml:space="preserve">. The data scope must</w:t>
            </w:r>
            <w:r>
              <w:rPr>
                <w:rFonts w:ascii="Palatino Linotype" w:hAnsi="Palatino Linotype" w:cs="Palatino Linotype"/>
                <w:color w:val="000000"/>
                <w:sz w:val="20"/>
              </w:rPr>
              <w:t xml:space="preserve"> not be empty.</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strike/>
                <w:color w:val="FF0000"/>
                <w:sz w:val="20"/>
              </w:rPr>
              <w:t xml:space="preserve">Adversarial test A5 (test_A5_empty_scope_is_rejected). </w:t>
            </w:r>
            <w:r>
              <w:rPr>
                <w:rFonts w:ascii="Palatino Linotype" w:hAnsi="Palatino Linotype" w:cs="Palatino Linotype"/>
                <w:color w:val="000000"/>
                <w:sz w:val="20"/>
              </w:rPr>
              <w:t xml:space="preserve">Scenario 1 recorded the four data modules and the purpose Treatment</w:t>
            </w:r>
            <w:r>
              <w:rPr>
                <w:rFonts w:ascii="Palatino Linotype" w:hAnsi="Palatino Linotype" w:cs="Palatino Linotype"/>
                <w:strike/>
                <w:color w:val="FF0000"/>
                <w:sz w:val="20"/>
              </w:rPr>
              <w:t xml:space="preserve">; the purpose vocabulary</w:t>
            </w:r>
            <w:r>
              <w:rPr>
                <w:rFonts w:ascii="Palatino Linotype" w:hAnsi="Palatino Linotype" w:cs="Palatino Linotype"/>
                <w:color w:val="FF0000"/>
                <w:sz w:val="20"/>
              </w:rPr>
              <w:t xml:space="preserve">. The purpose vocabulary</w:t>
            </w:r>
            <w:r>
              <w:rPr>
                <w:rFonts w:ascii="Palatino Linotype" w:hAnsi="Palatino Linotype" w:cs="Palatino Linotype"/>
                <w:color w:val="000000"/>
                <w:sz w:val="20"/>
              </w:rPr>
              <w:t xml:space="preserve"> check is exercised by the automated tests.</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Empty scope rejected</w:t>
            </w:r>
            <w:r>
              <w:rPr>
                <w:rFonts w:ascii="Palatino Linotype" w:hAnsi="Palatino Linotype" w:cs="Palatino Linotype"/>
                <w:strike/>
                <w:color w:val="FF0000"/>
                <w:sz w:val="20"/>
              </w:rPr>
              <w:t xml:space="preserve">; purpose and scope</w:t>
            </w:r>
            <w:r>
              <w:rPr>
                <w:rFonts w:ascii="Palatino Linotype" w:hAnsi="Palatino Linotype" w:cs="Palatino Linotype"/>
                <w:color w:val="FF0000"/>
                <w:sz w:val="20"/>
              </w:rPr>
              <w:t xml:space="preserve">. Purpose and scope</w:t>
            </w:r>
            <w:r>
              <w:rPr>
                <w:rFonts w:ascii="Palatino Linotype" w:hAnsi="Palatino Linotype" w:cs="Palatino Linotype"/>
                <w:color w:val="000000"/>
                <w:sz w:val="20"/>
              </w:rPr>
              <w:t xml:space="preserve"> recorded in the consent object.</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T  Time</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Step 6: the validity interval T = (ts, te)</w:t>
            </w:r>
            <w:r>
              <w:rPr>
                <w:rFonts w:ascii="Palatino Linotype" w:hAnsi="Palatino Linotype" w:cs="Palatino Linotype"/>
                <w:strike/>
                <w:color w:val="FF0000"/>
                <w:sz w:val="20"/>
              </w:rPr>
              <w:t xml:space="preserve">; the expiry time</w:t>
            </w:r>
            <w:r>
              <w:rPr>
                <w:rFonts w:ascii="Palatino Linotype" w:hAnsi="Palatino Linotype" w:cs="Palatino Linotype"/>
                <w:color w:val="FF0000"/>
                <w:sz w:val="20"/>
              </w:rPr>
              <w:t xml:space="preserve">. The expiry time</w:t>
            </w:r>
            <w:r>
              <w:rPr>
                <w:rFonts w:ascii="Palatino Linotype" w:hAnsi="Palatino Linotype" w:cs="Palatino Linotype"/>
                <w:color w:val="000000"/>
                <w:sz w:val="20"/>
              </w:rPr>
              <w:t xml:space="preserve"> must be later than the start time.</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Scenario 1 recorded a validity window ending on 31 December 2026</w:t>
            </w:r>
            <w:r>
              <w:rPr>
                <w:rFonts w:ascii="Palatino Linotype" w:hAnsi="Palatino Linotype" w:cs="Palatino Linotype"/>
                <w:strike/>
                <w:color w:val="FF0000"/>
                <w:sz w:val="20"/>
              </w:rPr>
              <w:t xml:space="preserve">; the prototype refuses</w:t>
            </w:r>
            <w:r>
              <w:rPr>
                <w:rFonts w:ascii="Palatino Linotype" w:hAnsi="Palatino Linotype" w:cs="Palatino Linotype"/>
                <w:color w:val="FF0000"/>
                <w:sz w:val="20"/>
              </w:rPr>
              <w:t xml:space="preserve">. The prototype refuses</w:t>
            </w:r>
            <w:r>
              <w:rPr>
                <w:rFonts w:ascii="Palatino Linotype" w:hAnsi="Palatino Linotype" w:cs="Palatino Linotype"/>
                <w:color w:val="000000"/>
                <w:sz w:val="20"/>
              </w:rPr>
              <w:t xml:space="preserve"> an expiry time that is not later than the start time (Section 5.8).</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Validity interval recorded</w:t>
            </w:r>
            <w:r>
              <w:rPr>
                <w:rFonts w:ascii="Palatino Linotype" w:hAnsi="Palatino Linotype" w:cs="Palatino Linotype"/>
                <w:strike/>
                <w:color w:val="FF0000"/>
                <w:sz w:val="20"/>
              </w:rPr>
              <w:t xml:space="preserve">; the interval</w:t>
            </w:r>
            <w:r>
              <w:rPr>
                <w:rFonts w:ascii="Palatino Linotype" w:hAnsi="Palatino Linotype" w:cs="Palatino Linotype"/>
                <w:color w:val="FF0000"/>
                <w:sz w:val="20"/>
              </w:rPr>
              <w:t xml:space="preserve">. The interval</w:t>
            </w:r>
            <w:r>
              <w:rPr>
                <w:rFonts w:ascii="Palatino Linotype" w:hAnsi="Palatino Linotype" w:cs="Palatino Linotype"/>
                <w:color w:val="000000"/>
                <w:sz w:val="20"/>
              </w:rPr>
              <w:t xml:space="preserve"> is enforced at every request by VT (Chapter 9).</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L  Lifecycle</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Steps 8 to 10: the consent identifier is generated, the object is constructed and persisted, and its state becomes PENDING_SIGNATURE.</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Consents f050c29a, 04da25f5 and 18ab9b62 were created in PENDING_SIGNATURE. Test test_consent_persists_across_reload: </w:t>
            </w:r>
            <w:r>
              <w:rPr>
                <w:rFonts w:ascii="Palatino Linotype" w:hAnsi="Palatino Linotype" w:cs="Palatino Linotype"/>
                <w:strike/>
                <w:color w:val="FF0000"/>
                <w:sz w:val="20"/>
              </w:rPr>
              <w:t xml:space="preserve">the stored object, including its state, is unchanged</w:t>
            </w:r>
            <w:r>
              <w:rPr>
                <w:rFonts w:ascii="Palatino Linotype" w:hAnsi="Palatino Linotype" w:cs="Palatino Linotype"/>
                <w:color w:val="FF0000"/>
                <w:sz w:val="20"/>
              </w:rPr>
              <w:t xml:space="preserve">the stored approval is unchanged</w:t>
            </w:r>
            <w:r>
              <w:rPr>
                <w:rFonts w:ascii="Palatino Linotype" w:hAnsi="Palatino Linotype" w:cs="Palatino Linotype"/>
                <w:color w:val="000000"/>
                <w:sz w:val="20"/>
              </w:rPr>
              <w:t xml:space="preserve"> after a reload from disk.</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Created in PENDING_SIGNATURE</w:t>
            </w:r>
            <w:r>
              <w:rPr>
                <w:rFonts w:ascii="Palatino Linotype" w:hAnsi="Palatino Linotype" w:cs="Palatino Linotype"/>
                <w:strike/>
                <w:color w:val="FF0000"/>
                <w:sz w:val="20"/>
              </w:rPr>
              <w:t xml:space="preserve">; no access</w:t>
            </w:r>
            <w:r>
              <w:rPr>
                <w:rFonts w:ascii="Palatino Linotype" w:hAnsi="Palatino Linotype" w:cs="Palatino Linotype"/>
                <w:color w:val="FF0000"/>
                <w:sz w:val="20"/>
              </w:rPr>
              <w:t xml:space="preserve">. No access</w:t>
            </w:r>
            <w:r>
              <w:rPr>
                <w:rFonts w:ascii="Palatino Linotype" w:hAnsi="Palatino Linotype" w:cs="Palatino Linotype"/>
                <w:color w:val="000000"/>
                <w:sz w:val="20"/>
              </w:rPr>
              <w:t xml:space="preserve"> is possible until the state is ACTIVE (Chapter 9).</w:t>
            </w:r>
          </w:p>
        </w:tc>
      </w:tr>
      <w:tr>
        <w:trPr>
          <w:cantSplit/>
        </w:trPr>
        <w:tc>
          <w:tcPr>
            <w:tcW w:type="dxa" w:w="153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  Evidence</w:t>
            </w:r>
          </w:p>
        </w:tc>
        <w:tc>
          <w:tcPr>
            <w:tcW w:type="dxa" w:w="238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Step 11: the CREATE_CONSENT event is written to the audit ledger </w:t>
            </w:r>
            <w:r>
              <w:rPr>
                <w:rFonts w:ascii="Palatino Linotype" w:hAnsi="Palatino Linotype" w:cs="Palatino Linotype"/>
                <w:strike/>
                <w:color w:val="FF0000"/>
                <w:sz w:val="20"/>
              </w:rPr>
              <w:t xml:space="preserve">with the consent identifier, participants and timestamp.</w:t>
            </w:r>
            <w:r>
              <w:rPr>
                <w:rFonts w:ascii="Palatino Linotype" w:hAnsi="Palatino Linotype" w:cs="Palatino Linotype"/>
                <w:color w:val="FF0000"/>
                <w:sz w:val="20"/>
              </w:rPr>
              <w:t xml:space="preserve">with the consent identifier and timestamp.</w:t>
            </w:r>
          </w:p>
        </w:tc>
        <w:tc>
          <w:tcPr>
            <w:tcW w:type="dxa" w:w="2835"/>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Ledger events at 09:50:49 (f050c29a), 10:55:49 (04da25f5) and 17:41:36 (18ab9b62), each with the result SUCCESS. Nothing was logged for the three rejected submissions.</w:t>
            </w:r>
          </w:p>
        </w:tc>
        <w:tc>
          <w:tcPr>
            <w:tcW w:type="dxa" w:w="1757"/>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Every creation is logged</w:t>
            </w:r>
            <w:r>
              <w:rPr>
                <w:rFonts w:ascii="Palatino Linotype" w:hAnsi="Palatino Linotype" w:cs="Palatino Linotype"/>
                <w:strike/>
                <w:color w:val="FF0000"/>
                <w:sz w:val="20"/>
              </w:rPr>
              <w:t xml:space="preserve">; a rejected</w:t>
            </w:r>
            <w:r>
              <w:rPr>
                <w:rFonts w:ascii="Palatino Linotype" w:hAnsi="Palatino Linotype" w:cs="Palatino Linotype"/>
                <w:color w:val="FF0000"/>
                <w:sz w:val="20"/>
              </w:rPr>
              <w:t xml:space="preserve">. A rejected</w:t>
            </w:r>
            <w:r>
              <w:rPr>
                <w:rFonts w:ascii="Palatino Linotype" w:hAnsi="Palatino Linotype" w:cs="Palatino Linotype"/>
                <w:color w:val="000000"/>
                <w:sz w:val="20"/>
              </w:rPr>
              <w:t xml:space="preserve"> specification stores and logs nothing.</w:t>
            </w:r>
          </w:p>
        </w:tc>
      </w:tr>
    </w:tbl>
    <w:p>
      <w:pPr>
        <w:pStyle w:val="3"/>
        <w:keepNext/>
      </w:pPr>
      <w:r>
        <w:t>5.9.2 Evaluation of the Architecture against the Security Properties</w:t>
      </w:r>
    </w:p>
    <w:p>
      <w:pPr/>
      <w:r>
        <w:t>The proposed MVC architecture provides several foundational security properties for the current stage. These properties emerge from the interaction between the Model, View, and Controller rather than from any single technology.</w:t>
      </w:r>
    </w:p>
    <w:p>
      <w:pPr/>
      <w:r>
        <w:t>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These properties, together with the separation of interaction and enforcement established in Section 5.3, are summarised in Table 5.5, in which collective authorisation integrity and decision accountability appear as multi-party authorisation integrity and authorisation evidence respectively.</w:t>
      </w:r>
    </w:p>
    <w:p>
      <w:pPr>
        <w:keepNext/>
        <w:spacing w:before="160" w:after="160"/>
        <w:jc w:val="center"/>
      </w:pPr>
      <w:r>
        <w:rPr>
          <w:sz w:val="20"/>
        </w:rPr>
        <w:t>Table 5.5: Security properties supported by the proposed MVC-based consent architecture</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2041"/>
        <w:gridCol w:w="3061"/>
        <w:gridCol w:w="3402"/>
      </w:tblGrid>
      <w:tr>
        <w:trPr>
          <w:tblHeader/>
          <w:cantSplit/>
        </w:trPr>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Security property</w:t>
            </w:r>
          </w:p>
        </w:tc>
        <w:tc>
          <w:tcPr>
            <w:tcW w:type="dxa" w:w="306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Architectural mechanism</w:t>
            </w:r>
          </w:p>
        </w:tc>
        <w:tc>
          <w:tcPr>
            <w:tcW w:type="dxa" w:w="3402"/>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Security significance</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Identity-dependent participation</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DID and credential verification before a participant can contribute to the authorisation process</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unverified entities from being treated as legitimate participants.</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Authority separation</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Independent evaluation of identity and role or authority evidence</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successful authentication from being interpreted as unrestricted authorisation.</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Multi-party authorisation integrity</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Threshold evaluation over independently verified approval participants</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a single participant from unilaterally activating sensitive healthcare data access when collective approval is required.</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Policy-bounded access</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Evaluation of purpose and requested data scope against consent policy</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otherwise valid identities and approvals from being used to obtain data beyond the authorised scope.</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Authorisation evidence</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Recording of verification results, approval evidence, policy evaluation, and final decisions</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provide traceability and support accountability, auditing, and future verification.</w:t>
            </w:r>
          </w:p>
        </w:tc>
      </w:tr>
      <w:tr>
        <w:trPr>
          <w:cantSplit/>
        </w:trPr>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Separation of interaction and enforcement</w:t>
            </w:r>
          </w:p>
        </w:tc>
        <w:tc>
          <w:tcPr>
            <w:tcW w:type="dxa" w:w="306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The View submits requests while the Controller independently determines the security decision</w:t>
            </w:r>
          </w:p>
        </w:tc>
        <w:tc>
          <w:tcPr>
            <w:tcW w:type="dxa" w:w="3402"/>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user-interface actions from being interpreted directly as trusted authorisation outcomes.</w:t>
            </w:r>
          </w:p>
        </w:tc>
      </w:tr>
    </w:tbl>
    <w:p>
      <w:pPr/>
      <w:r/>
    </w:p>
    <w:p>
      <w:pPr/>
      <w:r>
        <w:t xml:space="preserve">Each property in Table 5.5 is realised by a component of the architecture and tested in a later chapter. Identity-dependent participation and authority separation are tested in Chapter 6 through the credential checks and the forged-credential attack. Multi-party authorisation integrity is tested in Chapter 7 through the outside-signer, replayed-signature and duplicate-approval attacks. Policy-bounded access is tested in Chapter 8 through the over-scope and empty-scope attacks. Authorisation evidence is checked in every chapter through the audit ledger and in Chapter 10 through the recorded decisions. Separation of interaction and enforcement is the property that the hardening of 1 October 2026 made real: three attacks that the interface already blocked were also accepted by the service functions until the checks were moved into the Controller, as reported in Chapter 10. The architecture therefore does not claim security from MVC itself</w:t>
      </w:r>
      <w:r>
        <w:rPr>
          <w:strike/>
          <w:color w:val="FF0000"/>
        </w:rPr>
        <w:t xml:space="preserve">; it claims</w:t>
      </w:r>
      <w:r>
        <w:rPr>
          <w:color w:val="FF0000"/>
        </w:rPr>
        <w:t xml:space="preserve">. It claims</w:t>
      </w:r>
      <w:r>
        <w:t xml:space="preserve"> it from the placement of every trust-sensitive check inside the Controller, and the tests of the following chapters are the evidence for that claim.</w:t>
      </w:r>
    </w:p>
    <w:p>
      <w:pPr>
        <w:pStyle w:val="3"/>
        <w:keepNext/>
      </w:pPr>
      <w:r>
        <w:t>5.9.3 Discussion</w:t>
      </w:r>
    </w:p>
    <w:p>
      <w:pPr/>
      <w:r>
        <w:t xml:space="preserve">The use of the consent object for consent creation has several advantages which include completeness, rejection before storage, and evidence. Completeness means that a created consent carries every condition that the later checks need, so no check has to look for its condition outside the object. Rejection before storage means that an invalid specification leaves no record behind, so the store never holds a consent that cannot be evaluated. Evidence means that every creation is written to the audit ledger </w:t>
      </w:r>
      <w:r>
        <w:rPr>
          <w:strike/>
          <w:color w:val="FF0000"/>
        </w:rPr>
        <w:t xml:space="preserve">with its identifier, its participants and its time</w:t>
      </w:r>
      <w:r>
        <w:rPr>
          <w:color w:val="FF0000"/>
        </w:rPr>
        <w:t xml:space="preserve">with its identifier and its time</w:t>
      </w:r>
      <w:r>
        <w:t xml:space="preserve">, so the later decisions can be traced back to the consent they were taken on.</w:t>
      </w:r>
    </w:p>
    <w:p>
      <w:pPr/>
      <w:r>
        <w:t>On the other hand, the trade-off is rigidity. A consent cannot be changed after it has been created, so a change of doctor, guardian or data scope requires a new consent, and the credentials of the doctor and of every guardian must have been issued before the consent can be created (see Chapter 6). In the current interface, the purpose is also fixed to Treatment. Although these may be considered limitations of the method, the certainty that every stored consent is complete and that every creation is recorded outweighs them at this stage, and consent modification is addressed in the next stage of the research (Chapter 9).</w:t>
      </w:r>
    </w:p>
    <w:p>
      <w:pPr>
        <w:pStyle w:val="2"/>
        <w:keepNext/>
      </w:pPr>
      <w:r>
        <w:t>5.10 Conclusion</w:t>
      </w:r>
    </w:p>
    <w:p>
      <w:pPr/>
      <w:r>
        <w:t>In this chapter, we discussed the research architecture on which the whole framework is built. In particular, we discussed the three layers of the architecture, where trust is evaluated and where the boundaries between the layers lie, and how the architecture maps to the six research objectives. In addition, we proposed a model to represent patient consent as the evaluable object C = (I, A, P, T, L, E), created through Algorithm 1 only when every field is valid, assigned a unique identifier, persisted in the state PENDING_SIGNATURE and recorded in the audit ledger. This addressed the first research objective of this thesis.</w:t>
      </w:r>
    </w:p>
    <w:p>
      <w:pPr/>
      <w:r>
        <w:t xml:space="preserve">In this chapter we also presented the prototype used for validating the solution to research objective 1. This was done using a public synthetic dataset. At the end of the validation process, the results show that valid specifications are created with all six components and that invalid ones are rejected before anything is stored, and the architecture was evaluated against the six security properties it is designed to provide. However, a key finding from the validation was that a consent cannot be changed once it has been created</w:t>
      </w:r>
      <w:r>
        <w:rPr>
          <w:strike/>
          <w:color w:val="FF0000"/>
        </w:rPr>
        <w:t xml:space="preserve">; the users</w:t>
      </w:r>
      <w:r>
        <w:rPr>
          <w:color w:val="FF0000"/>
        </w:rPr>
        <w:t xml:space="preserve">. The users</w:t>
      </w:r>
      <w:r>
        <w:t xml:space="preserve"> of HALAH will have to create a new consent when its terms change.</w:t>
      </w:r>
    </w:p>
    <w:p>
      <w:pPr/>
      <w:r>
        <w:t>The next chapter will discuss in a methodological manner the steps involved in verifying who the participants are and what authority they hold, which is the solution for research objective 2.</w:t>
      </w:r>
    </w:p>
    <w:sectPr w:rsidR="009262C4">
      <w:headerReference w:type="default" r:id="rId40"/>
      <w:headerReference w:type="even" r:id="rId41"/>
      <w:footerReference w:type="default" r:id="rId34"/>
      <w:footerReference w:type="even" r:id="rId42"/>
      <w:pgSz w:w="11906" w:h="16838"/>
      <w:pgMar w:top="1417" w:right="1701" w:bottom="1417" w:left="1701"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right"/>
    </w:pPr>
    <w:r/>
    <w:r>
      <w:rPr>
        <w:rFonts w:ascii="Palatino Linotype" w:hAnsi="Palatino Linotype"/>
        <w:smallCaps/>
        <w:sz w:val="19"/>
      </w:rPr>
      <w:fldChar w:fldCharType="begin"/>
    </w:r>
    <w:r>
      <w:rPr>
        <w:rFonts w:ascii="Palatino Linotype" w:hAnsi="Palatino Linotype"/>
        <w:smallCaps/>
        <w:sz w:val="19"/>
      </w:rPr>
      <w:instrText xml:space="preserve"> STYLEREF "Heading 2"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left"/>
    </w:pPr>
    <w:r/>
    <w:r>
      <w:rPr>
        <w:rFonts w:ascii="Palatino Linotype" w:hAnsi="Palatino Linotype"/>
        <w:smallCaps/>
        <w:sz w:val="19"/>
      </w:rPr>
      <w:t xml:space="preserve">CHAPTER </w:t>
    </w:r>
    <w:r>
      <w:rPr>
        <w:rFonts w:ascii="Palatino Linotype" w:hAnsi="Palatino Linotype"/>
        <w:smallCaps/>
        <w:sz w:val="19"/>
      </w:rPr>
      <w:fldChar w:fldCharType="begin"/>
    </w:r>
    <w:r>
      <w:rPr>
        <w:rFonts w:ascii="Palatino Linotype" w:hAnsi="Palatino Linotype"/>
        <w:smallCaps/>
        <w:sz w:val="19"/>
      </w:rPr>
      <w:instrText xml:space="preserve"> STYLEREF "Heading 1"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jc w:val="both"/>
    </w:pPr>
    <w:rPr>
      <w:rFonts w:ascii="Palatino Linotype" w:hAnsi="Palatino Linotype" w:cs="Palatino Linotype" w:eastAsia="Palatino Linotype"/>
      <w:smallCaps w:val="0"/>
      <w:sz w:val="22"/>
    </w:rPr>
  </w:style>
  <w:style w:type="paragraph" w:styleId="1">
    <w:name w:val="heading 1"/>
    <w:uiPriority w:val="9"/>
    <w:qFormat/>
    <w:pPr>
      <w:spacing w:before="240" w:after="720"/>
      <w:jc w:val="right"/>
      <w:outlineLvl w:val="0"/>
    </w:pPr>
    <w:rPr>
      <w:rFonts w:ascii="Palatino Linotype" w:hAnsi="Palatino Linotype" w:cs="Palatino Linotype" w:eastAsia="Palatino Linotype"/>
      <w:b/>
      <w:bCs/>
      <w:i w:val="0"/>
      <w:smallCaps/>
      <w:color w:val="595959"/>
      <w:sz w:val="40"/>
      <w:szCs w:val="32"/>
    </w:rPr>
  </w:style>
  <w:style w:type="paragraph" w:styleId="2">
    <w:name w:val="heading 2"/>
    <w:uiPriority w:val="9"/>
    <w:unhideWhenUsed/>
    <w:qFormat/>
    <w:pPr>
      <w:spacing w:before="400" w:after="160"/>
      <w:outlineLvl w:val="1"/>
    </w:pPr>
    <w:rPr>
      <w:rFonts w:ascii="Palatino Linotype" w:hAnsi="Palatino Linotype" w:cs="Palatino Linotype" w:eastAsia="Palatino Linotype"/>
      <w:b/>
      <w:bCs/>
      <w:i w:val="0"/>
      <w:smallCaps w:val="0"/>
      <w:color w:val="000000"/>
      <w:sz w:val="28"/>
      <w:szCs w:val="26"/>
    </w:rPr>
  </w:style>
  <w:style w:type="paragraph" w:styleId="3">
    <w:name w:val="heading 3"/>
    <w:uiPriority w:val="9"/>
    <w:semiHidden/>
    <w:unhideWhenUsed/>
    <w:qFormat/>
    <w:pPr>
      <w:spacing w:before="280" w:after="120"/>
      <w:outlineLvl w:val="2"/>
    </w:pPr>
    <w:rPr>
      <w:rFonts w:ascii="Palatino Linotype" w:hAnsi="Palatino Linotype" w:cs="Palatino Linotype" w:eastAsia="Palatino Linotype"/>
      <w:b/>
      <w:i w:val="0"/>
      <w:smallCaps w:val="0"/>
      <w:color w:val="4F6D8F"/>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rPr>
      <w:rFonts w:ascii="Palatino Linotype" w:hAnsi="Palatino Linotype" w:cs="Palatino Linotype" w:eastAsia="Palatino Linotype"/>
      <w:smallCaps w:val="0"/>
      <w:sz w:val="22"/>
    </w:rPr>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34"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35" Type="http://schemas.openxmlformats.org/officeDocument/2006/relationships/fontTable" Target="fontTable.xml"/><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header" Target="header1.xml"/><Relationship Id="rId41" Type="http://schemas.openxmlformats.org/officeDocument/2006/relationships/header" Target="header2.xml"/><Relationship Id="rId4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2026-10-23T08:55:09Z</dcterms:created>
  <dcterms:modified xsi:type="dcterms:W3CDTF">2026-10-23T08:55:09Z</dcterms:modified>
</cp:coreProperties>
</file>