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 xml:space="preserve">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w:t>
      </w:r>
      <w:r>
        <w:t xml:space="preserve">. This provides</w:t>
      </w:r>
      <w:r>
        <w:t xml:space="preserve">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 xml:space="preserve">A blockchain is a decentralised and distributed ledger in which a recorded entry cannot be altered retroactively without altering the blocks that follow it (Wood 2014). In HALAH the chain holds no medical content</w:t>
      </w:r>
      <w:r>
        <w:t xml:space="preserve">. It anchors</w:t>
      </w:r>
      <w:r>
        <w:t xml:space="preserve"> only the state of an approved consent, as a soulbound token (Cai 2022) that cannot be transferred, and its revocation. The Ethereum test network Sepolia (Ethereum Foundation 2026b) was chosen because it runs the same virtual machine as the main network, so the contract behaves as it would in production, while its ether has no monetary value. </w:t>
      </w:r>
      <w:r>
        <w:t xml:space="preserve">The contract was deployed through</w:t>
      </w:r>
      <w:r>
        <w:t xml:space="preserve"> the MetaMask wallet (Consensys 2026), and every transaction is publicly visible on Etherscan.</w:t>
      </w:r>
    </w:p>
    <w:p>
      <w:pPr>
        <w:pStyle w:val="a4"/>
        <w:tabs>
          <w:tab w:pos="624" w:val="left"/>
        </w:tabs>
        <w:ind w:left="624" w:hanging="397"/>
      </w:pPr>
      <w:r>
        <w:t>2.</w:t>
        <w:tab/>
      </w:r>
      <w:r>
        <w:rPr>
          <w:b/>
        </w:rPr>
        <w:t xml:space="preserve">Solidity: </w:t>
      </w:r>
      <w:r>
        <w:t>The consent contract ConsentSBTv3 is written in Solidity, the contract language of Ethereum (Ethereum Foundation 2026a), on the OpenZeppelin implementation of the ERC-721 token standard (Entriken et al. 2018) with the ERC-5484 soulbound interface (Cai 2022), and was compiled in the Remix environment (Ethereum Foundation 2026c). The contract stores the start time, the expiry time and the revocation flag of each consent and reports whether the consent is valid at a given time, so the temporal and lifecycle conditions of Req 5 can be checked against the chain by any party, independently of the application.</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with the Streamlit library, and the application reaches Sepolia through the web3 library. Consents, approvals, decisions and the audit ledger are kept in a local SQLite database, so the auditor can query the evidence of every decision while nothing but the consent state goes to the chain.</w:t>
      </w:r>
    </w:p>
    <w:p>
      <w:pPr>
        <w:pStyle w:val="a4"/>
        <w:tabs>
          <w:tab w:pos="624" w:val="left"/>
        </w:tabs>
        <w:ind w:left="624" w:hanging="397"/>
      </w:pPr>
      <w:r>
        <w:t>4.</w:t>
        <w:tab/>
      </w:r>
      <w:r>
        <w:rPr>
          <w:b/>
        </w:rPr>
        <w:t xml:space="preserve">Decentralised identifiers and verifiable credentials: </w:t>
      </w:r>
      <w:r>
        <w:t xml:space="preserve">Every participant is named by a decentralised identifier </w:t>
      </w:r>
      <w:r>
        <w:t xml:space="preserve">(W3C 2022), and the doctor and each guardian hold a role credential</w:t>
      </w:r>
      <w:r>
        <w:t xml:space="preserve"> (W3C 2025) signed by a trusted issuer, so the identity of a participant and the authority of that participant are verified as two separate conditions, as Chapter 6 presents.</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w:t>
      </w:r>
      <w:r>
        <w:t>since a Validity Proof Service checks the consent once more before any data are released, as Chapter 8 presents, and an On-chain Anchor Service</w:t>
      </w:r>
      <w:r>
        <w:t xml:space="preserv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t>The requester's DID is declared</w:t>
      </w:r>
      <w:r>
        <w:t xml:space="preserve"> in the 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Decision(C, R, t) = ALLOW ⟺ V</w:t>
      </w:r>
      <w:r>
        <w:rPr>
          <w:rFonts w:ascii="Cambria Math" w:hAnsi="Cambria Math" w:cs="Cambria Math" w:eastAsia="Cambria Math"/>
          <w:sz w:val="18"/>
          <w:vertAlign w:val="subscript"/>
        </w:rPr>
        <w:t>I</w:t>
      </w:r>
      <w:r>
        <w:rPr>
          <w:rFonts w:ascii="Cambria Math" w:hAnsi="Cambria Math" w:cs="Cambria Math" w:eastAsia="Cambria Math"/>
          <w:sz w:val="18"/>
        </w:rPr>
        <w:t>(u) ∧ V</w:t>
      </w:r>
      <w:r>
        <w:rPr>
          <w:rFonts w:ascii="Cambria Math" w:hAnsi="Cambria Math" w:cs="Cambria Math" w:eastAsia="Cambria Math"/>
          <w:sz w:val="18"/>
          <w:vertAlign w:val="subscript"/>
        </w:rPr>
        <w:t>A</w:t>
      </w:r>
      <w:r>
        <w:rPr>
          <w:rFonts w:ascii="Cambria Math" w:hAnsi="Cambria Math" w:cs="Cambria Math" w:eastAsia="Cambria Math"/>
          <w:sz w:val="18"/>
        </w:rPr>
        <w:t>(C) ∧ V</w:t>
      </w:r>
      <w:r>
        <w:rPr>
          <w:rFonts w:ascii="Cambria Math" w:hAnsi="Cambria Math" w:cs="Cambria Math" w:eastAsia="Cambria Math"/>
          <w:sz w:val="18"/>
          <w:vertAlign w:val="subscript"/>
        </w:rPr>
        <w:t>P</w:t>
      </w:r>
      <w:r>
        <w:rPr>
          <w:rFonts w:ascii="Cambria Math" w:hAnsi="Cambria Math" w:cs="Cambria Math" w:eastAsia="Cambria Math"/>
          <w:sz w:val="18"/>
        </w:rPr>
        <w:t>(C, R) ∧ V</w:t>
      </w:r>
      <w:r>
        <w:rPr>
          <w:rFonts w:ascii="Cambria Math" w:hAnsi="Cambria Math" w:cs="Cambria Math" w:eastAsia="Cambria Math"/>
          <w:sz w:val="18"/>
          <w:vertAlign w:val="subscript"/>
        </w:rPr>
        <w:t>T</w:t>
      </w:r>
      <w:r>
        <w:rPr>
          <w:rFonts w:ascii="Cambria Math" w:hAnsi="Cambria Math" w:cs="Cambria Math" w:eastAsia="Cambria Math"/>
          <w:sz w:val="18"/>
        </w:rPr>
        <w:t>(C, t) ∧ V</w:t>
      </w:r>
      <w:r>
        <w:rPr>
          <w:rFonts w:ascii="Cambria Math" w:hAnsi="Cambria Math" w:cs="Cambria Math" w:eastAsia="Cambria Math"/>
          <w:sz w:val="18"/>
          <w:vertAlign w:val="subscript"/>
        </w:rPr>
        <w:t>L</w:t>
      </w:r>
      <w:r>
        <w:rPr>
          <w:rFonts w:ascii="Cambria Math" w:hAnsi="Cambria Math" w:cs="Cambria Math" w:eastAsia="Cambria Math"/>
          <w:sz w:val="18"/>
        </w:rPr>
        <w:t>(C).</w:t>
      </w:r>
      <w:r>
        <w:rPr/>
        <w:tab/>
        <w:t>(5.1)</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¬(V</w:t>
      </w:r>
      <w:r>
        <w:rPr>
          <w:rFonts w:ascii="Cambria Math" w:hAnsi="Cambria Math" w:cs="Cambria Math" w:eastAsia="Cambria Math"/>
          <w:sz w:val="18"/>
          <w:vertAlign w:val="subscript"/>
        </w:rPr>
        <w:t>I</w:t>
      </w:r>
      <w:r>
        <w:rPr>
          <w:rFonts w:ascii="Cambria Math" w:hAnsi="Cambria Math" w:cs="Cambria Math" w:eastAsia="Cambria Math"/>
          <w:sz w:val="18"/>
        </w:rPr>
        <w:t xml:space="preserve"> ∧ V</w:t>
      </w:r>
      <w:r>
        <w:rPr>
          <w:rFonts w:ascii="Cambria Math" w:hAnsi="Cambria Math" w:cs="Cambria Math" w:eastAsia="Cambria Math"/>
          <w:sz w:val="18"/>
          <w:vertAlign w:val="subscript"/>
        </w:rPr>
        <w:t>A</w:t>
      </w:r>
      <w:r>
        <w:rPr>
          <w:rFonts w:ascii="Cambria Math" w:hAnsi="Cambria Math" w:cs="Cambria Math" w:eastAsia="Cambria Math"/>
          <w:sz w:val="18"/>
        </w:rPr>
        <w:t xml:space="preserve"> ∧ V</w:t>
      </w:r>
      <w:r>
        <w:rPr>
          <w:rFonts w:ascii="Cambria Math" w:hAnsi="Cambria Math" w:cs="Cambria Math" w:eastAsia="Cambria Math"/>
          <w:sz w:val="18"/>
          <w:vertAlign w:val="subscript"/>
        </w:rPr>
        <w:t>P</w:t>
      </w:r>
      <w:r>
        <w:rPr>
          <w:rFonts w:ascii="Cambria Math" w:hAnsi="Cambria Math" w:cs="Cambria Math" w:eastAsia="Cambria Math"/>
          <w:sz w:val="18"/>
        </w:rPr>
        <w:t xml:space="preserve"> ∧ V</w:t>
      </w:r>
      <w:r>
        <w:rPr>
          <w:rFonts w:ascii="Cambria Math" w:hAnsi="Cambria Math" w:cs="Cambria Math" w:eastAsia="Cambria Math"/>
          <w:sz w:val="18"/>
          <w:vertAlign w:val="subscript"/>
        </w:rPr>
        <w:t>T</w:t>
      </w:r>
      <w:r>
        <w:rPr>
          <w:rFonts w:ascii="Cambria Math" w:hAnsi="Cambria Math" w:cs="Cambria Math" w:eastAsia="Cambria Math"/>
          <w:sz w:val="18"/>
        </w:rPr>
        <w:t xml:space="preserve"> ∧ V</w:t>
      </w:r>
      <w:r>
        <w:rPr>
          <w:rFonts w:ascii="Cambria Math" w:hAnsi="Cambria Math" w:cs="Cambria Math" w:eastAsia="Cambria Math"/>
          <w:sz w:val="18"/>
          <w:vertAlign w:val="subscript"/>
        </w:rPr>
        <w:t>L</w:t>
      </w:r>
      <w:r>
        <w:rPr>
          <w:rFonts w:ascii="Cambria Math" w:hAnsi="Cambria Math" w:cs="Cambria Math" w:eastAsia="Cambria Math"/>
          <w:sz w:val="18"/>
        </w:rPr>
        <w:t>) ⟹ Decision(C, R, t) = DENY.</w:t>
      </w:r>
      <w:r>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w:t>
      </w:r>
      <w:r>
        <w:t>the policy, temporal and lifecycle checks answer</w:t>
      </w:r>
      <w:r>
        <w:t xml:space="preserve"> whether the consent is still valid for this request. The figure also states, gate by gate, what the current prototype checks, so the reader can see where the design and the prototype differ before the detailed sections.</w:t>
      </w:r>
    </w:p>
    <w:p>
      <w:pPr>
        <w:jc w:val="center"/>
      </w:pPr>
      <w:r>
        <w:drawing>
          <wp:inline xmlns:a="http://schemas.openxmlformats.org/drawingml/2006/main" xmlns:pic="http://schemas.openxmlformats.org/drawingml/2006/picture">
            <wp:extent cx="5400000" cy="3436780"/>
            <wp:docPr id="2086885383" name="Picture 2086885383"/>
            <wp:cNvGraphicFramePr>
              <a:graphicFrameLocks noChangeAspect="1"/>
            </wp:cNvGraphicFramePr>
            <a:graphic>
              <a:graphicData uri="http://schemas.openxmlformats.org/drawingml/2006/picture">
                <pic:pic>
                  <pic:nvPicPr>
                    <pic:cNvPr id="0" name="ch5_gates.png"/>
                    <pic:cNvPicPr/>
                  </pic:nvPicPr>
                  <pic:blipFill>
                    <a:blip r:embed="rId37"/>
                    <a:stretch>
                      <a:fillRect/>
                    </a:stretch>
                  </pic:blipFill>
                  <pic:spPr>
                    <a:xfrm>
                      <a:off x="0" y="0"/>
                      <a:ext cx="5400000" cy="3436780"/>
                    </a:xfrm>
                    <a:prstGeom prst="rect"/>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FE9D9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EFDC3C"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5DE0966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BF5E40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Expected Contribution</w:t>
            </w:r>
          </w:p>
        </w:tc>
      </w:tr>
      <w:tr w:rsidR="009262C4" w14:paraId="3D438939"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B42B50" w14:textId="77777777" w:rsidR="009262C4" w:rsidRDefault="00000000">
            <w:pPr>
              <w:keepNext/>
              <w:spacing w:before="40" w:after="40" w:line="240" w:lineRule="auto"/>
              <w:jc w:val="left"/>
            </w:pPr>
            <w:r>
              <w:rPr>
                <w:rFonts w:ascii="Palatino Linotype" w:hAnsi="Palatino Linotype" w:cs="Palatino Linotype"/>
                <w:color w:val="000000"/>
                <w:sz w:val="20"/>
                <w:szCs w:val="17"/>
              </w:rPr>
              <w:t>RO1</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EE78E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A0EB6A" w14:textId="77777777" w:rsidR="009262C4" w:rsidRDefault="00000000">
            <w:pPr>
              <w:keepNext/>
              <w:spacing w:before="40" w:after="40" w:line="240" w:lineRule="auto"/>
              <w:jc w:val="left"/>
            </w:pPr>
            <w:r>
              <w:rPr>
                <w:rFonts w:ascii="Palatino Linotype" w:hAnsi="Palatino Linotype" w:cs="Palatino Linotype"/>
                <w:color w:val="000000"/>
                <w:sz w:val="20"/>
                <w:szCs w:val="17"/>
              </w:rPr>
              <w:t>Trust-aware consent representation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435E0" w14:textId="77777777" w:rsidR="009262C4" w:rsidRDefault="00000000">
            <w:pPr>
              <w:keepNext/>
              <w:spacing w:before="40" w:after="40" w:line="240" w:lineRule="auto"/>
              <w:jc w:val="left"/>
            </w:pPr>
            <w:r>
              <w:rPr>
                <w:rFonts w:ascii="Palatino Linotype" w:hAnsi="Palatino Linotype" w:cs="Palatino Linotype"/>
                <w:color w:val="000000"/>
                <w:sz w:val="20"/>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F4280C" w14:textId="77777777" w:rsidR="009262C4" w:rsidRDefault="00000000">
            <w:pPr>
              <w:keepNext/>
              <w:spacing w:before="40" w:after="40" w:line="240" w:lineRule="auto"/>
              <w:jc w:val="left"/>
            </w:pPr>
            <w:r>
              <w:rPr>
                <w:rFonts w:ascii="Palatino Linotype" w:hAnsi="Palatino Linotype" w:cs="Palatino Linotype"/>
                <w:color w:val="000000"/>
                <w:sz w:val="20"/>
                <w:szCs w:val="17"/>
              </w:rPr>
              <w:t>RO2</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BB1341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2941FB" w14:textId="77777777" w:rsidR="009262C4" w:rsidRDefault="00000000">
            <w:pPr>
              <w:keepNext/>
              <w:spacing w:before="40" w:after="40" w:line="240" w:lineRule="auto"/>
              <w:jc w:val="left"/>
            </w:pPr>
            <w:r>
              <w:rPr>
                <w:rFonts w:ascii="Palatino Linotype" w:hAnsi="Palatino Linotype" w:cs="Palatino Linotype"/>
                <w:color w:val="000000"/>
                <w:sz w:val="20"/>
                <w:szCs w:val="17"/>
              </w:rPr>
              <w:t>DID and VC verification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D52748"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14017C" w14:textId="77777777" w:rsidR="009262C4" w:rsidRDefault="00000000">
            <w:pPr>
              <w:keepNext/>
              <w:spacing w:before="40" w:after="40" w:line="240" w:lineRule="auto"/>
              <w:jc w:val="left"/>
            </w:pPr>
            <w:r>
              <w:rPr>
                <w:rFonts w:ascii="Palatino Linotype" w:hAnsi="Palatino Linotype" w:cs="Palatino Linotype"/>
                <w:color w:val="000000"/>
                <w:sz w:val="20"/>
                <w:szCs w:val="17"/>
              </w:rPr>
              <w:t>RO3</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89D3D4"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90476E" w14:textId="77777777" w:rsidR="009262C4" w:rsidRDefault="00000000">
            <w:pPr>
              <w:keepNext/>
              <w:spacing w:before="40" w:after="40" w:line="240" w:lineRule="auto"/>
              <w:jc w:val="left"/>
            </w:pPr>
            <w:r>
              <w:rPr>
                <w:rFonts w:ascii="Palatino Linotype" w:hAnsi="Palatino Linotype" w:cs="Palatino Linotype"/>
                <w:color w:val="000000"/>
                <w:sz w:val="20"/>
                <w:szCs w:val="17"/>
              </w:rPr>
              <w:t>Verified multi-party threshold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111184"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554522" w14:textId="77777777" w:rsidR="009262C4" w:rsidRDefault="00000000">
            <w:pPr>
              <w:keepNext/>
              <w:spacing w:before="40" w:after="40" w:line="240" w:lineRule="auto"/>
              <w:jc w:val="left"/>
            </w:pPr>
            <w:r>
              <w:rPr>
                <w:rFonts w:ascii="Palatino Linotype" w:hAnsi="Palatino Linotype" w:cs="Palatino Linotype"/>
                <w:color w:val="000000"/>
                <w:sz w:val="20"/>
                <w:szCs w:val="17"/>
              </w:rPr>
              <w:t>RO4</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4A1E3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76F1CA" w14:textId="77777777" w:rsidR="009262C4" w:rsidRDefault="00000000">
            <w:pPr>
              <w:keepNext/>
              <w:spacing w:before="40" w:after="40" w:line="240" w:lineRule="auto"/>
              <w:jc w:val="left"/>
            </w:pPr>
            <w:r>
              <w:rPr>
                <w:rFonts w:ascii="Palatino Linotype" w:hAnsi="Palatino Linotype" w:cs="Palatino Linotype"/>
                <w:color w:val="000000"/>
                <w:sz w:val="20"/>
                <w:szCs w:val="17"/>
              </w:rPr>
              <w:t>Policy, purpose, and data-scope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268D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7954FD" w14:textId="77777777" w:rsidR="009262C4" w:rsidRDefault="00000000">
            <w:pPr>
              <w:keepNext/>
              <w:spacing w:before="40" w:after="40" w:line="240" w:lineRule="auto"/>
              <w:jc w:val="left"/>
            </w:pPr>
            <w:r>
              <w:rPr>
                <w:rFonts w:ascii="Palatino Linotype" w:hAnsi="Palatino Linotype" w:cs="Palatino Linotype"/>
                <w:color w:val="000000"/>
                <w:sz w:val="20"/>
                <w:szCs w:val="17"/>
              </w:rPr>
              <w:t>RO5</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BE1E7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 and 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A389AE" w14:textId="77777777" w:rsidR="009262C4" w:rsidRDefault="00000000">
            <w:pPr>
              <w:keepNext/>
              <w:spacing w:before="40" w:after="40" w:line="240" w:lineRule="auto"/>
              <w:jc w:val="left"/>
            </w:pPr>
            <w:r>
              <w:rPr>
                <w:rFonts w:ascii="Palatino Linotype" w:hAnsi="Palatino Linotype" w:cs="Palatino Linotype"/>
                <w:color w:val="000000"/>
                <w:sz w:val="20"/>
                <w:szCs w:val="17"/>
              </w:rPr>
              <w:t>Temporal validity and consent lifecycle enforcement</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E5B8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vAlign w:val="top"/>
          </w:tcPr>
          <w:p w14:paraId="555B9621" w14:textId="77777777" w:rsidR="009262C4" w:rsidRDefault="00000000">
            <w:pPr>
              <w:spacing w:before="40" w:after="40" w:line="240" w:lineRule="auto"/>
              <w:jc w:val="left"/>
            </w:pPr>
            <w:r>
              <w:rPr>
                <w:rFonts w:ascii="Palatino Linotype" w:hAnsi="Palatino Linotype" w:cs="Palatino Linotype"/>
                <w:color w:val="000000"/>
                <w:sz w:val="20"/>
                <w:szCs w:val="17"/>
              </w:rPr>
              <w:t>RO6</w:t>
            </w:r>
          </w:p>
        </w:tc>
        <w:tc>
          <w:tcPr>
            <w:tcW w:w="1700" w:type="dxa"/>
            <w:tcBorders>
              <w:top w:val="nil"/>
              <w:left w:val="nil"/>
              <w:bottom w:val="nil"/>
              <w:right w:val="nil"/>
              <w:insideH w:val="nil"/>
              <w:insideV w:val="nil"/>
            </w:tcBorders>
            <w:tcMar>
              <w:top w:w="40" w:type="dxa"/>
              <w:left w:w="80" w:type="dxa"/>
              <w:bottom w:w="40" w:type="dxa"/>
              <w:right w:w="80" w:type="dxa"/>
            </w:tcMar>
            <w:vAlign w:val="top"/>
          </w:tcPr>
          <w:p w14:paraId="359B604F" w14:textId="77777777" w:rsidR="009262C4" w:rsidRDefault="00000000">
            <w:pPr>
              <w:spacing w:before="40" w:after="40" w:line="240" w:lineRule="auto"/>
              <w:jc w:val="left"/>
            </w:pPr>
            <w:r>
              <w:rPr>
                <w:rFonts w:ascii="Palatino Linotype" w:hAnsi="Palatino Linotype" w:cs="Palatino Linotype"/>
                <w:color w:val="000000"/>
                <w:sz w:val="20"/>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vAlign w:val="top"/>
          </w:tcPr>
          <w:p w14:paraId="24CA74E4" w14:textId="77777777" w:rsidR="009262C4" w:rsidRDefault="00000000">
            <w:pPr>
              <w:spacing w:before="40" w:after="40" w:line="240" w:lineRule="auto"/>
              <w:jc w:val="left"/>
            </w:pPr>
            <w:r>
              <w:rPr>
                <w:rFonts w:ascii="Palatino Linotype" w:hAnsi="Palatino Linotype" w:cs="Palatino Linotype"/>
                <w:color w:val="000000"/>
                <w:sz w:val="20"/>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vAlign w:val="top"/>
          </w:tcPr>
          <w:p w14:paraId="05F31F88" w14:textId="77777777" w:rsidR="009262C4" w:rsidRDefault="00000000">
            <w:pPr>
              <w:spacing w:before="40" w:after="40" w:line="240" w:lineRule="auto"/>
              <w:jc w:val="left"/>
            </w:pPr>
            <w:r>
              <w:rPr>
                <w:rFonts w:ascii="Palatino Linotype" w:hAnsi="Palatino Linotype" w:cs="Palatino Linotype"/>
                <w:color w:val="000000"/>
                <w:sz w:val="20"/>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HALAH framework</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Identity</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 xml:space="preserve">Central identity provider</w:t>
            </w:r>
            <w:r>
              <w:rPr>
                <w:rFonts w:ascii="Palatino Linotype" w:hAnsi="Palatino Linotype" w:cs="Palatino Linotype"/>
                <w:color w:val="000000"/>
                <w:sz w:val="20"/>
                <w:szCs w:val="17"/>
              </w:rPr>
              <w:t xml:space="preserve">,</w:t>
            </w:r>
            <w:r>
              <w:rPr>
                <w:rFonts w:ascii="Palatino Linotype" w:hAnsi="Palatino Linotype" w:cs="Palatino Linotype"/>
                <w:color w:val="000000"/>
                <w:sz w:val="20"/>
                <w:szCs w:val="17"/>
              </w:rPr>
              <w:t xml:space="preserve"> institution login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 xml:space="preserve">A DID for every participant</w:t>
            </w:r>
            <w:r>
              <w:rPr>
                <w:rFonts w:ascii="Palatino Linotype" w:hAnsi="Palatino Linotype" w:cs="Palatino Linotype"/>
                <w:color w:val="000000"/>
                <w:sz w:val="20"/>
                <w:szCs w:val="17"/>
              </w:rPr>
              <w:t xml:space="preserve">,</w:t>
            </w:r>
            <w:r>
              <w:rPr>
                <w:rFonts w:ascii="Palatino Linotype" w:hAnsi="Palatino Linotype" w:cs="Palatino Linotype"/>
                <w:color w:val="000000"/>
                <w:sz w:val="20"/>
                <w:szCs w:val="17"/>
              </w:rPr>
              <w:t xml:space="preserve"> identity kept separate from authority</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Consent</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stored record that permission was given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An object C = (I, A, P, T, L, E), checked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Approval</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static permission set by one party</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 xml:space="preserve">All listed guardians sign (EIP-712)</w:t>
            </w:r>
            <w:r>
              <w:rPr>
                <w:rFonts w:ascii="Palatino Linotype" w:hAnsi="Palatino Linotype" w:cs="Palatino Linotype"/>
                <w:color w:val="000000"/>
                <w:sz w:val="20"/>
                <w:szCs w:val="17"/>
              </w:rPr>
              <w:t xml:space="preserve">,</w:t>
            </w:r>
            <w:r>
              <w:rPr>
                <w:rFonts w:ascii="Palatino Linotype" w:hAnsi="Palatino Linotype" w:cs="Palatino Linotype"/>
                <w:color w:val="000000"/>
                <w:sz w:val="20"/>
                <w:szCs w:val="17"/>
              </w:rPr>
              <w:t xml:space="preserve"> no single party can approve alone</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Access check</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Log in, then check a static permission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VI ∧ VA ∧ VP ∧ VT ∧ VL, evaluated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Time and revocation</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Hard to verify once the permission is stored</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 xml:space="preserve">Validity window and revocation checked each time</w:t>
            </w:r>
            <w:r>
              <w:rPr>
                <w:rFonts w:ascii="Palatino Linotype" w:hAnsi="Palatino Linotype" w:cs="Palatino Linotype"/>
                <w:color w:val="000000"/>
                <w:sz w:val="20"/>
                <w:szCs w:val="17"/>
              </w:rPr>
              <w:t xml:space="preserve">,</w:t>
            </w:r>
            <w:r>
              <w:rPr>
                <w:rFonts w:ascii="Palatino Linotype" w:hAnsi="Palatino Linotype" w:cs="Palatino Linotype"/>
                <w:color w:val="000000"/>
                <w:sz w:val="20"/>
                <w:szCs w:val="17"/>
              </w:rPr>
              <w:t xml:space="preserv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 xml:space="preserve">Every access decision, allowed or denied, logged off-chain with its decision matrix</w:t>
            </w:r>
            <w:r>
              <w:rPr>
                <w:rFonts w:ascii="Palatino Linotype" w:hAnsi="Palatino Linotype" w:cs="Palatino Linotype"/>
                <w:color w:val="000000"/>
                <w:sz w:val="20"/>
                <w:szCs w:val="17"/>
              </w:rPr>
              <w:t xml:space="preserve">,</w:t>
            </w:r>
            <w:r>
              <w:rPr>
                <w:rFonts w:ascii="Palatino Linotype" w:hAnsi="Palatino Linotype" w:cs="Palatino Linotype"/>
                <w:color w:val="000000"/>
                <w:sz w:val="20"/>
                <w:szCs w:val="17"/>
              </w:rPr>
              <w:t xml:space="preserve">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Chapter 9" title="Six-component consent model C = (I, A, P, T, L, E) with the content and supplier of each component, where L is the lifecycle state. The states shown are those of the design, and the states implemented in the prototype are given in Chapte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 xml:space="preserve">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w:t>
      </w:r>
      <w:r>
        <w:t xml:space="preserve">. Its purpose</w:t>
      </w:r>
      <w:r>
        <w:t xml:space="preserv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Synthea table</w:t>
            </w:r>
          </w:p>
        </w:tc>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 in the loaded subset</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 selected by</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Consent module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113</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 (the source of the patient DID)</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 identity in the patient interface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4,428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2,931</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4,748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w:t>
            </w:r>
          </w:p>
        </w:tc>
      </w:tr>
      <w:tr>
        <w:trPr>
          <w:cantSplit/>
        </w:trPr>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procedures.csv</w:t>
            </w:r>
          </w:p>
        </w:tc>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4,237</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4" name="Picture 2086885384"/>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 xml:space="preserve">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w:t>
      </w:r>
      <w:r>
        <w:t xml:space="preserve">. The quantitative</w:t>
      </w:r>
      <w:r>
        <w:t xml:space="preser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 xml:space="preserve">Automated tests. Two tests cover consent creation. The test test_patient_form_checks_the_doctor_and_the_guardians drives the patient form itself: it submits </w:t>
      </w:r>
      <w:r>
        <w:t xml:space="preserve">a doctor DID without a valid doctor credential</w:t>
      </w:r>
      <w:r>
        <w:t xml:space="preserve">,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w:t>
      </w:r>
      <w:r>
        <w:t xml:space="preserve">the stored approval is unchanged</w:t>
      </w:r>
      <w:r>
        <w:t xml:space="preserve">. </w:t>
      </w:r>
      <w:r>
        <w:t xml:space="preserve">Both tests pass</w:t>
      </w:r>
      <w:r>
        <w:t xml:space="preserve"> in the suite of 46 reported in Chapter 10.</w:t>
      </w:r>
    </w:p>
    <w:p>
      <w:pPr>
        <w:jc w:val="center"/>
      </w:pPr>
      <w:r>
        <w:drawing>
          <wp:inline xmlns:a="http://schemas.openxmlformats.org/drawingml/2006/main" xmlns:pic="http://schemas.openxmlformats.org/drawingml/2006/picture">
            <wp:extent cx="4860000" cy="2930294"/>
            <wp:docPr id="2086885385" name="Picture 2086885385"/>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Component</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Check at creation (Algorithm 1)</w:t>
            </w:r>
          </w:p>
        </w:tc>
        <w:tc>
          <w:tcPr>
            <w:tcW w:type="dxa" w:w="2835"/>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Evidence</w:t>
            </w:r>
          </w:p>
        </w:tc>
        <w:tc>
          <w:tcPr>
            <w:tcW w:type="dxa" w:w="175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Result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  Identity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1 to 3: the patient identity, the authorised doctor DID holding a valid doctor credential, and each guardian DID holding a valid guardian credential.</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Identifiers without a valid credential rejected before anything is stored</w:t>
            </w:r>
            <w:r>
              <w:rPr>
                <w:rFonts w:ascii="Palatino Linotype" w:hAnsi="Palatino Linotype" w:cs="Palatino Linotype"/>
                <w:color w:val="000000"/>
                <w:sz w:val="20"/>
              </w:rPr>
              <w:t xml:space="preserve">. Valid</w:t>
            </w:r>
            <w:r>
              <w:rPr>
                <w:rFonts w:ascii="Palatino Linotype" w:hAnsi="Palatino Linotype" w:cs="Palatino Linotype"/>
                <w:color w:val="000000"/>
                <w:sz w:val="20"/>
              </w:rPr>
              <w:t xml:space="preserve"> identifiers holding valid credentials accepted.</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Authorisation</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Steps 3 and 7: the guardian set G, and the threshold N derived from it as |G|</w:t>
            </w:r>
            <w:r>
              <w:rPr>
                <w:rFonts w:ascii="Palatino Linotype" w:hAnsi="Palatino Linotype" w:cs="Palatino Linotype"/>
                <w:color w:val="000000"/>
                <w:sz w:val="20"/>
              </w:rPr>
              <w:t xml:space="preserve">. No guardian</w:t>
            </w:r>
            <w:r>
              <w:rPr>
                <w:rFonts w:ascii="Palatino Linotype" w:hAnsi="Palatino Linotype" w:cs="Palatino Linotype"/>
                <w:color w:val="000000"/>
                <w:sz w:val="20"/>
              </w:rPr>
              <w:t xml:space="preserve"> may appear twice.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specification naming the same guardian twice was rejected (Figure 5.8). Scenario 1 of 24 September 2026 created consent f050c29a with the two guardians did:parent:A and did:parent:B.</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Duplicate guardian rejected</w:t>
            </w:r>
            <w:r>
              <w:rPr>
                <w:rFonts w:ascii="Palatino Linotype" w:hAnsi="Palatino Linotype" w:cs="Palatino Linotype"/>
                <w:color w:val="000000"/>
                <w:sz w:val="20"/>
              </w:rPr>
              <w:t xml:space="preserve">. Consent created</w:t>
            </w:r>
            <w:r>
              <w:rPr>
                <w:rFonts w:ascii="Palatino Linotype" w:hAnsi="Palatino Linotype" w:cs="Palatino Linotype"/>
                <w:color w:val="000000"/>
                <w:sz w:val="20"/>
              </w:rPr>
              <w:t xml:space="preserve"> with N set to the number of guardians.</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  Policy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Steps 4 and 5: the purpose and the data scope</w:t>
            </w:r>
            <w:r>
              <w:rPr>
                <w:rFonts w:ascii="Palatino Linotype" w:hAnsi="Palatino Linotype" w:cs="Palatino Linotype"/>
                <w:color w:val="000000"/>
                <w:sz w:val="20"/>
              </w:rPr>
              <w:t xml:space="preserve">. The data scope must</w:t>
            </w:r>
            <w:r>
              <w:rPr>
                <w:rFonts w:ascii="Palatino Linotype" w:hAnsi="Palatino Linotype" w:cs="Palatino Linotype"/>
                <w:color w:val="000000"/>
                <w:sz w:val="20"/>
              </w:rPr>
              <w:t xml:space="preserve"> not be empty.</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Scenario 1 recorded the four data modules and the purpose Treatment</w:t>
            </w:r>
            <w:r>
              <w:rPr>
                <w:rFonts w:ascii="Palatino Linotype" w:hAnsi="Palatino Linotype" w:cs="Palatino Linotype"/>
                <w:color w:val="000000"/>
                <w:sz w:val="20"/>
              </w:rPr>
              <w:t xml:space="preserve">. The purpose vocabulary</w:t>
            </w:r>
            <w:r>
              <w:rPr>
                <w:rFonts w:ascii="Palatino Linotype" w:hAnsi="Palatino Linotype" w:cs="Palatino Linotype"/>
                <w:color w:val="000000"/>
                <w:sz w:val="20"/>
              </w:rPr>
              <w:t xml:space="preserve"> check is exercised by the automated tests.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Empty scope rejected</w:t>
            </w:r>
            <w:r>
              <w:rPr>
                <w:rFonts w:ascii="Palatino Linotype" w:hAnsi="Palatino Linotype" w:cs="Palatino Linotype"/>
                <w:color w:val="000000"/>
                <w:sz w:val="20"/>
              </w:rPr>
              <w:t xml:space="preserve">. Purpose and scope</w:t>
            </w:r>
            <w:r>
              <w:rPr>
                <w:rFonts w:ascii="Palatino Linotype" w:hAnsi="Palatino Linotype" w:cs="Palatino Linotype"/>
                <w:color w:val="000000"/>
                <w:sz w:val="20"/>
              </w:rPr>
              <w:t xml:space="preserve"> recorded in the consent object.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  Time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Step 6: the validity interval T = (ts, te)</w:t>
            </w:r>
            <w:r>
              <w:rPr>
                <w:rFonts w:ascii="Palatino Linotype" w:hAnsi="Palatino Linotype" w:cs="Palatino Linotype"/>
                <w:color w:val="000000"/>
                <w:sz w:val="20"/>
              </w:rPr>
              <w:t xml:space="preserve">. The expiry time</w:t>
            </w:r>
            <w:r>
              <w:rPr>
                <w:rFonts w:ascii="Palatino Linotype" w:hAnsi="Palatino Linotype" w:cs="Palatino Linotype"/>
                <w:color w:val="000000"/>
                <w:sz w:val="20"/>
              </w:rPr>
              <w:t xml:space="preserve"> must be later than the start time.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Scenario 1 recorded a validity window ending on 31 December 2026</w:t>
            </w:r>
            <w:r>
              <w:rPr>
                <w:rFonts w:ascii="Palatino Linotype" w:hAnsi="Palatino Linotype" w:cs="Palatino Linotype"/>
                <w:color w:val="000000"/>
                <w:sz w:val="20"/>
              </w:rPr>
              <w:t xml:space="preserve">. The prototype refuses</w:t>
            </w:r>
            <w:r>
              <w:rPr>
                <w:rFonts w:ascii="Palatino Linotype" w:hAnsi="Palatino Linotype" w:cs="Palatino Linotype"/>
                <w:color w:val="000000"/>
                <w:sz w:val="20"/>
              </w:rPr>
              <w:t xml:space="preserve"> an expiry time that is not later than the start time (Section 5.8).</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Validity interval recorded</w:t>
            </w:r>
            <w:r>
              <w:rPr>
                <w:rFonts w:ascii="Palatino Linotype" w:hAnsi="Palatino Linotype" w:cs="Palatino Linotype"/>
                <w:color w:val="000000"/>
                <w:sz w:val="20"/>
              </w:rPr>
              <w:t xml:space="preserve">. The interval</w:t>
            </w:r>
            <w:r>
              <w:rPr>
                <w:rFonts w:ascii="Palatino Linotype" w:hAnsi="Palatino Linotype" w:cs="Palatino Linotype"/>
                <w:color w:val="000000"/>
                <w:sz w:val="20"/>
              </w:rPr>
              <w:t xml:space="preserve"> is enforced at every request by VT (Chapter 9).</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  Lifecycle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8 to 10: the consent identifier is generated, the object is constructed and persisted, and its state becomes PENDING_SIGNATURE.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Consents f050c29a, 04da25f5 and 18ab9b62 were created in PENDING_SIGNATURE. Test test_consent_persists_across_reload: </w:t>
            </w:r>
            <w:r>
              <w:rPr>
                <w:rFonts w:ascii="Palatino Linotype" w:hAnsi="Palatino Linotype" w:cs="Palatino Linotype"/>
                <w:color w:val="000000"/>
                <w:sz w:val="20"/>
              </w:rPr>
              <w:t xml:space="preserve">the stored approval is unchanged</w:t>
            </w:r>
            <w:r>
              <w:rPr>
                <w:rFonts w:ascii="Palatino Linotype" w:hAnsi="Palatino Linotype" w:cs="Palatino Linotype"/>
                <w:color w:val="000000"/>
                <w:sz w:val="20"/>
              </w:rPr>
              <w:t xml:space="preserve"> after a reload from disk.</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Created in PENDING_SIGNATURE</w:t>
            </w:r>
            <w:r>
              <w:rPr>
                <w:rFonts w:ascii="Palatino Linotype" w:hAnsi="Palatino Linotype" w:cs="Palatino Linotype"/>
                <w:color w:val="000000"/>
                <w:sz w:val="20"/>
              </w:rPr>
              <w:t xml:space="preserve">. No access</w:t>
            </w:r>
            <w:r>
              <w:rPr>
                <w:rFonts w:ascii="Palatino Linotype" w:hAnsi="Palatino Linotype" w:cs="Palatino Linotype"/>
                <w:color w:val="000000"/>
                <w:sz w:val="20"/>
              </w:rPr>
              <w:t xml:space="preserve"> is possible until the state is ACTIVE (Chapter 9).</w:t>
            </w:r>
          </w:p>
        </w:tc>
      </w:tr>
      <w:tr>
        <w:trPr>
          <w:cantSplit/>
        </w:trPr>
        <w:tc>
          <w:tcPr>
            <w:tcW w:type="dxa" w:w="153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  Evidence</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Step 11: the CREATE_CONSENT event is written to the audit ledger </w:t>
            </w:r>
            <w:r>
              <w:rPr>
                <w:rFonts w:ascii="Palatino Linotype" w:hAnsi="Palatino Linotype" w:cs="Palatino Linotype"/>
                <w:color w:val="000000"/>
                <w:sz w:val="20"/>
              </w:rPr>
              <w:t xml:space="preserve">with the consent identifier and timestamp.</w:t>
            </w:r>
          </w:p>
        </w:tc>
        <w:tc>
          <w:tcPr>
            <w:tcW w:type="dxa" w:w="2835"/>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Every creation is logged</w:t>
            </w:r>
            <w:r>
              <w:rPr>
                <w:rFonts w:ascii="Palatino Linotype" w:hAnsi="Palatino Linotype" w:cs="Palatino Linotype"/>
                <w:color w:val="000000"/>
                <w:sz w:val="20"/>
              </w:rPr>
              <w:t xml:space="preserve">. A rejected</w:t>
            </w:r>
            <w:r>
              <w:rPr>
                <w:rFonts w:ascii="Palatino Linotype" w:hAnsi="Palatino Linotype" w:cs="Palatino Linotype"/>
                <w:color w:val="000000"/>
                <w:sz w:val="20"/>
              </w:rPr>
              <w:t xml:space="preserve">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property</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Architectural mechanism</w:t>
            </w:r>
          </w:p>
        </w:tc>
        <w:tc>
          <w:tcPr>
            <w:tcW w:type="dxa" w:w="3402"/>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significance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Identity-dependent participation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DID and credential verification before a participant can contribute to the authorisation process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unverified entities from being treated as legitimate participants.</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Authority separation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Independent evaluation of identity and role or authority evidence</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successful authentication from being interpreted as unrestricted authorisation.</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Multi-party authorisation integrity</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Threshold evaluation over independently verified approval participants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a single participant from unilaterally activating sensitive healthcare data access when collective approval is required.</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Policy-bounded access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Evaluation of purpose and requested data scope against consent policy</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otherwise valid identities and approvals from being used to obtain data beyond the authorised scope.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Authorisation evidence</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Recording of verification results, approval evidence, policy evaluation, and final decisions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Separation of interaction and enforcement</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The View submits requests while the Controller independently determines the security decision</w:t>
            </w:r>
          </w:p>
        </w:tc>
        <w:tc>
          <w:tcPr>
            <w:tcW w:type="dxa" w:w="3402"/>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user-interface actions from being interpreted directly as trusted authorisation outcomes.</w:t>
            </w:r>
          </w:p>
        </w:tc>
      </w:tr>
    </w:tbl>
    <w:p>
      <w:pPr/>
      <w:r/>
    </w:p>
    <w:p>
      <w:pPr/>
      <w:r>
        <w:t xml:space="preserve">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w:t>
      </w:r>
      <w:r>
        <w:t xml:space="preserve">. It claims</w:t>
      </w:r>
      <w:r>
        <w:t xml:space="preserve"> it from the placement of every trust-sensitive check inside the Controller, and the tests of the following chapters are the evidence for that claim.</w:t>
      </w:r>
    </w:p>
    <w:p>
      <w:pPr>
        <w:pStyle w:val="3"/>
        <w:keepNext/>
      </w:pPr>
      <w:r>
        <w:t>5.9.3 Discussion</w:t>
      </w:r>
    </w:p>
    <w:p>
      <w:pPr/>
      <w:r>
        <w:t xml:space="preserve">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t>
      </w:r>
      <w:r>
        <w:t xml:space="preserve">with its identifier and its time</w:t>
      </w:r>
      <w:r>
        <w:t xml:space="preserv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 xml:space="preserve">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w:t>
      </w:r>
      <w:r>
        <w:t xml:space="preserve">. The users</w:t>
      </w:r>
      <w:r>
        <w:t xml:space="preserve">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2026-10-23T08:55:09Z</dcterms:created>
  <dcterms:modified xsi:type="dcterms:W3CDTF">2026-10-23T08:55:09Z</dcterms:modified>
</cp:coreProperties>
</file>