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1"/>
          <w:headerReference w:type="even" r:id="rId42"/>
          <w:footerReference w:type="default" r:id="rId34"/>
          <w:footerReference w:type="even" r:id="rId43"/>
          <w:pgSz w:w="11906" w:h="16838"/>
          <w:pgMar w:top="1417" w:right="1701" w:bottom="1417" w:left="1701" w:header="737" w:footer="737" w:gutter="0"/>
          <w:cols w:space="720"/>
          <w:docGrid w:linePitch="360"/>
        </w:sectPr>
      </w:pPr>
    </w:p>
    <w:p>
      <w:pPr>
        <w:pStyle w:val="1"/>
        <w:keepNext/>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Dedication</w:t>
      </w:r>
    </w:p>
    <w:p>
      <w:pPr>
        <w:spacing w:before="2400" w:after="120"/>
        <w:jc w:val="center"/>
      </w:pPr>
      <w:r>
        <w:rPr>
          <w:b w:val="0"/>
          <w:smallCaps w:val="0"/>
          <w:sz w:val="28"/>
        </w:rPr>
        <w:t>To my family</w:t>
      </w:r>
    </w:p>
    <w:p>
      <w:r>
        <w:br w:type="page"/>
      </w:r>
    </w:p>
    <w:p>
      <w:pPr>
        <w:pStyle w:val="1"/>
        <w:keepNext/>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Table of Contents</w:t>
      </w:r>
    </w:p>
    <w:p>
      <w:r>
        <w:fldChar w:fldCharType="begin"/>
      </w:r>
      <w:r>
        <w:instrText xml:space="preserve"> TOC \o "1-3" \h \z \u </w:instrText>
      </w:r>
      <w:r>
        <w:fldChar w:fldCharType="separate"/>
      </w:r>
    </w:p>
    <w:p>
      <w:pPr>
        <w:tabs>
          <w:tab w:pos="8504" w:val="right" w:leader="dot"/>
        </w:tabs>
        <w:spacing w:after="120" w:before="160"/>
        <w:ind w:left="0"/>
        <w:jc w:val="left"/>
      </w:pPr>
      <w:r>
        <w:rPr>
          <w:rFonts w:ascii="Palatino Linotype" w:hAnsi="Palatino Linotype"/>
          <w:b/>
          <w:sz w:val="22"/>
        </w:rPr>
        <w:t>Certificate of Original Authorship</w:t>
        <w:tab/>
        <w:t>i</w:t>
      </w:r>
    </w:p>
    <w:p>
      <w:pPr>
        <w:tabs>
          <w:tab w:pos="8504" w:val="right" w:leader="dot"/>
        </w:tabs>
        <w:spacing w:after="120" w:before="160"/>
        <w:ind w:left="0"/>
        <w:jc w:val="left"/>
      </w:pPr>
      <w:r>
        <w:rPr>
          <w:rFonts w:ascii="Palatino Linotype" w:hAnsi="Palatino Linotype"/>
          <w:b/>
          <w:sz w:val="22"/>
        </w:rPr>
        <w:t>Dedication</w:t>
        <w:tab/>
        <w:t>ii</w:t>
      </w:r>
    </w:p>
    <w:p>
      <w:pPr>
        <w:tabs>
          <w:tab w:pos="8504" w:val="right" w:leader="dot"/>
        </w:tabs>
        <w:spacing w:after="120" w:before="160"/>
        <w:ind w:left="0"/>
        <w:jc w:val="left"/>
      </w:pPr>
      <w:r>
        <w:rPr>
          <w:rFonts w:ascii="Palatino Linotype" w:hAnsi="Palatino Linotype"/>
          <w:b/>
          <w:sz w:val="22"/>
        </w:rPr>
        <w:t>Acknowledgments</w:t>
        <w:tab/>
        <w:t>iii</w:t>
      </w:r>
    </w:p>
    <w:p>
      <w:pPr>
        <w:tabs>
          <w:tab w:pos="8504" w:val="right" w:leader="dot"/>
        </w:tabs>
        <w:spacing w:after="120" w:before="160"/>
        <w:ind w:left="0"/>
        <w:jc w:val="left"/>
      </w:pPr>
      <w:r>
        <w:rPr>
          <w:rFonts w:ascii="Palatino Linotype" w:hAnsi="Palatino Linotype"/>
          <w:b/>
          <w:sz w:val="22"/>
        </w:rPr>
        <w:t>Publications</w:t>
        <w:tab/>
        <w:t>iv</w:t>
      </w:r>
    </w:p>
    <w:p>
      <w:pPr>
        <w:tabs>
          <w:tab w:pos="8504" w:val="right" w:leader="dot"/>
        </w:tabs>
        <w:spacing w:after="120" w:before="160"/>
        <w:ind w:left="0"/>
        <w:jc w:val="left"/>
      </w:pPr>
      <w:r>
        <w:rPr>
          <w:rFonts w:ascii="Palatino Linotype" w:hAnsi="Palatino Linotype"/>
          <w:b/>
          <w:sz w:val="22"/>
        </w:rPr>
        <w:t>Table of Contents</w:t>
        <w:tab/>
        <w:t>v</w:t>
      </w:r>
    </w:p>
    <w:p>
      <w:pPr>
        <w:tabs>
          <w:tab w:pos="8504" w:val="right" w:leader="dot"/>
        </w:tabs>
        <w:spacing w:after="120" w:before="160"/>
        <w:ind w:left="0"/>
        <w:jc w:val="left"/>
      </w:pPr>
      <w:r>
        <w:rPr>
          <w:rFonts w:ascii="Palatino Linotype" w:hAnsi="Palatino Linotype"/>
          <w:b/>
          <w:sz w:val="22"/>
        </w:rPr>
        <w:t>List of Figures</w:t>
        <w:tab/>
        <w:t>viii</w:t>
      </w:r>
    </w:p>
    <w:p>
      <w:pPr>
        <w:tabs>
          <w:tab w:pos="8504" w:val="right" w:leader="dot"/>
        </w:tabs>
        <w:spacing w:after="120" w:before="160"/>
        <w:ind w:left="0"/>
        <w:jc w:val="left"/>
      </w:pPr>
      <w:r>
        <w:rPr>
          <w:rFonts w:ascii="Palatino Linotype" w:hAnsi="Palatino Linotype"/>
          <w:b/>
          <w:sz w:val="22"/>
        </w:rPr>
        <w:t>List of Tables</w:t>
        <w:tab/>
        <w:t>ix</w:t>
      </w:r>
    </w:p>
    <w:p>
      <w:pPr>
        <w:tabs>
          <w:tab w:pos="8504" w:val="right" w:leader="dot"/>
        </w:tabs>
        <w:spacing w:after="120" w:before="160"/>
        <w:ind w:left="0"/>
        <w:jc w:val="left"/>
      </w:pPr>
      <w:r>
        <w:rPr>
          <w:rFonts w:ascii="Palatino Linotype" w:hAnsi="Palatino Linotype"/>
          <w:b/>
          <w:sz w:val="22"/>
        </w:rPr>
        <w:t>Abstract</w:t>
        <w:tab/>
        <w:t>x</w:t>
      </w:r>
    </w:p>
    <w:p>
      <w:pPr>
        <w:tabs>
          <w:tab w:pos="8504" w:val="right" w:leader="dot"/>
        </w:tabs>
        <w:spacing w:after="120" w:before="160"/>
        <w:ind w:left="0"/>
        <w:jc w:val="left"/>
      </w:pPr>
      <w:r>
        <w:rPr>
          <w:rFonts w:ascii="Palatino Linotype" w:hAnsi="Palatino Linotype"/>
          <w:b/>
          <w:sz w:val="22"/>
        </w:rPr>
        <w:t>1 Introduction</w:t>
        <w:tab/>
        <w:t>1</w:t>
      </w:r>
    </w:p>
    <w:p>
      <w:pPr>
        <w:tabs>
          <w:tab w:pos="8504" w:val="right" w:leader="dot"/>
        </w:tabs>
        <w:spacing w:after="40" w:before="0"/>
        <w:ind w:left="454"/>
        <w:jc w:val="left"/>
      </w:pPr>
      <w:r>
        <w:rPr>
          <w:rFonts w:ascii="Palatino Linotype" w:hAnsi="Palatino Linotype"/>
          <w:b w:val="0"/>
          <w:sz w:val="22"/>
        </w:rPr>
        <w:t>1.1 Introduction</w:t>
        <w:tab/>
        <w:t>1</w:t>
      </w:r>
    </w:p>
    <w:p>
      <w:pPr>
        <w:tabs>
          <w:tab w:pos="8504" w:val="right" w:leader="dot"/>
        </w:tabs>
        <w:spacing w:after="40" w:before="0"/>
        <w:ind w:left="454"/>
        <w:jc w:val="left"/>
      </w:pPr>
      <w:r>
        <w:rPr>
          <w:rFonts w:ascii="Palatino Linotype" w:hAnsi="Palatino Linotype"/>
          <w:b w:val="0"/>
          <w:sz w:val="22"/>
        </w:rPr>
        <w:t>1.2 Statement of the Problem</w:t>
        <w:tab/>
        <w:t>2</w:t>
      </w:r>
    </w:p>
    <w:p>
      <w:pPr>
        <w:tabs>
          <w:tab w:pos="8504" w:val="right" w:leader="dot"/>
        </w:tabs>
        <w:spacing w:after="40" w:before="0"/>
        <w:ind w:left="454"/>
        <w:jc w:val="left"/>
      </w:pPr>
      <w:r>
        <w:rPr>
          <w:rFonts w:ascii="Palatino Linotype" w:hAnsi="Palatino Linotype"/>
          <w:b w:val="0"/>
          <w:sz w:val="22"/>
        </w:rPr>
        <w:t>1.3 Research Motivation</w:t>
        <w:tab/>
        <w:t>2</w:t>
      </w:r>
    </w:p>
    <w:p>
      <w:pPr>
        <w:tabs>
          <w:tab w:pos="8504" w:val="right" w:leader="dot"/>
        </w:tabs>
        <w:spacing w:after="40" w:before="0"/>
        <w:ind w:left="454"/>
        <w:jc w:val="left"/>
      </w:pPr>
      <w:r>
        <w:rPr>
          <w:rFonts w:ascii="Palatino Linotype" w:hAnsi="Palatino Linotype"/>
          <w:b w:val="0"/>
          <w:sz w:val="22"/>
        </w:rPr>
        <w:t>1.4 Decentralised Identity Technology</w:t>
        <w:tab/>
        <w:t>3</w:t>
      </w:r>
    </w:p>
    <w:p>
      <w:pPr>
        <w:tabs>
          <w:tab w:pos="8504" w:val="right" w:leader="dot"/>
        </w:tabs>
        <w:spacing w:after="40" w:before="0"/>
        <w:ind w:left="1020"/>
        <w:jc w:val="left"/>
      </w:pPr>
      <w:r>
        <w:rPr>
          <w:rFonts w:ascii="Palatino Linotype" w:hAnsi="Palatino Linotype"/>
          <w:b w:val="0"/>
          <w:sz w:val="22"/>
        </w:rPr>
        <w:t>1.4.1 Decentralised Identifiers (DIDs)</w:t>
        <w:tab/>
        <w:t>4</w:t>
      </w:r>
    </w:p>
    <w:p>
      <w:pPr>
        <w:tabs>
          <w:tab w:pos="8504" w:val="right" w:leader="dot"/>
        </w:tabs>
        <w:spacing w:after="40" w:before="0"/>
        <w:ind w:left="1020"/>
        <w:jc w:val="left"/>
      </w:pPr>
      <w:r>
        <w:rPr>
          <w:rFonts w:ascii="Palatino Linotype" w:hAnsi="Palatino Linotype"/>
          <w:b w:val="0"/>
          <w:sz w:val="22"/>
        </w:rPr>
        <w:t>1.4.2 Verifiable Credentials (VCs)</w:t>
        <w:tab/>
        <w:t>4</w:t>
      </w:r>
    </w:p>
    <w:p>
      <w:pPr>
        <w:tabs>
          <w:tab w:pos="8504" w:val="right" w:leader="dot"/>
        </w:tabs>
        <w:spacing w:after="40" w:before="0"/>
        <w:ind w:left="1020"/>
        <w:jc w:val="left"/>
      </w:pPr>
      <w:r>
        <w:rPr>
          <w:rFonts w:ascii="Palatino Linotype" w:hAnsi="Palatino Linotype"/>
          <w:b w:val="0"/>
          <w:sz w:val="22"/>
        </w:rPr>
        <w:t>1.4.3 Trusted Issuers and Credential Verification</w:t>
        <w:tab/>
        <w:t>4</w:t>
      </w:r>
    </w:p>
    <w:p>
      <w:pPr>
        <w:tabs>
          <w:tab w:pos="8504" w:val="right" w:leader="dot"/>
        </w:tabs>
        <w:spacing w:after="40" w:before="0"/>
        <w:ind w:left="454"/>
        <w:jc w:val="left"/>
      </w:pPr>
      <w:r>
        <w:rPr>
          <w:rFonts w:ascii="Palatino Linotype" w:hAnsi="Palatino Linotype"/>
          <w:b w:val="0"/>
          <w:sz w:val="22"/>
        </w:rPr>
        <w:t>1.5 Multi-Party Authorisation</w:t>
        <w:tab/>
        <w:t>4</w:t>
      </w:r>
    </w:p>
    <w:p>
      <w:pPr>
        <w:tabs>
          <w:tab w:pos="8504" w:val="right" w:leader="dot"/>
        </w:tabs>
        <w:spacing w:after="40" w:before="0"/>
        <w:ind w:left="454"/>
        <w:jc w:val="left"/>
      </w:pPr>
      <w:r>
        <w:rPr>
          <w:rFonts w:ascii="Palatino Linotype" w:hAnsi="Palatino Linotype"/>
          <w:b w:val="0"/>
          <w:sz w:val="22"/>
        </w:rPr>
        <w:t>1.6 The Relationship between Multi-Party Authorisation and Patient Consent</w:t>
        <w:tab/>
        <w:t>5</w:t>
      </w:r>
    </w:p>
    <w:p>
      <w:pPr>
        <w:tabs>
          <w:tab w:pos="8504" w:val="right" w:leader="dot"/>
        </w:tabs>
        <w:spacing w:after="40" w:before="0"/>
        <w:ind w:left="454"/>
        <w:jc w:val="left"/>
      </w:pPr>
      <w:r>
        <w:rPr>
          <w:rFonts w:ascii="Palatino Linotype" w:hAnsi="Palatino Linotype"/>
          <w:b w:val="0"/>
          <w:sz w:val="22"/>
        </w:rPr>
        <w:t>1.7 Purpose of Using Multi-Party Authorisation in Consent Management</w:t>
        <w:tab/>
        <w:t>5</w:t>
      </w:r>
    </w:p>
    <w:p>
      <w:pPr>
        <w:tabs>
          <w:tab w:pos="8504" w:val="right" w:leader="dot"/>
        </w:tabs>
        <w:spacing w:after="40" w:before="0"/>
        <w:ind w:left="454"/>
        <w:jc w:val="left"/>
      </w:pPr>
      <w:r>
        <w:rPr>
          <w:rFonts w:ascii="Palatino Linotype" w:hAnsi="Palatino Linotype"/>
          <w:b w:val="0"/>
          <w:sz w:val="22"/>
        </w:rPr>
        <w:t>1.8 Authorisation Evidence and Auditability</w:t>
        <w:tab/>
        <w:t>5</w:t>
      </w:r>
    </w:p>
    <w:p>
      <w:pPr>
        <w:tabs>
          <w:tab w:pos="8504" w:val="right" w:leader="dot"/>
        </w:tabs>
        <w:spacing w:after="40" w:before="0"/>
        <w:ind w:left="1020"/>
        <w:jc w:val="left"/>
      </w:pPr>
      <w:r>
        <w:rPr>
          <w:rFonts w:ascii="Palatino Linotype" w:hAnsi="Palatino Linotype"/>
          <w:b w:val="0"/>
          <w:sz w:val="22"/>
        </w:rPr>
        <w:t>1.8.1 The Audit Ledger</w:t>
        <w:tab/>
        <w:t>6</w:t>
      </w:r>
    </w:p>
    <w:p>
      <w:pPr>
        <w:tabs>
          <w:tab w:pos="8504" w:val="right" w:leader="dot"/>
        </w:tabs>
        <w:spacing w:after="40" w:before="0"/>
        <w:ind w:left="454"/>
        <w:jc w:val="left"/>
      </w:pPr>
      <w:r>
        <w:rPr>
          <w:rFonts w:ascii="Palatino Linotype" w:hAnsi="Palatino Linotype"/>
          <w:b w:val="0"/>
          <w:sz w:val="22"/>
        </w:rPr>
        <w:t>1.9 Consent Management Systems</w:t>
        <w:tab/>
        <w:t>6</w:t>
      </w:r>
    </w:p>
    <w:p>
      <w:pPr>
        <w:tabs>
          <w:tab w:pos="8504" w:val="right" w:leader="dot"/>
        </w:tabs>
        <w:spacing w:after="40" w:before="0"/>
        <w:ind w:left="454"/>
        <w:jc w:val="left"/>
      </w:pPr>
      <w:r>
        <w:rPr>
          <w:rFonts w:ascii="Palatino Linotype" w:hAnsi="Palatino Linotype"/>
          <w:b w:val="0"/>
          <w:sz w:val="22"/>
        </w:rPr>
        <w:t>1.10 Challenges Faced by Current Consent Management Systems</w:t>
        <w:tab/>
        <w:t>6</w:t>
      </w:r>
    </w:p>
    <w:p>
      <w:pPr>
        <w:tabs>
          <w:tab w:pos="8504" w:val="right" w:leader="dot"/>
        </w:tabs>
        <w:spacing w:after="40" w:before="0"/>
        <w:ind w:left="454"/>
        <w:jc w:val="left"/>
      </w:pPr>
      <w:r>
        <w:rPr>
          <w:rFonts w:ascii="Palatino Linotype" w:hAnsi="Palatino Linotype"/>
          <w:b w:val="0"/>
          <w:sz w:val="22"/>
        </w:rPr>
        <w:t>1.11 Research Contribution</w:t>
        <w:tab/>
        <w:t>6</w:t>
      </w:r>
    </w:p>
    <w:p>
      <w:pPr>
        <w:tabs>
          <w:tab w:pos="8504" w:val="right" w:leader="dot"/>
        </w:tabs>
        <w:spacing w:after="40" w:before="0"/>
        <w:ind w:left="1020"/>
        <w:jc w:val="left"/>
      </w:pPr>
      <w:r>
        <w:rPr>
          <w:rFonts w:ascii="Palatino Linotype" w:hAnsi="Palatino Linotype"/>
          <w:b w:val="0"/>
          <w:sz w:val="22"/>
        </w:rPr>
        <w:t>1.11.1 Scientific Contribution</w:t>
        <w:tab/>
        <w:t>6</w:t>
      </w:r>
    </w:p>
    <w:p>
      <w:pPr>
        <w:tabs>
          <w:tab w:pos="8504" w:val="right" w:leader="dot"/>
        </w:tabs>
        <w:spacing w:after="40" w:before="0"/>
        <w:ind w:left="1020"/>
        <w:jc w:val="left"/>
      </w:pPr>
      <w:r>
        <w:rPr>
          <w:rFonts w:ascii="Palatino Linotype" w:hAnsi="Palatino Linotype"/>
          <w:b w:val="0"/>
          <w:sz w:val="22"/>
        </w:rPr>
        <w:t>1.11.2 Social Contribution</w:t>
        <w:tab/>
        <w:t>7</w:t>
      </w:r>
    </w:p>
    <w:p>
      <w:pPr>
        <w:tabs>
          <w:tab w:pos="8504" w:val="right" w:leader="dot"/>
        </w:tabs>
        <w:spacing w:after="40" w:before="0"/>
        <w:ind w:left="454"/>
        <w:jc w:val="left"/>
      </w:pPr>
      <w:r>
        <w:rPr>
          <w:rFonts w:ascii="Palatino Linotype" w:hAnsi="Palatino Linotype"/>
          <w:b w:val="0"/>
          <w:sz w:val="22"/>
        </w:rPr>
        <w:t>1.12 Thesis Plan</w:t>
        <w:tab/>
        <w:t>7</w:t>
      </w:r>
    </w:p>
    <w:p>
      <w:pPr>
        <w:tabs>
          <w:tab w:pos="8504" w:val="right" w:leader="dot"/>
        </w:tabs>
        <w:spacing w:after="40" w:before="0"/>
        <w:ind w:left="454"/>
        <w:jc w:val="left"/>
      </w:pPr>
      <w:r>
        <w:rPr>
          <w:rFonts w:ascii="Palatino Linotype" w:hAnsi="Palatino Linotype"/>
          <w:b w:val="0"/>
          <w:sz w:val="22"/>
        </w:rPr>
        <w:t>1.13 Conclusion</w:t>
        <w:tab/>
        <w:t>7</w:t>
      </w:r>
    </w:p>
    <w:p>
      <w:pPr>
        <w:tabs>
          <w:tab w:pos="8504" w:val="right" w:leader="dot"/>
        </w:tabs>
        <w:spacing w:after="120" w:before="160"/>
        <w:ind w:left="0"/>
        <w:jc w:val="left"/>
      </w:pPr>
      <w:r>
        <w:rPr>
          <w:rFonts w:ascii="Palatino Linotype" w:hAnsi="Palatino Linotype"/>
          <w:b/>
          <w:sz w:val="22"/>
        </w:rPr>
        <w:t>2 A Systematic Literature Review</w:t>
        <w:tab/>
        <w:t>9</w:t>
      </w:r>
    </w:p>
    <w:p>
      <w:pPr>
        <w:tabs>
          <w:tab w:pos="8504" w:val="right" w:leader="dot"/>
        </w:tabs>
        <w:spacing w:after="40" w:before="0"/>
        <w:ind w:left="454"/>
        <w:jc w:val="left"/>
      </w:pPr>
      <w:r>
        <w:rPr>
          <w:rFonts w:ascii="Palatino Linotype" w:hAnsi="Palatino Linotype"/>
          <w:b w:val="0"/>
          <w:sz w:val="22"/>
        </w:rPr>
        <w:t>2.1 Introduction</w:t>
        <w:tab/>
        <w:t>9</w:t>
      </w:r>
    </w:p>
    <w:p>
      <w:pPr>
        <w:tabs>
          <w:tab w:pos="8504" w:val="right" w:leader="dot"/>
        </w:tabs>
        <w:spacing w:after="40" w:before="0"/>
        <w:ind w:left="454"/>
        <w:jc w:val="left"/>
      </w:pPr>
      <w:r>
        <w:rPr>
          <w:rFonts w:ascii="Palatino Linotype" w:hAnsi="Palatino Linotype"/>
          <w:b w:val="0"/>
          <w:sz w:val="22"/>
        </w:rPr>
        <w:t>2.2 Key Requirements for Trustworthy Multi-Party Consent Authorisation</w:t>
        <w:tab/>
        <w:t>9</w:t>
      </w:r>
    </w:p>
    <w:p>
      <w:pPr>
        <w:tabs>
          <w:tab w:pos="8504" w:val="right" w:leader="dot"/>
        </w:tabs>
        <w:spacing w:after="40" w:before="0"/>
        <w:ind w:left="1020"/>
        <w:jc w:val="left"/>
      </w:pPr>
      <w:r>
        <w:rPr>
          <w:rFonts w:ascii="Palatino Linotype" w:hAnsi="Palatino Linotype"/>
          <w:b w:val="0"/>
          <w:sz w:val="22"/>
        </w:rPr>
        <w:t>2.2.1 Req 1: Representation of consent as an evaluable authorisation object</w:t>
        <w:tab/>
        <w:t>10</w:t>
      </w:r>
    </w:p>
    <w:p>
      <w:pPr>
        <w:tabs>
          <w:tab w:pos="8504" w:val="right" w:leader="dot"/>
        </w:tabs>
        <w:spacing w:after="40" w:before="0"/>
        <w:ind w:left="1020"/>
        <w:jc w:val="left"/>
      </w:pPr>
      <w:r>
        <w:rPr>
          <w:rFonts w:ascii="Palatino Linotype" w:hAnsi="Palatino Linotype"/>
          <w:b w:val="0"/>
          <w:sz w:val="22"/>
        </w:rPr>
        <w:t>2.2.2 Req 2: Decentralised verification of identity and authority</w:t>
        <w:tab/>
        <w:t>10</w:t>
      </w:r>
    </w:p>
    <w:p>
      <w:pPr>
        <w:tabs>
          <w:tab w:pos="8504" w:val="right" w:leader="dot"/>
        </w:tabs>
        <w:spacing w:after="40" w:before="0"/>
        <w:ind w:left="1020"/>
        <w:jc w:val="left"/>
      </w:pPr>
      <w:r>
        <w:rPr>
          <w:rFonts w:ascii="Palatino Linotype" w:hAnsi="Palatino Linotype"/>
          <w:b w:val="0"/>
          <w:sz w:val="22"/>
        </w:rPr>
        <w:t>2.2.3 Req 3: Multi-party authorisation through a verifiable threshold</w:t>
        <w:tab/>
        <w:t>10</w:t>
      </w:r>
    </w:p>
    <w:p>
      <w:pPr>
        <w:tabs>
          <w:tab w:pos="8504" w:val="right" w:leader="dot"/>
        </w:tabs>
        <w:spacing w:after="40" w:before="0"/>
        <w:ind w:left="1020"/>
        <w:jc w:val="left"/>
      </w:pPr>
      <w:r>
        <w:rPr>
          <w:rFonts w:ascii="Palatino Linotype" w:hAnsi="Palatino Linotype"/>
          <w:b w:val="0"/>
          <w:sz w:val="22"/>
        </w:rPr>
        <w:t>2.2.4 Req 4: Policy- and context-aware enforcement at the time of access</w:t>
        <w:tab/>
        <w:t>10</w:t>
      </w:r>
    </w:p>
    <w:p>
      <w:pPr>
        <w:tabs>
          <w:tab w:pos="8504" w:val="right" w:leader="dot"/>
        </w:tabs>
        <w:spacing w:after="40" w:before="0"/>
        <w:ind w:left="1020"/>
        <w:jc w:val="left"/>
      </w:pPr>
      <w:r>
        <w:rPr>
          <w:rFonts w:ascii="Palatino Linotype" w:hAnsi="Palatino Linotype"/>
          <w:b w:val="0"/>
          <w:sz w:val="22"/>
        </w:rPr>
        <w:t>2.2.5 Req 5: Temporal validity and lifecycle control of consent</w:t>
        <w:tab/>
        <w:t>10</w:t>
      </w:r>
    </w:p>
    <w:p>
      <w:pPr>
        <w:tabs>
          <w:tab w:pos="8504" w:val="right" w:leader="dot"/>
        </w:tabs>
        <w:spacing w:after="40" w:before="0"/>
        <w:ind w:left="1020"/>
        <w:jc w:val="left"/>
      </w:pPr>
      <w:r>
        <w:rPr>
          <w:rFonts w:ascii="Palatino Linotype" w:hAnsi="Palatino Linotype"/>
          <w:b w:val="0"/>
          <w:sz w:val="22"/>
        </w:rPr>
        <w:t>2.2.6 Req 6: Verifiable auditability and security assurance</w:t>
        <w:tab/>
        <w:t>10</w:t>
      </w:r>
    </w:p>
    <w:p>
      <w:pPr>
        <w:tabs>
          <w:tab w:pos="8504" w:val="right" w:leader="dot"/>
        </w:tabs>
        <w:spacing w:after="40" w:before="0"/>
        <w:ind w:left="454"/>
        <w:jc w:val="left"/>
      </w:pPr>
      <w:r>
        <w:rPr>
          <w:rFonts w:ascii="Palatino Linotype" w:hAnsi="Palatino Linotype"/>
          <w:b w:val="0"/>
          <w:sz w:val="22"/>
        </w:rPr>
        <w:t>2.3 Process Adopted for Shortlisting the Papers for SLR</w:t>
        <w:tab/>
        <w:t>11</w:t>
      </w:r>
    </w:p>
    <w:p>
      <w:pPr>
        <w:tabs>
          <w:tab w:pos="8504" w:val="right" w:leader="dot"/>
        </w:tabs>
        <w:spacing w:after="40" w:before="0"/>
        <w:ind w:left="1020"/>
        <w:jc w:val="left"/>
      </w:pPr>
      <w:r>
        <w:rPr>
          <w:rFonts w:ascii="Palatino Linotype" w:hAnsi="Palatino Linotype"/>
          <w:b w:val="0"/>
          <w:sz w:val="22"/>
        </w:rPr>
        <w:t>2.3.1 Step 1: Criteria for Searching the Literature</w:t>
        <w:tab/>
        <w:t>11</w:t>
      </w:r>
    </w:p>
    <w:p>
      <w:pPr>
        <w:tabs>
          <w:tab w:pos="8504" w:val="right" w:leader="dot"/>
        </w:tabs>
        <w:spacing w:after="40" w:before="0"/>
        <w:ind w:left="1020"/>
        <w:jc w:val="left"/>
      </w:pPr>
      <w:r>
        <w:rPr>
          <w:rFonts w:ascii="Palatino Linotype" w:hAnsi="Palatino Linotype"/>
          <w:b w:val="0"/>
          <w:sz w:val="22"/>
        </w:rPr>
        <w:t>2.3.2 Step 2: Inclusion and Exclusion Criteria</w:t>
        <w:tab/>
        <w:t>12</w:t>
      </w:r>
    </w:p>
    <w:p>
      <w:pPr>
        <w:tabs>
          <w:tab w:pos="8504" w:val="right" w:leader="dot"/>
        </w:tabs>
        <w:spacing w:after="40" w:before="0"/>
        <w:ind w:left="1020"/>
        <w:jc w:val="left"/>
      </w:pPr>
      <w:r>
        <w:rPr>
          <w:rFonts w:ascii="Palatino Linotype" w:hAnsi="Palatino Linotype"/>
          <w:b w:val="0"/>
          <w:sz w:val="22"/>
        </w:rPr>
        <w:t>2.3.3 Step 3: Quality Evaluation</w:t>
        <w:tab/>
        <w:t>13</w:t>
      </w:r>
    </w:p>
    <w:p>
      <w:pPr>
        <w:tabs>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14</w:t>
      </w:r>
    </w:p>
    <w:p>
      <w:pPr>
        <w:tabs>
          <w:tab w:pos="8504" w:val="right" w:leader="dot"/>
        </w:tabs>
        <w:spacing w:after="40" w:before="0"/>
        <w:ind w:left="454"/>
        <w:jc w:val="left"/>
      </w:pPr>
      <w:r>
        <w:rPr>
          <w:rFonts w:ascii="Palatino Linotype" w:hAnsi="Palatino Linotype"/>
          <w:b w:val="0"/>
          <w:sz w:val="22"/>
        </w:rPr>
        <w:t>2.4 Summary of Papers Shortlisted in the SLR</w:t>
        <w:tab/>
        <w:t>15</w:t>
      </w:r>
    </w:p>
    <w:p>
      <w:pPr>
        <w:tabs>
          <w:tab w:pos="8504" w:val="right" w:leader="dot"/>
        </w:tabs>
        <w:spacing w:after="40" w:before="0"/>
        <w:ind w:left="1020"/>
        <w:jc w:val="left"/>
      </w:pPr>
      <w:r>
        <w:rPr>
          <w:rFonts w:ascii="Palatino Linotype" w:hAnsi="Palatino Linotype"/>
          <w:b w:val="0"/>
          <w:sz w:val="22"/>
        </w:rPr>
        <w:t>2.4.1 Consent representation and blockchain-based consent governance (Req 1)</w:t>
        <w:tab/>
        <w:t>16</w:t>
      </w:r>
    </w:p>
    <w:p>
      <w:pPr>
        <w:tabs>
          <w:tab w:pos="8504" w:val="right" w:leader="dot"/>
        </w:tabs>
        <w:spacing w:after="40" w:before="0"/>
        <w:ind w:left="1020"/>
        <w:jc w:val="left"/>
      </w:pPr>
      <w:r>
        <w:rPr>
          <w:rFonts w:ascii="Palatino Linotype" w:hAnsi="Palatino Linotype"/>
          <w:b w:val="0"/>
          <w:sz w:val="22"/>
        </w:rPr>
        <w:t>2.4.2 Decentralised identity and authority trust (Req 2)</w:t>
        <w:tab/>
        <w:t>16</w:t>
      </w:r>
    </w:p>
    <w:p>
      <w:pPr>
        <w:tabs>
          <w:tab w:pos="8504" w:val="right" w:leader="dot"/>
        </w:tabs>
        <w:spacing w:after="40" w:before="0"/>
        <w:ind w:left="1020"/>
        <w:jc w:val="left"/>
      </w:pPr>
      <w:r>
        <w:rPr>
          <w:rFonts w:ascii="Palatino Linotype" w:hAnsi="Palatino Linotype"/>
          <w:b w:val="0"/>
          <w:sz w:val="22"/>
        </w:rPr>
        <w:t>2.4.3 Multi-party authorisation and collaborative consent (Req 3)</w:t>
        <w:tab/>
        <w:t>17</w:t>
      </w:r>
    </w:p>
    <w:p>
      <w:pPr>
        <w:tabs>
          <w:tab w:pos="8504" w:val="right" w:leader="dot"/>
        </w:tabs>
        <w:spacing w:after="40" w:before="0"/>
        <w:ind w:left="1020"/>
        <w:jc w:val="left"/>
      </w:pPr>
      <w:r>
        <w:rPr>
          <w:rFonts w:ascii="Palatino Linotype" w:hAnsi="Palatino Linotype"/>
          <w:b w:val="0"/>
          <w:sz w:val="22"/>
        </w:rPr>
        <w:t>2.4.4 Policy- and context-aware access control (Req 4)</w:t>
        <w:tab/>
        <w:t>20</w:t>
      </w:r>
    </w:p>
    <w:p>
      <w:pPr>
        <w:tabs>
          <w:tab w:pos="8504" w:val="right" w:leader="dot"/>
        </w:tabs>
        <w:spacing w:after="40" w:before="0"/>
        <w:ind w:left="1020"/>
        <w:jc w:val="left"/>
      </w:pPr>
      <w:r>
        <w:rPr>
          <w:rFonts w:ascii="Palatino Linotype" w:hAnsi="Palatino Linotype"/>
          <w:b w:val="0"/>
          <w:sz w:val="22"/>
        </w:rPr>
        <w:t>2.4.5 Temporal validity and consent lifecycle (Req 5)</w:t>
        <w:tab/>
        <w:t>20</w:t>
      </w:r>
    </w:p>
    <w:p>
      <w:pPr>
        <w:tabs>
          <w:tab w:pos="8504" w:val="right" w:leader="dot"/>
        </w:tabs>
        <w:spacing w:after="40" w:before="0"/>
        <w:ind w:left="1020"/>
        <w:jc w:val="left"/>
      </w:pPr>
      <w:r>
        <w:rPr>
          <w:rFonts w:ascii="Palatino Linotype" w:hAnsi="Palatino Linotype"/>
          <w:b w:val="0"/>
          <w:sz w:val="22"/>
        </w:rPr>
        <w:t>2.4.6 Formal security assurance and empirical validation (Req 6)</w:t>
        <w:tab/>
        <w:t>21</w:t>
      </w:r>
    </w:p>
    <w:p>
      <w:pPr>
        <w:tabs>
          <w:tab w:pos="8504" w:val="right" w:leader="dot"/>
        </w:tabs>
        <w:spacing w:after="40" w:before="0"/>
        <w:ind w:left="1020"/>
        <w:jc w:val="left"/>
      </w:pPr>
      <w:r>
        <w:rPr>
          <w:rFonts w:ascii="Palatino Linotype" w:hAnsi="Palatino Linotype"/>
          <w:b w:val="0"/>
          <w:sz w:val="22"/>
        </w:rPr>
        <w:t>2.4.7 Research Gaps in the Existing Studies from the Requirement Perspective</w:t>
        <w:tab/>
        <w:t>22</w:t>
      </w:r>
    </w:p>
    <w:p>
      <w:pPr>
        <w:tabs>
          <w:tab w:pos="8504" w:val="right" w:leader="dot"/>
        </w:tabs>
        <w:spacing w:after="40" w:before="0"/>
        <w:ind w:left="454"/>
        <w:jc w:val="left"/>
      </w:pPr>
      <w:r>
        <w:rPr>
          <w:rFonts w:ascii="Palatino Linotype" w:hAnsi="Palatino Linotype"/>
          <w:b w:val="0"/>
          <w:sz w:val="22"/>
        </w:rPr>
        <w:t>2.5 Trust-Oriented Multi-Party Consent Authorisation Framework</w:t>
        <w:tab/>
        <w:t>27</w:t>
      </w:r>
    </w:p>
    <w:p>
      <w:pPr>
        <w:tabs>
          <w:tab w:pos="8504" w:val="right" w:leader="dot"/>
        </w:tabs>
        <w:spacing w:after="40" w:before="0"/>
        <w:ind w:left="1020"/>
        <w:jc w:val="left"/>
      </w:pPr>
      <w:r>
        <w:rPr>
          <w:rFonts w:ascii="Palatino Linotype" w:hAnsi="Palatino Linotype"/>
          <w:b w:val="0"/>
          <w:sz w:val="22"/>
        </w:rPr>
        <w:t>2.5.1 Representation of Consent as an Evaluable Authorisation Object (Req 1)</w:t>
        <w:tab/>
        <w:t>27</w:t>
      </w:r>
    </w:p>
    <w:p>
      <w:pPr>
        <w:tabs>
          <w:tab w:pos="8504" w:val="right" w:leader="dot"/>
        </w:tabs>
        <w:spacing w:after="40" w:before="0"/>
        <w:ind w:left="1020"/>
        <w:jc w:val="left"/>
      </w:pPr>
      <w:r>
        <w:rPr>
          <w:rFonts w:ascii="Palatino Linotype" w:hAnsi="Palatino Linotype"/>
          <w:b w:val="0"/>
          <w:sz w:val="22"/>
        </w:rPr>
        <w:t>2.5.2 Decentralised Verification of Identity and Authority (Req 2)</w:t>
        <w:tab/>
        <w:t>27</w:t>
      </w:r>
    </w:p>
    <w:p>
      <w:pPr>
        <w:tabs>
          <w:tab w:pos="8504" w:val="right" w:leader="dot"/>
        </w:tabs>
        <w:spacing w:after="40" w:before="0"/>
        <w:ind w:left="1020"/>
        <w:jc w:val="left"/>
      </w:pPr>
      <w:r>
        <w:rPr>
          <w:rFonts w:ascii="Palatino Linotype" w:hAnsi="Palatino Linotype"/>
          <w:b w:val="0"/>
          <w:sz w:val="22"/>
        </w:rPr>
        <w:t>2.5.3 Multi-Party Authorisation through a Verifiable Threshold (Req 3)</w:t>
        <w:tab/>
        <w:t>27</w:t>
      </w:r>
    </w:p>
    <w:p>
      <w:pPr>
        <w:tabs>
          <w:tab w:pos="8504" w:val="right" w:leader="dot"/>
        </w:tabs>
        <w:spacing w:after="40" w:before="0"/>
        <w:ind w:left="1020"/>
        <w:jc w:val="left"/>
      </w:pPr>
      <w:r>
        <w:rPr>
          <w:rFonts w:ascii="Palatino Linotype" w:hAnsi="Palatino Linotype"/>
          <w:b w:val="0"/>
          <w:sz w:val="22"/>
        </w:rPr>
        <w:t>2.5.4 Policy- and Context-Aware Enforcement at the Time of Access (Req 4)</w:t>
        <w:tab/>
        <w:t>27</w:t>
      </w:r>
    </w:p>
    <w:p>
      <w:pPr>
        <w:tabs>
          <w:tab w:pos="8504" w:val="right" w:leader="dot"/>
        </w:tabs>
        <w:spacing w:after="40" w:before="0"/>
        <w:ind w:left="1020"/>
        <w:jc w:val="left"/>
      </w:pPr>
      <w:r>
        <w:rPr>
          <w:rFonts w:ascii="Palatino Linotype" w:hAnsi="Palatino Linotype"/>
          <w:b w:val="0"/>
          <w:sz w:val="22"/>
        </w:rPr>
        <w:t>2.5.5 Temporal Validity and Lifecycle Control of Consent (Req 5)</w:t>
        <w:tab/>
        <w:t>27</w:t>
      </w:r>
    </w:p>
    <w:p>
      <w:pPr>
        <w:tabs>
          <w:tab w:pos="8504" w:val="right" w:leader="dot"/>
        </w:tabs>
        <w:spacing w:after="40" w:before="0"/>
        <w:ind w:left="1020"/>
        <w:jc w:val="left"/>
      </w:pPr>
      <w:r>
        <w:rPr>
          <w:rFonts w:ascii="Palatino Linotype" w:hAnsi="Palatino Linotype"/>
          <w:b w:val="0"/>
          <w:sz w:val="22"/>
        </w:rPr>
        <w:t>2.5.6 Verifiable Auditability and Security Assurance (Req 6)</w:t>
        <w:tab/>
        <w:t>27</w:t>
      </w:r>
    </w:p>
    <w:p>
      <w:pPr>
        <w:tabs>
          <w:tab w:pos="8504" w:val="right" w:leader="dot"/>
        </w:tabs>
        <w:spacing w:after="40" w:before="0"/>
        <w:ind w:left="454"/>
        <w:jc w:val="left"/>
      </w:pPr>
      <w:r>
        <w:rPr>
          <w:rFonts w:ascii="Palatino Linotype" w:hAnsi="Palatino Linotype"/>
          <w:b w:val="0"/>
          <w:sz w:val="22"/>
        </w:rPr>
        <w:t>2.6 Conclusion</w:t>
        <w:tab/>
        <w:t>27</w:t>
      </w:r>
    </w:p>
    <w:p>
      <w:pPr>
        <w:tabs>
          <w:tab w:pos="8504" w:val="right" w:leader="dot"/>
        </w:tabs>
        <w:spacing w:after="120" w:before="160"/>
        <w:ind w:left="0"/>
        <w:jc w:val="left"/>
      </w:pPr>
      <w:r>
        <w:rPr>
          <w:rFonts w:ascii="Palatino Linotype" w:hAnsi="Palatino Linotype"/>
          <w:b/>
          <w:sz w:val="22"/>
        </w:rPr>
        <w:t>3 Research Questions and Objectives</w:t>
        <w:tab/>
        <w:t>29</w:t>
      </w:r>
    </w:p>
    <w:p>
      <w:pPr>
        <w:tabs>
          <w:tab w:pos="8504" w:val="right" w:leader="dot"/>
        </w:tabs>
        <w:spacing w:after="40" w:before="0"/>
        <w:ind w:left="454"/>
        <w:jc w:val="left"/>
      </w:pPr>
      <w:r>
        <w:rPr>
          <w:rFonts w:ascii="Palatino Linotype" w:hAnsi="Palatino Linotype"/>
          <w:b w:val="0"/>
          <w:sz w:val="22"/>
        </w:rPr>
        <w:t>3.1 Introduction</w:t>
        <w:tab/>
        <w:t>29</w:t>
      </w:r>
    </w:p>
    <w:p>
      <w:pPr>
        <w:tabs>
          <w:tab w:pos="8504" w:val="right" w:leader="dot"/>
        </w:tabs>
        <w:spacing w:after="40" w:before="0"/>
        <w:ind w:left="454"/>
        <w:jc w:val="left"/>
      </w:pPr>
      <w:r>
        <w:rPr>
          <w:rFonts w:ascii="Palatino Linotype" w:hAnsi="Palatino Linotype"/>
          <w:b w:val="0"/>
          <w:sz w:val="22"/>
        </w:rPr>
        <w:t>3.2 Gaps in the Literature</w:t>
        <w:tab/>
        <w:t>29</w:t>
      </w:r>
    </w:p>
    <w:p>
      <w:pPr>
        <w:tabs>
          <w:tab w:pos="8504" w:val="right" w:leader="dot"/>
        </w:tabs>
        <w:spacing w:after="40" w:before="0"/>
        <w:ind w:left="454"/>
        <w:jc w:val="left"/>
      </w:pPr>
      <w:r>
        <w:rPr>
          <w:rFonts w:ascii="Palatino Linotype" w:hAnsi="Palatino Linotype"/>
          <w:b w:val="0"/>
          <w:sz w:val="22"/>
        </w:rPr>
        <w:t>3.3 Key Definitions</w:t>
        <w:tab/>
        <w:t>30</w:t>
      </w:r>
    </w:p>
    <w:p>
      <w:pPr>
        <w:tabs>
          <w:tab w:pos="8504" w:val="right" w:leader="dot"/>
        </w:tabs>
        <w:spacing w:after="40" w:before="0"/>
        <w:ind w:left="454"/>
        <w:jc w:val="left"/>
      </w:pPr>
      <w:r>
        <w:rPr>
          <w:rFonts w:ascii="Palatino Linotype" w:hAnsi="Palatino Linotype"/>
          <w:b w:val="0"/>
          <w:sz w:val="22"/>
        </w:rPr>
        <w:t>3.4 Research Questions</w:t>
        <w:tab/>
        <w:t>30</w:t>
      </w:r>
    </w:p>
    <w:p>
      <w:pPr>
        <w:tabs>
          <w:tab w:pos="8504" w:val="right" w:leader="dot"/>
        </w:tabs>
        <w:spacing w:after="40" w:before="0"/>
        <w:ind w:left="1020"/>
        <w:jc w:val="left"/>
      </w:pPr>
      <w:r>
        <w:rPr>
          <w:rFonts w:ascii="Palatino Linotype" w:hAnsi="Palatino Linotype"/>
          <w:b w:val="0"/>
          <w:sz w:val="22"/>
        </w:rPr>
        <w:t>3.4.1 Research Questions as an Integrated Problem</w:t>
        <w:tab/>
        <w:t>31</w:t>
      </w:r>
    </w:p>
    <w:p>
      <w:pPr>
        <w:tabs>
          <w:tab w:pos="8504" w:val="right" w:leader="dot"/>
        </w:tabs>
        <w:spacing w:after="40" w:before="0"/>
        <w:ind w:left="454"/>
        <w:jc w:val="left"/>
      </w:pPr>
      <w:r>
        <w:rPr>
          <w:rFonts w:ascii="Palatino Linotype" w:hAnsi="Palatino Linotype"/>
          <w:b w:val="0"/>
          <w:sz w:val="22"/>
        </w:rPr>
        <w:t>3.5 Research Objectives</w:t>
        <w:tab/>
        <w:t>31</w:t>
      </w:r>
    </w:p>
    <w:p>
      <w:pPr>
        <w:tabs>
          <w:tab w:pos="8504" w:val="right" w:leader="dot"/>
        </w:tabs>
        <w:spacing w:after="40" w:before="0"/>
        <w:ind w:left="1020"/>
        <w:jc w:val="left"/>
      </w:pPr>
      <w:r>
        <w:rPr>
          <w:rFonts w:ascii="Palatino Linotype" w:hAnsi="Palatino Linotype"/>
          <w:b w:val="0"/>
          <w:sz w:val="22"/>
        </w:rPr>
        <w:t>3.5.1 RO1: Trust-Centric Consent Model</w:t>
        <w:tab/>
        <w:t>31</w:t>
      </w:r>
    </w:p>
    <w:p>
      <w:pPr>
        <w:tabs>
          <w:tab w:pos="8504" w:val="right" w:leader="dot"/>
        </w:tabs>
        <w:spacing w:after="40" w:before="0"/>
        <w:ind w:left="1020"/>
        <w:jc w:val="left"/>
      </w:pPr>
      <w:r>
        <w:rPr>
          <w:rFonts w:ascii="Palatino Linotype" w:hAnsi="Palatino Linotype"/>
          <w:b w:val="0"/>
          <w:sz w:val="22"/>
        </w:rPr>
        <w:t>3.5.2 RO2: Decentralised Identity and Authority Trust</w:t>
        <w:tab/>
        <w:t>32</w:t>
      </w:r>
    </w:p>
    <w:p>
      <w:pPr>
        <w:tabs>
          <w:tab w:pos="8504" w:val="right" w:leader="dot"/>
        </w:tabs>
        <w:spacing w:after="40" w:before="0"/>
        <w:ind w:left="1020"/>
        <w:jc w:val="left"/>
      </w:pPr>
      <w:r>
        <w:rPr>
          <w:rFonts w:ascii="Palatino Linotype" w:hAnsi="Palatino Linotype"/>
          <w:b w:val="0"/>
          <w:sz w:val="22"/>
        </w:rPr>
        <w:t>3.5.3 RO3: Trustworthy Multi-Party Authorisation</w:t>
        <w:tab/>
        <w:t>32</w:t>
      </w:r>
    </w:p>
    <w:p>
      <w:pPr>
        <w:tabs>
          <w:tab w:pos="8504" w:val="right" w:leader="dot"/>
        </w:tabs>
        <w:spacing w:after="40" w:before="0"/>
        <w:ind w:left="1020"/>
        <w:jc w:val="left"/>
      </w:pPr>
      <w:r>
        <w:rPr>
          <w:rFonts w:ascii="Palatino Linotype" w:hAnsi="Palatino Linotype"/>
          <w:b w:val="0"/>
          <w:sz w:val="22"/>
        </w:rPr>
        <w:t>3.5.4 RO4: Policy- and Context-Aware Access Control</w:t>
        <w:tab/>
        <w:t>32</w:t>
      </w:r>
    </w:p>
    <w:p>
      <w:pPr>
        <w:tabs>
          <w:tab w:pos="8504" w:val="right" w:leader="dot"/>
        </w:tabs>
        <w:spacing w:after="40" w:before="0"/>
        <w:ind w:left="1020"/>
        <w:jc w:val="left"/>
      </w:pPr>
      <w:r>
        <w:rPr>
          <w:rFonts w:ascii="Palatino Linotype" w:hAnsi="Palatino Linotype"/>
          <w:b w:val="0"/>
          <w:sz w:val="22"/>
        </w:rPr>
        <w:t>3.5.5 RO5: Temporal and Lifecycle Trust</w:t>
        <w:tab/>
        <w:t>32</w:t>
      </w:r>
    </w:p>
    <w:p>
      <w:pPr>
        <w:tabs>
          <w:tab w:pos="8504" w:val="right" w:leader="dot"/>
        </w:tabs>
        <w:spacing w:after="40" w:before="0"/>
        <w:ind w:left="1020"/>
        <w:jc w:val="left"/>
      </w:pPr>
      <w:r>
        <w:rPr>
          <w:rFonts w:ascii="Palatino Linotype" w:hAnsi="Palatino Linotype"/>
          <w:b w:val="0"/>
          <w:sz w:val="22"/>
        </w:rPr>
        <w:t>3.5.6 RO6: Formal Security Assurance and Empirical Validation</w:t>
        <w:tab/>
        <w:t>33</w:t>
      </w:r>
    </w:p>
    <w:p>
      <w:pPr>
        <w:tabs>
          <w:tab w:pos="8504" w:val="right" w:leader="dot"/>
        </w:tabs>
        <w:spacing w:after="40" w:before="0"/>
        <w:ind w:left="1020"/>
        <w:jc w:val="left"/>
      </w:pPr>
      <w:r>
        <w:rPr>
          <w:rFonts w:ascii="Palatino Linotype" w:hAnsi="Palatino Linotype"/>
          <w:b w:val="0"/>
          <w:sz w:val="22"/>
        </w:rPr>
        <w:t>3.5.7 Relationship Between Research Questions and Objectives</w:t>
        <w:tab/>
        <w:t>33</w:t>
      </w:r>
    </w:p>
    <w:p>
      <w:pPr>
        <w:tabs>
          <w:tab w:pos="8504" w:val="right" w:leader="dot"/>
        </w:tabs>
        <w:spacing w:after="40" w:before="0"/>
        <w:ind w:left="454"/>
        <w:jc w:val="left"/>
      </w:pPr>
      <w:r>
        <w:rPr>
          <w:rFonts w:ascii="Palatino Linotype" w:hAnsi="Palatino Linotype"/>
          <w:b w:val="0"/>
          <w:sz w:val="22"/>
        </w:rPr>
        <w:t>3.6 Conclusion</w:t>
        <w:tab/>
        <w:t>34</w:t>
      </w:r>
    </w:p>
    <w:p>
      <w:pPr>
        <w:tabs>
          <w:tab w:pos="8504" w:val="right" w:leader="dot"/>
        </w:tabs>
        <w:spacing w:after="120" w:before="160"/>
        <w:ind w:left="0"/>
        <w:jc w:val="left"/>
      </w:pPr>
      <w:r>
        <w:rPr>
          <w:rFonts w:ascii="Palatino Linotype" w:hAnsi="Palatino Linotype"/>
          <w:b/>
          <w:sz w:val="22"/>
        </w:rPr>
        <w:t>4 Research Methodology and Solution Overview</w:t>
        <w:tab/>
        <w:t>35</w:t>
      </w:r>
    </w:p>
    <w:p>
      <w:pPr>
        <w:tabs>
          <w:tab w:pos="8504" w:val="right" w:leader="dot"/>
        </w:tabs>
        <w:spacing w:after="40" w:before="0"/>
        <w:ind w:left="454"/>
        <w:jc w:val="left"/>
      </w:pPr>
      <w:r>
        <w:rPr>
          <w:rFonts w:ascii="Palatino Linotype" w:hAnsi="Palatino Linotype"/>
          <w:b w:val="0"/>
          <w:sz w:val="22"/>
        </w:rPr>
        <w:t>4.1 Introduction</w:t>
        <w:tab/>
        <w:t>35</w:t>
      </w:r>
    </w:p>
    <w:p>
      <w:pPr>
        <w:tabs>
          <w:tab w:pos="8504" w:val="right" w:leader="dot"/>
        </w:tabs>
        <w:spacing w:after="40" w:before="0"/>
        <w:ind w:left="454"/>
        <w:jc w:val="left"/>
      </w:pPr>
      <w:r>
        <w:rPr>
          <w:rFonts w:ascii="Palatino Linotype" w:hAnsi="Palatino Linotype"/>
          <w:b w:val="0"/>
          <w:sz w:val="22"/>
        </w:rPr>
        <w:t>4.2 Key Definitions</w:t>
        <w:tab/>
        <w:t>35</w:t>
      </w:r>
    </w:p>
    <w:p>
      <w:pPr>
        <w:tabs>
          <w:tab w:pos="8504" w:val="right" w:leader="dot"/>
        </w:tabs>
        <w:spacing w:after="40" w:before="0"/>
        <w:ind w:left="454"/>
        <w:jc w:val="left"/>
      </w:pPr>
      <w:r>
        <w:rPr>
          <w:rFonts w:ascii="Palatino Linotype" w:hAnsi="Palatino Linotype"/>
          <w:b w:val="0"/>
          <w:sz w:val="22"/>
        </w:rPr>
        <w:t>4.3 Selected Research Methodology</w:t>
        <w:tab/>
        <w:t>36</w:t>
      </w:r>
    </w:p>
    <w:p>
      <w:pPr>
        <w:tabs>
          <w:tab w:pos="8504" w:val="right" w:leader="dot"/>
        </w:tabs>
        <w:spacing w:after="40" w:before="0"/>
        <w:ind w:left="454"/>
        <w:jc w:val="left"/>
      </w:pPr>
      <w:r>
        <w:rPr>
          <w:rFonts w:ascii="Palatino Linotype" w:hAnsi="Palatino Linotype"/>
          <w:b w:val="0"/>
          <w:sz w:val="22"/>
        </w:rPr>
        <w:t>4.4 Solution Overview</w:t>
        <w:tab/>
        <w:t>36</w:t>
      </w:r>
    </w:p>
    <w:p>
      <w:pPr>
        <w:tabs>
          <w:tab w:pos="8504" w:val="right" w:leader="dot"/>
        </w:tabs>
        <w:spacing w:after="40" w:before="0"/>
        <w:ind w:left="454"/>
        <w:jc w:val="left"/>
      </w:pPr>
      <w:r>
        <w:rPr>
          <w:rFonts w:ascii="Palatino Linotype" w:hAnsi="Palatino Linotype"/>
          <w:b w:val="0"/>
          <w:sz w:val="22"/>
        </w:rPr>
        <w:t>4.5 Overview of Solution for RQ1</w:t>
        <w:tab/>
        <w:t>38</w:t>
      </w:r>
    </w:p>
    <w:p>
      <w:pPr>
        <w:tabs>
          <w:tab w:pos="8504" w:val="right" w:leader="dot"/>
        </w:tabs>
        <w:spacing w:after="40" w:before="0"/>
        <w:ind w:left="454"/>
        <w:jc w:val="left"/>
      </w:pPr>
      <w:r>
        <w:rPr>
          <w:rFonts w:ascii="Palatino Linotype" w:hAnsi="Palatino Linotype"/>
          <w:b w:val="0"/>
          <w:sz w:val="22"/>
        </w:rPr>
        <w:t>4.6 Overview of Solution for RQ2</w:t>
        <w:tab/>
        <w:t>39</w:t>
      </w:r>
    </w:p>
    <w:p>
      <w:pPr>
        <w:tabs>
          <w:tab w:pos="8504" w:val="right" w:leader="dot"/>
        </w:tabs>
        <w:spacing w:after="40" w:before="0"/>
        <w:ind w:left="454"/>
        <w:jc w:val="left"/>
      </w:pPr>
      <w:r>
        <w:rPr>
          <w:rFonts w:ascii="Palatino Linotype" w:hAnsi="Palatino Linotype"/>
          <w:b w:val="0"/>
          <w:sz w:val="22"/>
        </w:rPr>
        <w:t>4.7 Overview of Solution for RQ3</w:t>
        <w:tab/>
        <w:t>39</w:t>
      </w:r>
    </w:p>
    <w:p>
      <w:pPr>
        <w:tabs>
          <w:tab w:pos="8504" w:val="right" w:leader="dot"/>
        </w:tabs>
        <w:spacing w:after="40" w:before="0"/>
        <w:ind w:left="454"/>
        <w:jc w:val="left"/>
      </w:pPr>
      <w:r>
        <w:rPr>
          <w:rFonts w:ascii="Palatino Linotype" w:hAnsi="Palatino Linotype"/>
          <w:b w:val="0"/>
          <w:sz w:val="22"/>
        </w:rPr>
        <w:t>4.8 Overview of Solution for RQ4</w:t>
        <w:tab/>
        <w:t>39</w:t>
      </w:r>
    </w:p>
    <w:p>
      <w:pPr>
        <w:tabs>
          <w:tab w:pos="8504" w:val="right" w:leader="dot"/>
        </w:tabs>
        <w:spacing w:after="40" w:before="0"/>
        <w:ind w:left="454"/>
        <w:jc w:val="left"/>
      </w:pPr>
      <w:r>
        <w:rPr>
          <w:rFonts w:ascii="Palatino Linotype" w:hAnsi="Palatino Linotype"/>
          <w:b w:val="0"/>
          <w:sz w:val="22"/>
        </w:rPr>
        <w:t>4.9 Overview of Solution for RQ5</w:t>
        <w:tab/>
        <w:t>40</w:t>
      </w:r>
    </w:p>
    <w:p>
      <w:pPr>
        <w:tabs>
          <w:tab w:pos="8504" w:val="right" w:leader="dot"/>
        </w:tabs>
        <w:spacing w:after="40" w:before="0"/>
        <w:ind w:left="454"/>
        <w:jc w:val="left"/>
      </w:pPr>
      <w:r>
        <w:rPr>
          <w:rFonts w:ascii="Palatino Linotype" w:hAnsi="Palatino Linotype"/>
          <w:b w:val="0"/>
          <w:sz w:val="22"/>
        </w:rPr>
        <w:t>4.10 Overview of Solution for RQ6</w:t>
        <w:tab/>
        <w:t>40</w:t>
      </w:r>
    </w:p>
    <w:p>
      <w:pPr>
        <w:tabs>
          <w:tab w:pos="8504" w:val="right" w:leader="dot"/>
        </w:tabs>
        <w:spacing w:after="40" w:before="0"/>
        <w:ind w:left="1020"/>
        <w:jc w:val="left"/>
      </w:pPr>
      <w:r>
        <w:rPr>
          <w:rFonts w:ascii="Palatino Linotype" w:hAnsi="Palatino Linotype"/>
          <w:b w:val="0"/>
          <w:sz w:val="22"/>
        </w:rPr>
        <w:t>4.10.1 Testing and Verification of the Solution</w:t>
        <w:tab/>
        <w:t>40</w:t>
      </w:r>
    </w:p>
    <w:p>
      <w:pPr>
        <w:tabs>
          <w:tab w:pos="8504" w:val="right" w:leader="dot"/>
        </w:tabs>
        <w:spacing w:after="40" w:before="0"/>
        <w:ind w:left="454"/>
        <w:jc w:val="left"/>
      </w:pPr>
      <w:r>
        <w:rPr>
          <w:rFonts w:ascii="Palatino Linotype" w:hAnsi="Palatino Linotype"/>
          <w:b w:val="0"/>
          <w:sz w:val="22"/>
        </w:rPr>
        <w:t>4.11 Conclusion</w:t>
        <w:tab/>
        <w:t>40</w:t>
      </w:r>
    </w:p>
    <w:p>
      <w:pPr>
        <w:tabs>
          <w:tab w:pos="8504" w:val="right" w:leader="dot"/>
        </w:tabs>
        <w:spacing w:after="120" w:before="160"/>
        <w:ind w:left="0"/>
        <w:jc w:val="left"/>
      </w:pPr>
      <w:r>
        <w:rPr>
          <w:rFonts w:ascii="Palatino Linotype" w:hAnsi="Palatino Linotype"/>
          <w:b/>
          <w:sz w:val="22"/>
        </w:rPr>
        <w:t>5 Research Architecture and Trust-Centric Consent Model</w:t>
        <w:tab/>
        <w:t>42</w:t>
      </w:r>
    </w:p>
    <w:p>
      <w:pPr>
        <w:tabs>
          <w:tab w:pos="8504" w:val="right" w:leader="dot"/>
        </w:tabs>
        <w:spacing w:after="40" w:before="0"/>
        <w:ind w:left="454"/>
        <w:jc w:val="left"/>
      </w:pPr>
      <w:r>
        <w:rPr>
          <w:rFonts w:ascii="Palatino Linotype" w:hAnsi="Palatino Linotype"/>
          <w:b w:val="0"/>
          <w:sz w:val="22"/>
        </w:rPr>
        <w:t>5.1 Introduction</w:t>
        <w:tab/>
        <w:t>42</w:t>
      </w:r>
    </w:p>
    <w:p>
      <w:pPr>
        <w:tabs>
          <w:tab w:pos="8504" w:val="right" w:leader="dot"/>
        </w:tabs>
        <w:spacing w:after="40" w:before="0"/>
        <w:ind w:left="454"/>
        <w:jc w:val="left"/>
      </w:pPr>
      <w:r>
        <w:rPr>
          <w:rFonts w:ascii="Palatino Linotype" w:hAnsi="Palatino Linotype"/>
          <w:b w:val="0"/>
          <w:sz w:val="22"/>
        </w:rPr>
        <w:t>5.2 Layered Architecture and Component Decomposition</w:t>
        <w:tab/>
        <w:t>43</w:t>
      </w:r>
    </w:p>
    <w:p>
      <w:pPr>
        <w:tabs>
          <w:tab w:pos="8504" w:val="right" w:leader="dot"/>
        </w:tabs>
        <w:spacing w:after="40" w:before="0"/>
        <w:ind w:left="454"/>
        <w:jc w:val="left"/>
      </w:pPr>
      <w:r>
        <w:rPr>
          <w:rFonts w:ascii="Palatino Linotype" w:hAnsi="Palatino Linotype"/>
          <w:b w:val="0"/>
          <w:sz w:val="22"/>
        </w:rPr>
        <w:t>5.3 Trust Evaluation and Architectural Boundaries</w:t>
        <w:tab/>
        <w:t>45</w:t>
      </w:r>
    </w:p>
    <w:p>
      <w:pPr>
        <w:tabs>
          <w:tab w:pos="8504" w:val="right" w:leader="dot"/>
        </w:tabs>
        <w:spacing w:after="40" w:before="0"/>
        <w:ind w:left="454"/>
        <w:jc w:val="left"/>
      </w:pPr>
      <w:r>
        <w:rPr>
          <w:rFonts w:ascii="Palatino Linotype" w:hAnsi="Palatino Linotype"/>
          <w:b w:val="0"/>
          <w:sz w:val="22"/>
        </w:rPr>
        <w:t>5.4 MVC Architecture and the Research Objectives</w:t>
        <w:tab/>
        <w:t>47</w:t>
      </w:r>
    </w:p>
    <w:p>
      <w:pPr>
        <w:tabs>
          <w:tab w:pos="8504" w:val="right" w:leader="dot"/>
        </w:tabs>
        <w:spacing w:after="40" w:before="0"/>
        <w:ind w:left="454"/>
        <w:jc w:val="left"/>
      </w:pPr>
      <w:r>
        <w:rPr>
          <w:rFonts w:ascii="Palatino Linotype" w:hAnsi="Palatino Linotype"/>
          <w:b w:val="0"/>
          <w:sz w:val="22"/>
        </w:rPr>
        <w:t>5.5 Trust-Centric Consent Model</w:t>
        <w:tab/>
        <w:t>49</w:t>
      </w:r>
    </w:p>
    <w:p>
      <w:pPr>
        <w:tabs>
          <w:tab w:pos="8504" w:val="right" w:leader="dot"/>
        </w:tabs>
        <w:spacing w:after="40" w:before="0"/>
        <w:ind w:left="1020"/>
        <w:jc w:val="left"/>
      </w:pPr>
      <w:r>
        <w:rPr>
          <w:rFonts w:ascii="Palatino Linotype" w:hAnsi="Palatino Linotype"/>
          <w:b w:val="0"/>
          <w:sz w:val="22"/>
        </w:rPr>
        <w:t>5.5.1 Consent Creation Workflow</w:t>
        <w:tab/>
        <w:t>49</w:t>
      </w:r>
    </w:p>
    <w:p>
      <w:pPr>
        <w:tabs>
          <w:tab w:pos="8504" w:val="right" w:leader="dot"/>
        </w:tabs>
        <w:spacing w:after="40" w:before="0"/>
        <w:ind w:left="1020"/>
        <w:jc w:val="left"/>
      </w:pPr>
      <w:r>
        <w:rPr>
          <w:rFonts w:ascii="Palatino Linotype" w:hAnsi="Palatino Linotype"/>
          <w:b w:val="0"/>
          <w:sz w:val="22"/>
        </w:rPr>
        <w:t>5.5.2 Structure of the Consent Object</w:t>
        <w:tab/>
        <w:t>50</w:t>
      </w:r>
    </w:p>
    <w:p>
      <w:pPr>
        <w:tabs>
          <w:tab w:pos="8504" w:val="right" w:leader="dot"/>
        </w:tabs>
        <w:spacing w:after="40" w:before="0"/>
        <w:ind w:left="1020"/>
        <w:jc w:val="left"/>
      </w:pPr>
      <w:r>
        <w:rPr>
          <w:rFonts w:ascii="Palatino Linotype" w:hAnsi="Palatino Linotype"/>
          <w:b w:val="0"/>
          <w:sz w:val="22"/>
        </w:rPr>
        <w:t>5.5.3 Trust-Aware Consent Creation Procedure and Algorithm</w:t>
        <w:tab/>
        <w:t>51</w:t>
      </w:r>
    </w:p>
    <w:p>
      <w:pPr>
        <w:tabs>
          <w:tab w:pos="8504" w:val="right" w:leader="dot"/>
        </w:tabs>
        <w:spacing w:after="40" w:before="0"/>
        <w:ind w:left="454"/>
        <w:jc w:val="left"/>
      </w:pPr>
      <w:r>
        <w:rPr>
          <w:rFonts w:ascii="Palatino Linotype" w:hAnsi="Palatino Linotype"/>
          <w:b w:val="0"/>
          <w:sz w:val="22"/>
        </w:rPr>
        <w:t>5.6 Prototype Implementation</w:t>
        <w:tab/>
        <w:t>53</w:t>
      </w:r>
    </w:p>
    <w:p>
      <w:pPr>
        <w:tabs>
          <w:tab w:pos="8504" w:val="right" w:leader="dot"/>
        </w:tabs>
        <w:spacing w:after="40" w:before="0"/>
        <w:ind w:left="1020"/>
        <w:jc w:val="left"/>
      </w:pPr>
      <w:r>
        <w:rPr>
          <w:rFonts w:ascii="Palatino Linotype" w:hAnsi="Palatino Linotype"/>
          <w:b w:val="0"/>
          <w:sz w:val="22"/>
        </w:rPr>
        <w:t>5.6.1 Aims of Engineering the Prototype System</w:t>
        <w:tab/>
        <w:t>53</w:t>
      </w:r>
    </w:p>
    <w:p>
      <w:pPr>
        <w:tabs>
          <w:tab w:pos="8504" w:val="right" w:leader="dot"/>
        </w:tabs>
        <w:spacing w:after="40" w:before="0"/>
        <w:ind w:left="454"/>
        <w:jc w:val="left"/>
      </w:pPr>
      <w:r>
        <w:rPr>
          <w:rFonts w:ascii="Palatino Linotype" w:hAnsi="Palatino Linotype"/>
          <w:b w:val="0"/>
          <w:sz w:val="22"/>
        </w:rPr>
        <w:t>5.7 Datasets Used for Validation</w:t>
        <w:tab/>
        <w:t>54</w:t>
      </w:r>
    </w:p>
    <w:p>
      <w:pPr>
        <w:tabs>
          <w:tab w:pos="8504" w:val="right" w:leader="dot"/>
        </w:tabs>
        <w:spacing w:after="40" w:before="0"/>
        <w:ind w:left="454"/>
        <w:jc w:val="left"/>
      </w:pPr>
      <w:r>
        <w:rPr>
          <w:rFonts w:ascii="Palatino Linotype" w:hAnsi="Palatino Linotype"/>
          <w:b w:val="0"/>
          <w:sz w:val="22"/>
        </w:rPr>
        <w:t>5.8 Steps in the Working of the Prototype System for Consent Creation</w:t>
        <w:tab/>
        <w:t>55</w:t>
      </w:r>
    </w:p>
    <w:p>
      <w:pPr>
        <w:tabs>
          <w:tab w:pos="8504" w:val="right" w:leader="dot"/>
        </w:tabs>
        <w:spacing w:after="40" w:before="0"/>
        <w:ind w:left="1020"/>
        <w:jc w:val="left"/>
      </w:pPr>
      <w:r>
        <w:rPr>
          <w:rFonts w:ascii="Palatino Linotype" w:hAnsi="Palatino Linotype"/>
          <w:b w:val="0"/>
          <w:sz w:val="22"/>
        </w:rPr>
        <w:t>5.8.1 Steps in the patient interface</w:t>
        <w:tab/>
        <w:t>55</w:t>
      </w:r>
    </w:p>
    <w:p>
      <w:pPr>
        <w:tabs>
          <w:tab w:pos="8504" w:val="right" w:leader="dot"/>
        </w:tabs>
        <w:spacing w:after="40" w:before="0"/>
        <w:ind w:left="1020"/>
        <w:jc w:val="left"/>
      </w:pPr>
      <w:r>
        <w:rPr>
          <w:rFonts w:ascii="Palatino Linotype" w:hAnsi="Palatino Linotype"/>
          <w:b w:val="0"/>
          <w:sz w:val="22"/>
        </w:rPr>
        <w:t>5.8.2 Steps in the service layer</w:t>
        <w:tab/>
        <w:t>55</w:t>
      </w:r>
    </w:p>
    <w:p>
      <w:pPr>
        <w:tabs>
          <w:tab w:pos="8504" w:val="right" w:leader="dot"/>
        </w:tabs>
        <w:spacing w:after="40" w:before="0"/>
        <w:ind w:left="454"/>
        <w:jc w:val="left"/>
      </w:pPr>
      <w:r>
        <w:rPr>
          <w:rFonts w:ascii="Palatino Linotype" w:hAnsi="Palatino Linotype"/>
          <w:b w:val="0"/>
          <w:sz w:val="22"/>
        </w:rPr>
        <w:t>5.9 Prototype Evaluation and Discussion</w:t>
        <w:tab/>
        <w:t>56</w:t>
      </w:r>
    </w:p>
    <w:p>
      <w:pPr>
        <w:tabs>
          <w:tab w:pos="8504" w:val="right" w:leader="dot"/>
        </w:tabs>
        <w:spacing w:after="40" w:before="0"/>
        <w:ind w:left="1020"/>
        <w:jc w:val="left"/>
      </w:pPr>
      <w:r>
        <w:rPr>
          <w:rFonts w:ascii="Palatino Linotype" w:hAnsi="Palatino Linotype"/>
          <w:b w:val="0"/>
          <w:sz w:val="22"/>
        </w:rPr>
        <w:t>5.9.1 Validation of Consent Creation</w:t>
        <w:tab/>
        <w:t>56</w:t>
      </w:r>
    </w:p>
    <w:p>
      <w:pPr>
        <w:tabs>
          <w:tab w:pos="8504" w:val="right" w:leader="dot"/>
        </w:tabs>
        <w:spacing w:after="40" w:before="0"/>
        <w:ind w:left="1020"/>
        <w:jc w:val="left"/>
      </w:pPr>
      <w:r>
        <w:rPr>
          <w:rFonts w:ascii="Palatino Linotype" w:hAnsi="Palatino Linotype"/>
          <w:b w:val="0"/>
          <w:sz w:val="22"/>
        </w:rPr>
        <w:t>5.9.2 Evaluation of the Architecture against the Security Properties</w:t>
        <w:tab/>
        <w:t>58</w:t>
      </w:r>
    </w:p>
    <w:p>
      <w:pPr>
        <w:tabs>
          <w:tab w:pos="8504" w:val="right" w:leader="dot"/>
        </w:tabs>
        <w:spacing w:after="40" w:before="0"/>
        <w:ind w:left="1020"/>
        <w:jc w:val="left"/>
      </w:pPr>
      <w:r>
        <w:rPr>
          <w:rFonts w:ascii="Palatino Linotype" w:hAnsi="Palatino Linotype"/>
          <w:b w:val="0"/>
          <w:sz w:val="22"/>
        </w:rPr>
        <w:t>5.9.3 Discussion</w:t>
        <w:tab/>
        <w:t>60</w:t>
      </w:r>
    </w:p>
    <w:p>
      <w:pPr>
        <w:tabs>
          <w:tab w:pos="8504" w:val="right" w:leader="dot"/>
        </w:tabs>
        <w:spacing w:after="40" w:before="0"/>
        <w:ind w:left="454"/>
        <w:jc w:val="left"/>
      </w:pPr>
      <w:r>
        <w:rPr>
          <w:rFonts w:ascii="Palatino Linotype" w:hAnsi="Palatino Linotype"/>
          <w:b w:val="0"/>
          <w:sz w:val="22"/>
        </w:rPr>
        <w:t>5.10 Conclusion</w:t>
        <w:tab/>
        <w:t>60</w:t>
      </w:r>
    </w:p>
    <w:p>
      <w:pPr>
        <w:tabs>
          <w:tab w:pos="8504" w:val="right" w:leader="dot"/>
        </w:tabs>
        <w:spacing w:after="40" w:before="0"/>
        <w:ind w:left="454"/>
        <w:jc w:val="left"/>
      </w:pPr>
      <w:r>
        <w:fldChar w:fldCharType="end"/>
      </w:r>
    </w:p>
    <w:p>
      <w:r>
        <w:br w:type="page"/>
      </w:r>
    </w:p>
    <w:p>
      <w:pPr>
        <w:pStyle w:val="1"/>
        <w:keepNext/>
        <w:jc w:val="center"/>
      </w:pPr>
      <w:r>
        <w:t>List of Figures</w:t>
      </w:r>
    </w:p>
    <w:p>
      <w:r>
        <w:fldChar w:fldCharType="begin"/>
      </w:r>
      <w:r>
        <w:instrText xml:space="preserve"> TOC \h \z \c "Figure" </w:instrText>
      </w:r>
      <w:r>
        <w:fldChar w:fldCharType="separate"/>
      </w:r>
    </w:p>
    <w:p>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13</w:t>
      </w:r>
    </w:p>
    <w:p>
      <w:pPr>
        <w:tabs>
          <w:tab w:pos="8504" w:val="right" w:leader="dot"/>
        </w:tabs>
        <w:spacing w:after="40" w:before="0"/>
        <w:ind w:left="454"/>
        <w:jc w:val="left"/>
      </w:pPr>
      <w:r>
        <w:rPr>
          <w:rFonts w:ascii="Palatino Linotype" w:hAnsi="Palatino Linotype"/>
          <w:b w:val="0"/>
          <w:sz w:val="22"/>
        </w:rPr>
        <w:t>2.2 Synthesis of the review: the conjunction gap and the assurance gap</w:t>
        <w:tab/>
        <w:t>25</w:t>
      </w:r>
    </w:p>
    <w:p>
      <w:pPr>
        <w:tabs>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36</w:t>
      </w:r>
    </w:p>
    <w:p>
      <w:pPr>
        <w:tabs>
          <w:tab w:pos="8504" w:val="right" w:leader="dot"/>
        </w:tabs>
        <w:spacing w:after="40" w:before="0"/>
        <w:ind w:left="454"/>
        <w:jc w:val="left"/>
      </w:pPr>
      <w:r>
        <w:rPr>
          <w:rFonts w:ascii="Palatino Linotype" w:hAnsi="Palatino Linotype"/>
          <w:b w:val="0"/>
          <w:sz w:val="22"/>
        </w:rPr>
        <w:t>4.2 End-to-end workflow of the trust-oriented consent authorisation framework.</w:t>
        <w:tab/>
        <w:t>37</w:t>
      </w:r>
    </w:p>
    <w:p>
      <w:pPr>
        <w:tabs>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43</w:t>
      </w:r>
    </w:p>
    <w:p>
      <w:pPr>
        <w:tabs>
          <w:tab w:pos="8504" w:val="right" w:leader="dot"/>
        </w:tabs>
        <w:spacing w:after="40" w:before="0"/>
        <w:ind w:left="454"/>
        <w:jc w:val="left"/>
      </w:pPr>
      <w:r>
        <w:rPr>
          <w:rFonts w:ascii="Palatino Linotype" w:hAnsi="Palatino Linotype"/>
          <w:b w:val="0"/>
          <w:sz w:val="22"/>
        </w:rPr>
        <w:t>5.2 Functional decomposition of the MVC components.</w:t>
        <w:tab/>
        <w:t>44</w:t>
      </w:r>
    </w:p>
    <w:p>
      <w:pPr>
        <w:tabs>
          <w:tab w:pos="8504" w:val="right" w:leader="dot"/>
        </w:tabs>
        <w:spacing w:after="40" w:before="0"/>
        <w:ind w:left="454"/>
        <w:jc w:val="left"/>
      </w:pPr>
      <w:r>
        <w:rPr>
          <w:rFonts w:ascii="Palatino Linotype" w:hAnsi="Palatino Linotype"/>
          <w:b w:val="0"/>
          <w:sz w:val="22"/>
        </w:rPr>
        <w:t>5.3 Trust predicate evaluation and authorisation decision flow.</w:t>
        <w:tab/>
        <w:t>46</w:t>
      </w:r>
    </w:p>
    <w:p>
      <w:pPr>
        <w:tabs>
          <w:tab w:pos="8504" w:val="right" w:leader="dot"/>
        </w:tabs>
        <w:spacing w:after="40" w:before="0"/>
        <w:ind w:left="454"/>
        <w:jc w:val="left"/>
      </w:pPr>
      <w:r>
        <w:rPr>
          <w:rFonts w:ascii="Palatino Linotype" w:hAnsi="Palatino Linotype"/>
          <w:b w:val="0"/>
          <w:sz w:val="22"/>
        </w:rPr>
        <w:t>5.4 The four gates that an access request passes before data are released.</w:t>
        <w:tab/>
        <w:t>47</w:t>
      </w:r>
    </w:p>
    <w:p>
      <w:pPr>
        <w:tabs>
          <w:tab w:pos="8504" w:val="right" w:leader="dot"/>
        </w:tabs>
        <w:spacing w:after="40" w:before="0"/>
        <w:ind w:left="454"/>
        <w:jc w:val="left"/>
      </w:pPr>
      <w:r>
        <w:rPr>
          <w:rFonts w:ascii="Palatino Linotype" w:hAnsi="Palatino Linotype"/>
          <w:b w:val="0"/>
          <w:sz w:val="22"/>
        </w:rPr>
        <w:t>5.5 RO1 workflow for trust-centric consent creation.</w:t>
        <w:tab/>
        <w:t>50</w:t>
      </w:r>
    </w:p>
    <w:p>
      <w:pPr>
        <w:tabs>
          <w:tab w:pos="8504" w:val="right" w:leader="dot"/>
        </w:tabs>
        <w:spacing w:after="40" w:before="0"/>
        <w:ind w:left="454"/>
        <w:jc w:val="left"/>
      </w:pPr>
      <w:r>
        <w:rPr>
          <w:rFonts w:ascii="Palatino Linotype" w:hAnsi="Palatino Linotype"/>
          <w:b w:val="0"/>
          <w:sz w:val="22"/>
        </w:rPr>
        <w:t>5.6 Six-component consent model C = (I, A, P, T, L, E).</w:t>
        <w:tab/>
        <w:t>51</w:t>
      </w:r>
    </w:p>
    <w:p>
      <w:pPr>
        <w:tabs>
          <w:tab w:pos="8504" w:val="right" w:leader="dot"/>
        </w:tabs>
        <w:spacing w:after="40" w:before="0"/>
        <w:ind w:left="454"/>
        <w:jc w:val="left"/>
      </w:pPr>
      <w:r>
        <w:rPr>
          <w:rFonts w:ascii="Palatino Linotype" w:hAnsi="Palatino Linotype"/>
          <w:b w:val="0"/>
          <w:sz w:val="22"/>
        </w:rPr>
        <w:t>5.7 The patient interface of the HALAH prototype after a consent has been created.</w:t>
        <w:tab/>
        <w:t>56</w:t>
      </w:r>
    </w:p>
    <w:p>
      <w:pPr>
        <w:tabs>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57</w:t>
      </w:r>
    </w:p>
    <w:p>
      <w:pPr>
        <w:tabs>
          <w:tab w:pos="8504" w:val="right" w:leader="dot"/>
        </w:tabs>
        <w:spacing w:after="40" w:before="0"/>
        <w:ind w:left="454"/>
        <w:jc w:val="left"/>
      </w:pPr>
      <w:r>
        <w:fldChar w:fldCharType="end"/>
      </w:r>
    </w:p>
    <w:p>
      <w:r>
        <w:br w:type="page"/>
      </w:r>
    </w:p>
    <w:p>
      <w:pPr>
        <w:pStyle w:val="1"/>
        <w:keepNext/>
        <w:jc w:val="center"/>
      </w:pPr>
      <w:r>
        <w:t>List of Tables</w:t>
      </w:r>
    </w:p>
    <w:p>
      <w:r>
        <w:fldChar w:fldCharType="begin"/>
      </w:r>
      <w:r>
        <w:instrText xml:space="preserve"> TOC \h \z \c "Table" </w:instrText>
      </w:r>
      <w:r>
        <w:fldChar w:fldCharType="separate"/>
      </w:r>
    </w:p>
    <w:p>
      <w:pPr>
        <w:tabs>
          <w:tab w:pos="8504" w:val="right" w:leader="dot"/>
        </w:tabs>
        <w:spacing w:after="40" w:before="0"/>
        <w:ind w:left="454"/>
        <w:jc w:val="left"/>
      </w:pPr>
      <w:r>
        <w:rPr>
          <w:rFonts w:ascii="Palatino Linotype" w:hAnsi="Palatino Linotype"/>
          <w:b w:val="0"/>
          <w:sz w:val="22"/>
        </w:rPr>
        <w:t>2.1 Databases searched and records retrieved</w:t>
        <w:tab/>
        <w:t>11</w:t>
      </w:r>
    </w:p>
    <w:p>
      <w:pPr>
        <w:tabs>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13</w:t>
      </w:r>
    </w:p>
    <w:p>
      <w:pPr>
        <w:tabs>
          <w:tab w:pos="8504" w:val="right" w:leader="dot"/>
        </w:tabs>
        <w:spacing w:after="40" w:before="0"/>
        <w:ind w:left="454"/>
        <w:jc w:val="left"/>
      </w:pPr>
      <w:r>
        <w:rPr>
          <w:rFonts w:ascii="Palatino Linotype" w:hAnsi="Palatino Linotype"/>
          <w:b w:val="0"/>
          <w:sz w:val="22"/>
        </w:rPr>
        <w:t>2.3 Listing of the 25 primary studies identified after the selection process</w:t>
        <w:tab/>
        <w:t>14</w:t>
      </w:r>
    </w:p>
    <w:p>
      <w:pPr>
        <w:tabs>
          <w:tab w:pos="8504" w:val="right" w:leader="dot"/>
        </w:tabs>
        <w:spacing w:after="40" w:before="0"/>
        <w:ind w:left="454"/>
        <w:jc w:val="left"/>
      </w:pPr>
      <w:r>
        <w:rPr>
          <w:rFonts w:ascii="Palatino Linotype" w:hAnsi="Palatino Linotype"/>
          <w:b w:val="0"/>
          <w:sz w:val="22"/>
        </w:rPr>
        <w:t>2.4 Descriptions, issues and limitations of the studies on consent representation</w:t>
        <w:tab/>
        <w:t>16</w:t>
      </w:r>
    </w:p>
    <w:p>
      <w:pPr>
        <w:tabs>
          <w:tab w:pos="8504" w:val="right" w:leader="dot"/>
        </w:tabs>
        <w:spacing w:after="40" w:before="0"/>
        <w:ind w:left="454"/>
        <w:jc w:val="left"/>
      </w:pPr>
      <w:r>
        <w:rPr>
          <w:rFonts w:ascii="Palatino Linotype" w:hAnsi="Palatino Linotype"/>
          <w:b w:val="0"/>
          <w:sz w:val="22"/>
        </w:rPr>
        <w:t>2.5 Descriptions, issues and limitations of the studies on identity and authority</w:t>
        <w:tab/>
        <w:t>17</w:t>
      </w:r>
    </w:p>
    <w:p>
      <w:pPr>
        <w:tabs>
          <w:tab w:pos="8504" w:val="right" w:leader="dot"/>
        </w:tabs>
        <w:spacing w:after="40" w:before="0"/>
        <w:ind w:left="454"/>
        <w:jc w:val="left"/>
      </w:pPr>
      <w:r>
        <w:rPr>
          <w:rFonts w:ascii="Palatino Linotype" w:hAnsi="Palatino Linotype"/>
          <w:b w:val="0"/>
          <w:sz w:val="22"/>
        </w:rPr>
        <w:t>2.6 Descriptions, issues and limitations of the studies on multi-party authorisation</w:t>
        <w:tab/>
        <w:t>18</w:t>
      </w:r>
    </w:p>
    <w:p>
      <w:pPr>
        <w:tabs>
          <w:tab w:pos="8504" w:val="right" w:leader="dot"/>
        </w:tabs>
        <w:spacing w:after="40" w:before="0"/>
        <w:ind w:left="454"/>
        <w:jc w:val="left"/>
      </w:pPr>
      <w:r>
        <w:rPr>
          <w:rFonts w:ascii="Palatino Linotype" w:hAnsi="Palatino Linotype"/>
          <w:b w:val="0"/>
          <w:sz w:val="22"/>
        </w:rPr>
        <w:t>2.7 Descriptions, issues and limitations of the studies on policy and context</w:t>
        <w:tab/>
        <w:t>20</w:t>
      </w:r>
    </w:p>
    <w:p>
      <w:pPr>
        <w:tabs>
          <w:tab w:pos="8504" w:val="right" w:leader="dot"/>
        </w:tabs>
        <w:spacing w:after="40" w:before="0"/>
        <w:ind w:left="454"/>
        <w:jc w:val="left"/>
      </w:pPr>
      <w:r>
        <w:rPr>
          <w:rFonts w:ascii="Palatino Linotype" w:hAnsi="Palatino Linotype"/>
          <w:b w:val="0"/>
          <w:sz w:val="22"/>
        </w:rPr>
        <w:t>2.8 Descriptions, issues and limitations of the studies on temporal validity and lifecycle</w:t>
        <w:tab/>
        <w:t>21</w:t>
      </w:r>
    </w:p>
    <w:p>
      <w:pPr>
        <w:tabs>
          <w:tab w:pos="8504" w:val="right" w:leader="dot"/>
        </w:tabs>
        <w:spacing w:after="40" w:before="0"/>
        <w:ind w:left="454"/>
        <w:jc w:val="left"/>
      </w:pPr>
      <w:r>
        <w:rPr>
          <w:rFonts w:ascii="Palatino Linotype" w:hAnsi="Palatino Linotype"/>
          <w:b w:val="0"/>
          <w:sz w:val="22"/>
        </w:rPr>
        <w:t>2.9 Descriptions, issues and limitations of the studies on security assurance</w:t>
        <w:tab/>
        <w:t>22</w:t>
      </w:r>
    </w:p>
    <w:p>
      <w:pPr>
        <w:tabs>
          <w:tab w:pos="8504" w:val="right" w:leader="dot"/>
        </w:tabs>
        <w:spacing w:after="40" w:before="0"/>
        <w:ind w:left="454"/>
        <w:jc w:val="left"/>
      </w:pPr>
      <w:r>
        <w:rPr>
          <w:rFonts w:ascii="Palatino Linotype" w:hAnsi="Palatino Linotype"/>
          <w:b w:val="0"/>
          <w:sz w:val="22"/>
        </w:rPr>
        <w:t>2.10 Comparison of the included studies against the key requirements</w:t>
        <w:tab/>
        <w:t>24</w:t>
      </w:r>
    </w:p>
    <w:p>
      <w:pPr>
        <w:tabs>
          <w:tab w:pos="8504" w:val="right" w:leader="dot"/>
        </w:tabs>
        <w:spacing w:after="40" w:before="0"/>
        <w:ind w:left="454"/>
        <w:jc w:val="left"/>
      </w:pPr>
      <w:r>
        <w:rPr>
          <w:rFonts w:ascii="Palatino Linotype" w:hAnsi="Palatino Linotype"/>
          <w:b w:val="0"/>
          <w:sz w:val="22"/>
        </w:rPr>
        <w:t>3.1 Research questions, research objectives, and the status of each objective</w:t>
        <w:tab/>
        <w:t>34</w:t>
      </w:r>
    </w:p>
    <w:p>
      <w:pPr>
        <w:tabs>
          <w:tab w:pos="8504" w:val="right" w:leader="dot"/>
        </w:tabs>
        <w:spacing w:after="40" w:before="0"/>
        <w:ind w:left="454"/>
        <w:jc w:val="left"/>
      </w:pPr>
      <w:r>
        <w:rPr>
          <w:rFonts w:ascii="Palatino Linotype" w:hAnsi="Palatino Linotype"/>
          <w:b w:val="0"/>
          <w:sz w:val="22"/>
        </w:rPr>
        <w:t>5.1 Mapping between research objectives and MVC components</w:t>
        <w:tab/>
        <w:t>48</w:t>
      </w:r>
    </w:p>
    <w:p>
      <w:pPr>
        <w:tabs>
          <w:tab w:pos="8504" w:val="right" w:leader="dot"/>
        </w:tabs>
        <w:spacing w:after="40" w:before="0"/>
        <w:ind w:left="454"/>
        <w:jc w:val="left"/>
      </w:pPr>
      <w:r>
        <w:rPr>
          <w:rFonts w:ascii="Palatino Linotype" w:hAnsi="Palatino Linotype"/>
          <w:b w:val="0"/>
          <w:sz w:val="22"/>
        </w:rPr>
        <w:t>5.2 Traditional EHR access control compared with the HALAH framework</w:t>
        <w:tab/>
        <w:t>48</w:t>
      </w:r>
    </w:p>
    <w:p>
      <w:pPr>
        <w:tabs>
          <w:tab w:pos="8504" w:val="right" w:leader="dot"/>
        </w:tabs>
        <w:spacing w:after="40" w:before="0"/>
        <w:ind w:left="454"/>
        <w:jc w:val="left"/>
      </w:pPr>
      <w:r>
        <w:rPr>
          <w:rFonts w:ascii="Palatino Linotype" w:hAnsi="Palatino Linotype"/>
          <w:b w:val="0"/>
          <w:sz w:val="22"/>
        </w:rPr>
        <w:t>5.3 Synthea tables loaded by the prototype and the consent module supplied by each</w:t>
        <w:tab/>
        <w:t>54</w:t>
      </w:r>
    </w:p>
    <w:p>
      <w:pPr>
        <w:tabs>
          <w:tab w:pos="8504" w:val="right" w:leader="dot"/>
        </w:tabs>
        <w:spacing w:after="40" w:before="0"/>
        <w:ind w:left="454"/>
        <w:jc w:val="left"/>
      </w:pPr>
      <w:r>
        <w:rPr>
          <w:rFonts w:ascii="Palatino Linotype" w:hAnsi="Palatino Linotype"/>
          <w:b w:val="0"/>
          <w:sz w:val="22"/>
        </w:rPr>
        <w:t>5.4 Validation results of the prototype for consent creation</w:t>
        <w:tab/>
        <w:t>58</w:t>
      </w:r>
    </w:p>
    <w:p>
      <w:pPr>
        <w:tabs>
          <w:tab w:pos="8504" w:val="right" w:leader="dot"/>
        </w:tabs>
        <w:spacing w:after="40" w:before="0"/>
        <w:ind w:left="454"/>
        <w:jc w:val="left"/>
      </w:pPr>
      <w:r>
        <w:rPr>
          <w:rFonts w:ascii="Palatino Linotype" w:hAnsi="Palatino Linotype"/>
          <w:b w:val="0"/>
          <w:sz w:val="22"/>
        </w:rPr>
        <w:t>5.5 Security properties supported by the proposed MVC-based consent architecture</w:t>
        <w:tab/>
        <w:t>59</w:t>
      </w:r>
    </w:p>
    <w:p>
      <w:pPr>
        <w:tabs>
          <w:tab w:pos="8504" w:val="right" w:leader="dot"/>
        </w:tabs>
        <w:spacing w:after="40" w:before="0"/>
        <w:ind w:left="454"/>
        <w:jc w:val="left"/>
      </w:pPr>
      <w:r>
        <w:fldChar w:fldCharType="end"/>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4"/>
          <w:headerReference w:type="even" r:id="rId45"/>
          <w:footerReference w:type="default" r:id="rId46"/>
          <w:footerReference w:type="even" r:id="rId47"/>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keepNext/>
        <w:spacing w:before="360"/>
      </w:pPr>
      <w:r/>
      <w:r>
        <w:rPr>
          <w:color w:val="FFFFFF"/>
          <w:sz w:val="2"/>
        </w:rPr>
        <w:t xml:space="preserve">2. </w:t>
      </w:r>
      <w:r>
        <w:rPr>
          <w:smallCaps/>
        </w:rPr>
        <w:t>A Systematic Literature Review</w:t>
      </w:r>
    </w:p>
    <w:p>
      <w:pPr>
        <w:pStyle w:val="2"/>
        <w:keepNext/>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keepNext/>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keepNext/>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keepNext/>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keepNext/>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keepNext/>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keepNext/>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keepNext/>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keepNext/>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six quality evaluation questions, one for each key requirement.</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t>The review is guided by the six key requirements of Section 2.2, and the six quality evaluation questions of Step 3 are derived from them, one for each requirement.</w:t>
      </w:r>
    </w:p>
    <w:p>
      <w:pPr>
        <w:pStyle w:val="3"/>
        <w:keepNext/>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S/N</w:t>
            </w:r>
          </w:p>
        </w:tc>
        <w:tc>
          <w:tcPr>
            <w:tcW w:type="dxa" w:w="5386"/>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Database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SpringerLink</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46</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Scopus</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38</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IEEE Xplore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27</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ProQuest Science and Technology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Web of Science</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19</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6</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ScienceDirect</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w:t>
            </w:r>
          </w:p>
        </w:tc>
      </w:tr>
      <w:tr>
        <w:trPr>
          <w:cantSplit/>
        </w:trPr>
        <w:tc>
          <w:tcPr>
            <w:tcW w:type="dxa" w:w="850"/>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w:t>
            </w:r>
          </w:p>
        </w:tc>
        <w:tc>
          <w:tcPr>
            <w:tcW w:type="dxa" w:w="5386"/>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ACM Digital Library</w:t>
            </w:r>
          </w:p>
        </w:tc>
        <w:tc>
          <w:tcPr>
            <w:tcW w:type="dxa" w:w="2268"/>
            <w:tcBorders>
              <w:top w:val="nil"/>
              <w:left w:val="nil"/>
              <w:bottom w:val="single" w:sz="4" w:color="BFBFBF" w:space="0"/>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w:t>
            </w:r>
          </w:p>
        </w:tc>
      </w:tr>
      <w:tr>
        <w:trPr>
          <w:cantSplit/>
        </w:trPr>
        <w:tc>
          <w:tcPr>
            <w:tcW w:type="dxa" w:w="85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r>
          </w:p>
        </w:tc>
        <w:tc>
          <w:tcPr>
            <w:tcW w:type="dxa" w:w="5386"/>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Total</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w:t>
            </w:r>
          </w:p>
        </w:tc>
      </w:tr>
    </w:tbl>
    <w:p>
      <w:pPr/>
      <w:r/>
    </w:p>
    <w:p>
      <w:pPr>
        <w:pStyle w:val="3"/>
        <w:keepNext/>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Healthcare data sharing (IC1).</w:t>
      </w:r>
    </w:p>
    <w:p>
      <w:pPr/>
      <w:r>
        <w:t>2. Consent or authorisation relevant to data access (IC2).</w:t>
      </w:r>
    </w:p>
    <w:p>
      <w:pPr/>
      <w:r>
        <w:t>3. A model, mechanism, system or evaluation that addresses a review question (IC3).</w:t>
      </w:r>
    </w:p>
    <w:p>
      <w:pPr/>
      <w:r>
        <w:t>4. Peer-reviewed English paper with full text (IC4 to IC7).</w:t>
      </w:r>
    </w:p>
    <w:p>
      <w:pPr/>
      <w:r>
        <w:t>5. Publication between 2020 and 2026.</w:t>
      </w:r>
    </w:p>
    <w:p>
      <w:pPr/>
      <w:r>
        <w:t>Exclusion criteria:</w:t>
      </w:r>
    </w:p>
    <w:p>
      <w:pPr/>
      <w:r>
        <w:t>1. Outside healthcare or the authorisation scope.</w:t>
      </w:r>
    </w:p>
    <w:p>
      <w:pPr/>
      <w:r>
        <w:t>2. Authentication alone or a superficial mention of consent.</w:t>
      </w:r>
    </w:p>
    <w:p>
      <w:pPr/>
      <w:r>
        <w:t>3. Non-peer-reviewed work and duplicate publications.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Evaluation stage</w:t>
            </w:r>
          </w:p>
        </w:tc>
        <w:tc>
          <w:tcPr>
            <w:tcW w:type="dxa" w:w="226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Method</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Assessment criteria</w:t>
            </w:r>
          </w:p>
        </w:tc>
        <w:tc>
          <w:tcPr>
            <w:tcW w:type="dxa" w:w="1928"/>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1st</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Identify the related studies from the seven databases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Match the search string</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179 identified</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2nd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Remove duplicate records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Same title, author, DOI and publication year</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21 removed, 158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3rd</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titles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Within healthcare consent or authorisation;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76 excluded, 82 remain</w:t>
            </w:r>
          </w:p>
        </w:tc>
      </w:tr>
      <w:tr>
        <w:trPr>
          <w:cantSplit/>
        </w:trPr>
        <w:tc>
          <w:tcPr>
            <w:tcW w:type="dxa" w:w="124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4th</w:t>
            </w:r>
          </w:p>
        </w:tc>
        <w:tc>
          <w:tcPr>
            <w:tcW w:type="dxa" w:w="226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Screen the abstracts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Relevant to a review question; otherwise exclude</w:t>
            </w:r>
          </w:p>
        </w:tc>
        <w:tc>
          <w:tcPr>
            <w:tcW w:type="dxa" w:w="1928"/>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43 excluded, 39 remain</w:t>
            </w:r>
          </w:p>
        </w:tc>
      </w:tr>
      <w:tr>
        <w:trPr>
          <w:cantSplit/>
        </w:trPr>
        <w:tc>
          <w:tcPr>
            <w:tcW w:type="dxa" w:w="124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5th</w:t>
            </w:r>
          </w:p>
        </w:tc>
        <w:tc>
          <w:tcPr>
            <w:tcW w:type="dxa" w:w="226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Assess the full texts</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Eligibility criteria and the quality evaluation of Step 3</w:t>
            </w:r>
          </w:p>
        </w:tc>
        <w:tc>
          <w:tcPr>
            <w:tcW w:type="dxa" w:w="1928"/>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keepNext/>
      </w:pPr>
      <w:r>
        <w:t>2.3.3 Step 3: Quality Evaluation</w:t>
      </w:r>
    </w:p>
    <w:p>
      <w:pPr/>
      <w:r>
        <w:t>The 39 full-text studies were retrieved and critically evaluated based on the six quality evaluation questions, one for each key requirement of Section 2.2, as follows:</w:t>
      </w:r>
    </w:p>
    <w:p>
      <w:pPr>
        <w:spacing w:after="40"/>
      </w:pPr>
      <w:r>
        <w:t>QA1: Does the study define a consent model covering identity, authority, policy, and evidence?</w:t>
      </w:r>
    </w:p>
    <w:p>
      <w:pPr>
        <w:spacing w:after="40"/>
      </w:pPr>
      <w:r>
        <w:t>QA2: Does the study verify participant identities and their authorisation authority?</w:t>
      </w:r>
    </w:p>
    <w:p>
      <w:pPr>
        <w:spacing w:after="40"/>
      </w:pPr>
      <w:r>
        <w:t>QA3: Does the study support consent decisions requiring approval from multiple authorised participants?</w:t>
      </w:r>
    </w:p>
    <w:p>
      <w:pPr>
        <w:spacing w:after="40"/>
      </w:pPr>
      <w:r>
        <w:t>QA4: Does the study enforce purpose, data scope, and approval rules before allowing access?</w:t>
      </w:r>
    </w:p>
    <w:p>
      <w:pPr>
        <w:spacing w:after="40"/>
      </w:pPr>
      <w:r>
        <w:t>QA5: Does the study manage consent validity, expiry, and revocation?</w:t>
      </w:r>
    </w:p>
    <w:p>
      <w:pPr>
        <w:spacing w:after="40"/>
      </w:pPr>
      <w:r>
        <w:t>QA6: Does the study validate security and access decisions through formal analysis or implementation testing?</w:t>
      </w:r>
    </w:p>
    <w:p>
      <w:pPr/>
      <w:r>
        <w:t>Each question was answered Yes or No, and any study which has at least three Yes answers to the six questions, and meets the eligibility criteria of Step 2, is included in this SLR. These questions decide whether a study enters the review; whether it satisfies the requirements of Section 2.2 is decided separately in Section 2.4.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keepNext/>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BC49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9594DA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5AA66D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 xml:space="preserve">Article title</w:t>
            </w:r>
          </w:p>
        </w:tc>
      </w:tr>
      <w:tr w:rsidR="009262C4" w14:paraId="277610A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FBAD0E" w14:textId="77777777" w:rsidR="009262C4" w:rsidRDefault="00000000">
            <w:pPr>
              <w:spacing w:before="40" w:after="40" w:line="240" w:lineRule="auto"/>
              <w:jc w:val="left"/>
            </w:pPr>
            <w:r>
              <w:rPr>
                <w:rFonts w:ascii="Palatino Linotype" w:hAnsi="Palatino Linotype" w:cs="Palatino Linotype"/>
                <w:color w:val="000000"/>
                <w:sz w:val="20"/>
                <w:szCs w:val="17"/>
              </w:rPr>
              <w:t>S1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32AD346" w14:textId="77777777" w:rsidR="009262C4" w:rsidRDefault="00000000">
            <w:pPr>
              <w:spacing w:before="40" w:after="40" w:line="240" w:lineRule="auto"/>
              <w:jc w:val="left"/>
            </w:pPr>
            <w:r>
              <w:rPr>
                <w:rFonts w:ascii="Palatino Linotype" w:hAnsi="Palatino Linotype" w:cs="Palatino Linotype"/>
                <w:color w:val="000000"/>
                <w:sz w:val="20"/>
                <w:szCs w:val="17"/>
              </w:rPr>
              <w:t>Abbasi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C42C3E" w14:textId="77777777" w:rsidR="009262C4" w:rsidRDefault="00000000">
            <w:pPr>
              <w:spacing w:before="40" w:after="40" w:line="240" w:lineRule="auto"/>
              <w:jc w:val="left"/>
            </w:pPr>
            <w:r>
              <w:rPr>
                <w:rFonts w:ascii="Palatino Linotype" w:hAnsi="Palatino Linotype" w:cs="Palatino Linotype"/>
                <w:color w:val="000000"/>
                <w:sz w:val="20"/>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964AD" w14:textId="77777777" w:rsidR="009262C4" w:rsidRDefault="00000000">
            <w:pPr>
              <w:spacing w:before="40" w:after="40" w:line="240" w:lineRule="auto"/>
              <w:jc w:val="left"/>
            </w:pPr>
            <w:r>
              <w:rPr>
                <w:rFonts w:ascii="Palatino Linotype" w:hAnsi="Palatino Linotype" w:cs="Palatino Linotype"/>
                <w:color w:val="000000"/>
                <w:sz w:val="20"/>
                <w:szCs w:val="17"/>
              </w:rPr>
              <w:t>S2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1483FC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Albalwy et al. (2021)</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A1F0AE"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DFCB26" w14:textId="77777777" w:rsidR="009262C4" w:rsidRDefault="00000000">
            <w:pPr>
              <w:spacing w:before="40" w:after="40" w:line="240" w:lineRule="auto"/>
              <w:jc w:val="left"/>
            </w:pPr>
            <w:r>
              <w:rPr>
                <w:rFonts w:ascii="Palatino Linotype" w:hAnsi="Palatino Linotype" w:cs="Palatino Linotype"/>
                <w:color w:val="000000"/>
                <w:sz w:val="20"/>
                <w:szCs w:val="17"/>
              </w:rPr>
              <w:t>S3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81561C" w14:textId="77777777" w:rsidR="009262C4" w:rsidRDefault="00000000">
            <w:pPr>
              <w:spacing w:before="40" w:after="40" w:line="240" w:lineRule="auto"/>
              <w:jc w:val="left"/>
            </w:pPr>
            <w:r>
              <w:rPr>
                <w:rFonts w:ascii="Palatino Linotype" w:hAnsi="Palatino Linotype" w:cs="Palatino Linotype"/>
                <w:color w:val="000000"/>
                <w:sz w:val="20"/>
                <w:szCs w:val="17"/>
              </w:rPr>
              <w:t>Al Amin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A442B3" w14:textId="77777777" w:rsidR="009262C4" w:rsidRDefault="00000000">
            <w:pPr>
              <w:spacing w:before="40" w:after="40" w:line="240" w:lineRule="auto"/>
              <w:jc w:val="left"/>
            </w:pPr>
            <w:r>
              <w:rPr>
                <w:rFonts w:ascii="Palatino Linotype" w:hAnsi="Palatino Linotype" w:cs="Palatino Linotype"/>
                <w:color w:val="000000"/>
                <w:sz w:val="20"/>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33871" w14:textId="77777777" w:rsidR="009262C4" w:rsidRDefault="00000000">
            <w:pPr>
              <w:spacing w:before="40" w:after="40" w:line="240" w:lineRule="auto"/>
              <w:jc w:val="left"/>
            </w:pPr>
            <w:r>
              <w:rPr>
                <w:rFonts w:ascii="Palatino Linotype" w:hAnsi="Palatino Linotype" w:cs="Palatino Linotype"/>
                <w:color w:val="000000"/>
                <w:sz w:val="20"/>
                <w:szCs w:val="17"/>
              </w:rPr>
              <w:t>S4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3939FE" w14:textId="77777777" w:rsidR="009262C4" w:rsidRDefault="00000000">
            <w:pPr>
              <w:spacing w:before="40" w:after="40" w:line="240" w:lineRule="auto"/>
              <w:jc w:val="left"/>
            </w:pPr>
            <w:r>
              <w:rPr>
                <w:rFonts w:ascii="Palatino Linotype" w:hAnsi="Palatino Linotype" w:cs="Palatino Linotype"/>
                <w:color w:val="000000"/>
                <w:sz w:val="20"/>
                <w:szCs w:val="17"/>
              </w:rPr>
              <w:t>Ekholm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84542" w14:textId="77777777" w:rsidR="009262C4" w:rsidRDefault="00000000">
            <w:pPr>
              <w:spacing w:before="40" w:after="40" w:line="240" w:lineRule="auto"/>
              <w:jc w:val="left"/>
            </w:pPr>
            <w:r>
              <w:rPr>
                <w:rFonts w:ascii="Palatino Linotype" w:hAnsi="Palatino Linotype" w:cs="Palatino Linotype"/>
                <w:color w:val="000000"/>
                <w:sz w:val="20"/>
                <w:szCs w:val="17"/>
              </w:rPr>
              <w:t>Implementing electronic informed consent in rare disease genomics</w:t>
            </w:r>
          </w:p>
        </w:tc>
      </w:tr>
      <w:tr w:rsidR="009262C4" w14:paraId="59A8333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A3065E5" w14:textId="77777777" w:rsidR="009262C4" w:rsidRDefault="00000000">
            <w:pPr>
              <w:spacing w:before="40" w:after="40" w:line="240" w:lineRule="auto"/>
              <w:jc w:val="left"/>
            </w:pPr>
            <w:r>
              <w:rPr>
                <w:rFonts w:ascii="Palatino Linotype" w:hAnsi="Palatino Linotype" w:cs="Palatino Linotype"/>
                <w:color w:val="000000"/>
                <w:sz w:val="20"/>
                <w:szCs w:val="17"/>
              </w:rPr>
              <w:t>S5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DC1B1FF" w14:textId="77777777" w:rsidR="009262C4" w:rsidRDefault="00000000">
            <w:pPr>
              <w:spacing w:before="40" w:after="40" w:line="240" w:lineRule="auto"/>
              <w:jc w:val="left"/>
            </w:pPr>
            <w:r>
              <w:rPr>
                <w:rFonts w:ascii="Palatino Linotype" w:hAnsi="Palatino Linotype" w:cs="Palatino Linotype"/>
                <w:color w:val="000000"/>
                <w:sz w:val="20"/>
                <w:szCs w:val="17"/>
              </w:rPr>
              <w:t>Eneh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262A7F"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C1E9E6" w14:textId="77777777" w:rsidR="009262C4" w:rsidRDefault="00000000">
            <w:pPr>
              <w:spacing w:before="40" w:after="40" w:line="240" w:lineRule="auto"/>
              <w:jc w:val="left"/>
            </w:pPr>
            <w:r>
              <w:rPr>
                <w:rFonts w:ascii="Palatino Linotype" w:hAnsi="Palatino Linotype" w:cs="Palatino Linotype"/>
                <w:color w:val="000000"/>
                <w:sz w:val="20"/>
                <w:szCs w:val="17"/>
              </w:rPr>
              <w:t>S6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36EE60" w14:textId="77777777" w:rsidR="009262C4" w:rsidRDefault="00000000">
            <w:pPr>
              <w:spacing w:before="40" w:after="40" w:line="240" w:lineRule="auto"/>
              <w:jc w:val="left"/>
            </w:pPr>
            <w:r>
              <w:rPr>
                <w:rFonts w:ascii="Palatino Linotype" w:hAnsi="Palatino Linotype" w:cs="Palatino Linotype"/>
                <w:color w:val="000000"/>
                <w:sz w:val="20"/>
                <w:szCs w:val="17"/>
              </w:rPr>
              <w:t>Hagström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150DF" w14:textId="77777777" w:rsidR="009262C4" w:rsidRDefault="00000000">
            <w:pPr>
              <w:spacing w:before="40" w:after="40" w:line="240" w:lineRule="auto"/>
              <w:jc w:val="left"/>
            </w:pPr>
            <w:r>
              <w:rPr>
                <w:rFonts w:ascii="Palatino Linotype" w:hAnsi="Palatino Linotype" w:cs="Palatino Linotype"/>
                <w:color w:val="000000"/>
                <w:sz w:val="20"/>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1B2577" w14:textId="77777777" w:rsidR="009262C4" w:rsidRDefault="00000000">
            <w:pPr>
              <w:spacing w:before="40" w:after="40" w:line="240" w:lineRule="auto"/>
              <w:jc w:val="left"/>
            </w:pPr>
            <w:r>
              <w:rPr>
                <w:rFonts w:ascii="Palatino Linotype" w:hAnsi="Palatino Linotype" w:cs="Palatino Linotype"/>
                <w:color w:val="000000"/>
                <w:sz w:val="20"/>
                <w:szCs w:val="17"/>
              </w:rPr>
              <w:t>S7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792157"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Jaiman and Urovi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DB70D26" w14:textId="77777777" w:rsidR="009262C4" w:rsidRDefault="00000000">
            <w:pPr>
              <w:spacing w:before="40" w:after="40" w:line="240" w:lineRule="auto"/>
              <w:jc w:val="left"/>
            </w:pPr>
            <w:r>
              <w:rPr>
                <w:rFonts w:ascii="Palatino Linotype" w:hAnsi="Palatino Linotype" w:cs="Palatino Linotype"/>
                <w:color w:val="000000"/>
                <w:sz w:val="20"/>
                <w:szCs w:val="17"/>
              </w:rPr>
              <w:t>A Consent Model for Blockchain-Based Health Data Sharing Platforms</w:t>
            </w:r>
          </w:p>
        </w:tc>
      </w:tr>
      <w:tr w:rsidR="009262C4" w14:paraId="437C48B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124F14" w14:textId="77777777" w:rsidR="009262C4" w:rsidRDefault="00000000">
            <w:pPr>
              <w:spacing w:before="40" w:after="40" w:line="240" w:lineRule="auto"/>
              <w:jc w:val="left"/>
            </w:pPr>
            <w:r>
              <w:rPr>
                <w:rFonts w:ascii="Palatino Linotype" w:hAnsi="Palatino Linotype" w:cs="Palatino Linotype"/>
                <w:color w:val="000000"/>
                <w:sz w:val="20"/>
                <w:szCs w:val="17"/>
              </w:rPr>
              <w:lastRenderedPageBreak/>
              <w:t>S8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708CB4" w14:textId="77777777" w:rsidR="009262C4" w:rsidRDefault="00000000">
            <w:pPr>
              <w:spacing w:before="40" w:after="40" w:line="240" w:lineRule="auto"/>
              <w:jc w:val="left"/>
            </w:pPr>
            <w:r>
              <w:rPr>
                <w:rFonts w:ascii="Palatino Linotype" w:hAnsi="Palatino Linotype" w:cs="Palatino Linotype"/>
                <w:color w:val="000000"/>
                <w:sz w:val="20"/>
                <w:szCs w:val="17"/>
              </w:rPr>
              <w:t>Zhao and Su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FACC32" w14:textId="77777777" w:rsidR="009262C4" w:rsidRDefault="00000000">
            <w:pPr>
              <w:spacing w:before="40" w:after="40" w:line="240" w:lineRule="auto"/>
              <w:jc w:val="left"/>
            </w:pPr>
            <w:r>
              <w:rPr>
                <w:rFonts w:ascii="Palatino Linotype" w:hAnsi="Palatino Linotype" w:cs="Palatino Linotype"/>
                <w:color w:val="000000"/>
                <w:sz w:val="20"/>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FD9541" w14:textId="77777777" w:rsidR="009262C4" w:rsidRDefault="00000000">
            <w:pPr>
              <w:spacing w:before="40" w:after="40" w:line="240" w:lineRule="auto"/>
              <w:jc w:val="left"/>
            </w:pPr>
            <w:r>
              <w:rPr>
                <w:rFonts w:ascii="Palatino Linotype" w:hAnsi="Palatino Linotype" w:cs="Palatino Linotype"/>
                <w:color w:val="000000"/>
                <w:sz w:val="20"/>
                <w:szCs w:val="17"/>
              </w:rPr>
              <w:t>S9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853A81E" w14:textId="77777777" w:rsidR="009262C4" w:rsidRDefault="00000000">
            <w:pPr>
              <w:spacing w:before="40" w:after="40" w:line="240" w:lineRule="auto"/>
              <w:jc w:val="left"/>
            </w:pPr>
            <w:r>
              <w:rPr>
                <w:rFonts w:ascii="Palatino Linotype" w:hAnsi="Palatino Linotype" w:cs="Palatino Linotype"/>
                <w:color w:val="000000"/>
                <w:sz w:val="20"/>
                <w:szCs w:val="17"/>
              </w:rPr>
              <w:t>Li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53D7C9"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15EECA" w14:textId="77777777" w:rsidR="009262C4" w:rsidRDefault="00000000">
            <w:pPr>
              <w:spacing w:before="40" w:after="40" w:line="240" w:lineRule="auto"/>
              <w:jc w:val="left"/>
            </w:pPr>
            <w:r>
              <w:rPr>
                <w:rFonts w:ascii="Palatino Linotype" w:hAnsi="Palatino Linotype" w:cs="Palatino Linotype"/>
                <w:color w:val="000000"/>
                <w:sz w:val="20"/>
                <w:szCs w:val="17"/>
              </w:rPr>
              <w:t>S10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76A9E7" w14:textId="77777777" w:rsidR="009262C4" w:rsidRDefault="00000000">
            <w:pPr>
              <w:spacing w:before="40" w:after="40" w:line="240" w:lineRule="auto"/>
              <w:jc w:val="left"/>
            </w:pPr>
            <w:r>
              <w:rPr>
                <w:rFonts w:ascii="Palatino Linotype" w:hAnsi="Palatino Linotype" w:cs="Palatino Linotype"/>
                <w:color w:val="000000"/>
                <w:sz w:val="20"/>
                <w:szCs w:val="17"/>
              </w:rPr>
              <w:t>Madine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8ED551" w14:textId="77777777" w:rsidR="009262C4" w:rsidRDefault="00000000">
            <w:pPr>
              <w:spacing w:before="40" w:after="40" w:line="240" w:lineRule="auto"/>
              <w:jc w:val="left"/>
            </w:pPr>
            <w:r>
              <w:rPr>
                <w:rFonts w:ascii="Palatino Linotype" w:hAnsi="Palatino Linotype" w:cs="Palatino Linotype"/>
                <w:color w:val="000000"/>
                <w:sz w:val="20"/>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167C46" w14:textId="77777777" w:rsidR="009262C4" w:rsidRDefault="00000000">
            <w:pPr>
              <w:spacing w:before="40" w:after="40" w:line="240" w:lineRule="auto"/>
              <w:jc w:val="left"/>
            </w:pPr>
            <w:r>
              <w:rPr>
                <w:rFonts w:ascii="Palatino Linotype" w:hAnsi="Palatino Linotype" w:cs="Palatino Linotype"/>
                <w:color w:val="000000"/>
                <w:sz w:val="20"/>
                <w:szCs w:val="17"/>
              </w:rPr>
              <w:t>S11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AA7568" w14:textId="77777777" w:rsidR="009262C4" w:rsidRDefault="00000000">
            <w:pPr>
              <w:spacing w:before="40" w:after="40" w:line="240" w:lineRule="auto"/>
              <w:jc w:val="left"/>
            </w:pPr>
            <w:r>
              <w:rPr>
                <w:rFonts w:ascii="Palatino Linotype" w:hAnsi="Palatino Linotype" w:cs="Palatino Linotype"/>
                <w:color w:val="000000"/>
                <w:sz w:val="20"/>
                <w:szCs w:val="17"/>
              </w:rPr>
              <w:t>Maruthi and Singh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F18898"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91C73D" w14:textId="77777777" w:rsidR="009262C4" w:rsidRDefault="00000000">
            <w:pPr>
              <w:spacing w:before="40" w:after="40" w:line="240" w:lineRule="auto"/>
              <w:jc w:val="left"/>
            </w:pPr>
            <w:r>
              <w:rPr>
                <w:rFonts w:ascii="Palatino Linotype" w:hAnsi="Palatino Linotype" w:cs="Palatino Linotype"/>
                <w:color w:val="000000"/>
                <w:sz w:val="20"/>
                <w:szCs w:val="17"/>
              </w:rPr>
              <w:t>S12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956F5C" w14:textId="77777777" w:rsidR="009262C4" w:rsidRDefault="00000000">
            <w:pPr>
              <w:spacing w:before="40" w:after="40" w:line="240" w:lineRule="auto"/>
              <w:jc w:val="left"/>
            </w:pPr>
            <w:r>
              <w:rPr>
                <w:rFonts w:ascii="Palatino Linotype" w:hAnsi="Palatino Linotype" w:cs="Palatino Linotype"/>
                <w:color w:val="000000"/>
                <w:sz w:val="20"/>
                <w:szCs w:val="17"/>
              </w:rPr>
              <w:t>Mei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AC685C5" w14:textId="77777777" w:rsidR="009262C4" w:rsidRDefault="00000000">
            <w:pPr>
              <w:spacing w:before="40" w:after="40" w:line="240" w:lineRule="auto"/>
              <w:jc w:val="left"/>
            </w:pPr>
            <w:r>
              <w:rPr>
                <w:rFonts w:ascii="Palatino Linotype" w:hAnsi="Palatino Linotype" w:cs="Palatino Linotype"/>
                <w:color w:val="000000"/>
                <w:sz w:val="20"/>
                <w:szCs w:val="17"/>
              </w:rPr>
              <w:t>Efficient Dual-Revocation CP-ABE for Secure and Fine-Grained Data Sharing in IoMT</w:t>
            </w:r>
          </w:p>
        </w:tc>
      </w:tr>
      <w:tr w:rsidR="009262C4" w14:paraId="38E4B69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533179" w14:textId="77777777" w:rsidR="009262C4" w:rsidRDefault="00000000">
            <w:pPr>
              <w:spacing w:before="40" w:after="40" w:line="240" w:lineRule="auto"/>
              <w:jc w:val="left"/>
            </w:pPr>
            <w:r>
              <w:rPr>
                <w:rFonts w:ascii="Palatino Linotype" w:hAnsi="Palatino Linotype" w:cs="Palatino Linotype"/>
                <w:color w:val="000000"/>
                <w:sz w:val="20"/>
                <w:szCs w:val="17"/>
              </w:rPr>
              <w:t>S13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9DBB4E" w14:textId="77777777" w:rsidR="009262C4" w:rsidRDefault="00000000">
            <w:pPr>
              <w:spacing w:before="40" w:after="40" w:line="240" w:lineRule="auto"/>
              <w:jc w:val="left"/>
            </w:pPr>
            <w:r>
              <w:rPr>
                <w:rFonts w:ascii="Palatino Linotype" w:hAnsi="Palatino Linotype" w:cs="Palatino Linotype"/>
                <w:color w:val="000000"/>
                <w:sz w:val="20"/>
                <w:szCs w:val="17"/>
              </w:rPr>
              <w:t>Panagoulias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2A75CE1" w14:textId="77777777" w:rsidR="009262C4" w:rsidRDefault="00000000">
            <w:pPr>
              <w:spacing w:before="40" w:after="40" w:line="240" w:lineRule="auto"/>
              <w:jc w:val="left"/>
            </w:pPr>
            <w:r>
              <w:rPr>
                <w:rFonts w:ascii="Palatino Linotype" w:hAnsi="Palatino Linotype" w:cs="Palatino Linotype"/>
                <w:color w:val="000000"/>
                <w:sz w:val="20"/>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3E3F1C" w14:textId="77777777" w:rsidR="009262C4" w:rsidRDefault="00000000">
            <w:pPr>
              <w:spacing w:before="40" w:after="40" w:line="240" w:lineRule="auto"/>
              <w:jc w:val="left"/>
            </w:pPr>
            <w:r>
              <w:rPr>
                <w:rFonts w:ascii="Palatino Linotype" w:hAnsi="Palatino Linotype" w:cs="Palatino Linotype"/>
                <w:color w:val="000000"/>
                <w:sz w:val="20"/>
                <w:szCs w:val="17"/>
              </w:rPr>
              <w:t>S14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07F71B"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(2026b)</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76196B"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E68A8AD" w14:textId="77777777" w:rsidR="009262C4" w:rsidRDefault="00000000">
            <w:pPr>
              <w:spacing w:before="40" w:after="40" w:line="240" w:lineRule="auto"/>
              <w:jc w:val="left"/>
            </w:pPr>
            <w:r>
              <w:rPr>
                <w:rFonts w:ascii="Palatino Linotype" w:hAnsi="Palatino Linotype" w:cs="Palatino Linotype"/>
                <w:color w:val="000000"/>
                <w:sz w:val="20"/>
                <w:szCs w:val="17"/>
              </w:rPr>
              <w:t>S15</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1BE039" w14:textId="77777777" w:rsidR="009262C4" w:rsidRDefault="00000000">
            <w:pPr>
              <w:spacing w:before="40" w:after="40" w:line="240" w:lineRule="auto"/>
              <w:jc w:val="left"/>
            </w:pPr>
            <w:r>
              <w:rPr>
                <w:rFonts w:ascii="Palatino Linotype" w:hAnsi="Palatino Linotype" w:cs="Palatino Linotype"/>
                <w:color w:val="000000"/>
                <w:sz w:val="20"/>
                <w:szCs w:val="17"/>
              </w:rPr>
              <w:t>Phuyal et al. (2026a)</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E8F7B" w14:textId="77777777" w:rsidR="009262C4" w:rsidRDefault="00000000">
            <w:pPr>
              <w:spacing w:before="40" w:after="40" w:line="240" w:lineRule="auto"/>
              <w:jc w:val="left"/>
            </w:pPr>
            <w:r>
              <w:rPr>
                <w:rFonts w:ascii="Palatino Linotype" w:hAnsi="Palatino Linotype" w:cs="Palatino Linotype"/>
                <w:color w:val="000000"/>
                <w:sz w:val="20"/>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FCB60C" w14:textId="77777777" w:rsidR="009262C4" w:rsidRDefault="00000000">
            <w:pPr>
              <w:spacing w:before="40" w:after="40" w:line="240" w:lineRule="auto"/>
              <w:jc w:val="left"/>
            </w:pPr>
            <w:r>
              <w:rPr>
                <w:rFonts w:ascii="Palatino Linotype" w:hAnsi="Palatino Linotype" w:cs="Palatino Linotype"/>
                <w:color w:val="000000"/>
                <w:sz w:val="20"/>
                <w:szCs w:val="17"/>
              </w:rPr>
              <w:t>S16</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E0DB94" w14:textId="77777777" w:rsidR="009262C4" w:rsidRDefault="00000000">
            <w:pPr>
              <w:spacing w:before="40" w:after="40" w:line="240" w:lineRule="auto"/>
              <w:jc w:val="left"/>
            </w:pPr>
            <w:r>
              <w:rPr>
                <w:rFonts w:ascii="Palatino Linotype" w:hAnsi="Palatino Linotype" w:cs="Palatino Linotype"/>
                <w:color w:val="000000"/>
                <w:sz w:val="20"/>
                <w:szCs w:val="17"/>
              </w:rPr>
              <w:t>Punia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064DCF" w14:textId="77777777" w:rsidR="009262C4" w:rsidRDefault="00000000">
            <w:pPr>
              <w:spacing w:before="40" w:after="40" w:line="240" w:lineRule="auto"/>
              <w:jc w:val="left"/>
            </w:pPr>
            <w:r>
              <w:rPr>
                <w:rFonts w:ascii="Palatino Linotype" w:hAnsi="Palatino Linotype" w:cs="Palatino Linotype"/>
                <w:color w:val="000000"/>
                <w:sz w:val="20"/>
                <w:szCs w:val="17"/>
              </w:rPr>
              <w:t>An access control system for cloud-based healthcare systems driven by blockchain</w:t>
            </w:r>
          </w:p>
        </w:tc>
      </w:tr>
      <w:tr w:rsidR="009262C4" w14:paraId="14ECA6A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D29708" w14:textId="77777777" w:rsidR="009262C4" w:rsidRDefault="00000000">
            <w:pPr>
              <w:spacing w:before="40" w:after="40" w:line="240" w:lineRule="auto"/>
              <w:jc w:val="left"/>
            </w:pPr>
            <w:r>
              <w:rPr>
                <w:rFonts w:ascii="Palatino Linotype" w:hAnsi="Palatino Linotype" w:cs="Palatino Linotype"/>
                <w:color w:val="000000"/>
                <w:sz w:val="20"/>
                <w:szCs w:val="17"/>
              </w:rPr>
              <w:t>S17</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F8D16B" w14:textId="77777777" w:rsidR="009262C4" w:rsidRDefault="00000000">
            <w:pPr>
              <w:spacing w:before="40" w:after="40" w:line="240" w:lineRule="auto"/>
              <w:jc w:val="left"/>
            </w:pPr>
            <w:r>
              <w:rPr>
                <w:rFonts w:ascii="Palatino Linotype" w:hAnsi="Palatino Linotype" w:cs="Palatino Linotype"/>
                <w:color w:val="000000"/>
                <w:sz w:val="20"/>
                <w:szCs w:val="17"/>
              </w:rPr>
              <w:t>Román-Martínez et al. (2023)</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CE4416C" w14:textId="77777777" w:rsidR="009262C4" w:rsidRDefault="00000000">
            <w:pPr>
              <w:spacing w:before="40" w:after="40" w:line="240" w:lineRule="auto"/>
              <w:jc w:val="left"/>
            </w:pPr>
            <w:r>
              <w:rPr>
                <w:rFonts w:ascii="Palatino Linotype" w:hAnsi="Palatino Linotype" w:cs="Palatino Linotype"/>
                <w:color w:val="000000"/>
                <w:sz w:val="20"/>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C2E2B5" w14:textId="77777777" w:rsidR="009262C4" w:rsidRDefault="00000000">
            <w:pPr>
              <w:spacing w:before="40" w:after="40" w:line="240" w:lineRule="auto"/>
              <w:jc w:val="left"/>
            </w:pPr>
            <w:r>
              <w:rPr>
                <w:rFonts w:ascii="Palatino Linotype" w:hAnsi="Palatino Linotype" w:cs="Palatino Linotype"/>
                <w:color w:val="000000"/>
                <w:sz w:val="20"/>
                <w:szCs w:val="17"/>
              </w:rPr>
              <w:t>S18</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802BDF" w14:textId="77777777" w:rsidR="009262C4" w:rsidRDefault="00000000">
            <w:pPr>
              <w:spacing w:before="40" w:after="40" w:line="240" w:lineRule="auto"/>
              <w:jc w:val="left"/>
            </w:pPr>
            <w:r>
              <w:rPr>
                <w:rFonts w:ascii="Palatino Linotype" w:hAnsi="Palatino Linotype" w:cs="Palatino Linotype"/>
                <w:color w:val="000000"/>
                <w:sz w:val="20"/>
                <w:szCs w:val="17"/>
              </w:rPr>
              <w:t>Hema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612BCB" w14:textId="77777777" w:rsidR="009262C4" w:rsidRDefault="00000000">
            <w:pPr>
              <w:spacing w:before="40" w:after="40" w:line="240" w:lineRule="auto"/>
              <w:jc w:val="left"/>
            </w:pPr>
            <w:r>
              <w:rPr>
                <w:rFonts w:ascii="Palatino Linotype" w:hAnsi="Palatino Linotype" w:cs="Palatino Linotype"/>
                <w:color w:val="000000"/>
                <w:sz w:val="20"/>
                <w:szCs w:val="17"/>
              </w:rPr>
              <w:t>Patient Centric Cryptographic Protection of Cloud Electronic Health Records</w:t>
            </w:r>
          </w:p>
        </w:tc>
      </w:tr>
      <w:tr w:rsidR="009262C4" w14:paraId="3B04220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0E6669" w14:textId="77777777" w:rsidR="009262C4" w:rsidRDefault="00000000">
            <w:pPr>
              <w:spacing w:before="40" w:after="40" w:line="240" w:lineRule="auto"/>
              <w:jc w:val="left"/>
            </w:pPr>
            <w:r>
              <w:rPr>
                <w:rFonts w:ascii="Palatino Linotype" w:hAnsi="Palatino Linotype" w:cs="Palatino Linotype"/>
                <w:color w:val="000000"/>
                <w:sz w:val="20"/>
                <w:szCs w:val="17"/>
              </w:rPr>
              <w:t>S19</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7BA423" w14:textId="77777777" w:rsidR="009262C4" w:rsidRDefault="00000000">
            <w:pPr>
              <w:spacing w:before="40" w:after="40" w:line="240" w:lineRule="auto"/>
              <w:jc w:val="left"/>
            </w:pPr>
            <w:r>
              <w:rPr>
                <w:rFonts w:ascii="Palatino Linotype" w:hAnsi="Palatino Linotype" w:cs="Palatino Linotype"/>
                <w:color w:val="000000"/>
                <w:sz w:val="20"/>
                <w:szCs w:val="17"/>
              </w:rPr>
              <w:t>SooHoo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8A2D85"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89AC502" w14:textId="77777777" w:rsidR="009262C4" w:rsidRDefault="00000000">
            <w:pPr>
              <w:spacing w:before="40" w:after="40" w:line="240" w:lineRule="auto"/>
              <w:jc w:val="left"/>
            </w:pPr>
            <w:r>
              <w:rPr>
                <w:rFonts w:ascii="Palatino Linotype" w:hAnsi="Palatino Linotype" w:cs="Palatino Linotype"/>
                <w:color w:val="000000"/>
                <w:sz w:val="20"/>
                <w:szCs w:val="17"/>
              </w:rPr>
              <w:t>S20</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4849C5E" w14:textId="77777777" w:rsidR="009262C4" w:rsidRDefault="00000000">
            <w:pPr>
              <w:spacing w:before="40" w:after="40" w:line="240" w:lineRule="auto"/>
              <w:jc w:val="left"/>
            </w:pPr>
            <w:r>
              <w:rPr>
                <w:rFonts w:ascii="Palatino Linotype" w:hAnsi="Palatino Linotype" w:cs="Palatino Linotype"/>
                <w:color w:val="000000"/>
                <w:sz w:val="20"/>
                <w:szCs w:val="17"/>
              </w:rPr>
              <w:t>Tan et al. (2024)</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9E5946A" w14:textId="77777777" w:rsidR="009262C4" w:rsidRDefault="00000000">
            <w:pPr>
              <w:spacing w:before="40" w:after="40" w:line="240" w:lineRule="auto"/>
              <w:jc w:val="left"/>
            </w:pPr>
            <w:r>
              <w:rPr>
                <w:rFonts w:ascii="Palatino Linotype" w:hAnsi="Palatino Linotype" w:cs="Palatino Linotype"/>
                <w:color w:val="000000"/>
                <w:sz w:val="20"/>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2256FC" w14:textId="77777777" w:rsidR="009262C4" w:rsidRDefault="00000000">
            <w:pPr>
              <w:spacing w:before="40" w:after="40" w:line="240" w:lineRule="auto"/>
              <w:jc w:val="left"/>
            </w:pPr>
            <w:r>
              <w:rPr>
                <w:rFonts w:ascii="Palatino Linotype" w:hAnsi="Palatino Linotype" w:cs="Palatino Linotype"/>
                <w:color w:val="000000"/>
                <w:sz w:val="20"/>
                <w:szCs w:val="17"/>
              </w:rPr>
              <w:t>S21</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6FEDD2" w14:textId="77777777" w:rsidR="009262C4" w:rsidRDefault="00000000">
            <w:pPr>
              <w:spacing w:before="40" w:after="40" w:line="240" w:lineRule="auto"/>
              <w:jc w:val="left"/>
            </w:pPr>
            <w:r>
              <w:rPr>
                <w:rFonts w:ascii="Palatino Linotype" w:hAnsi="Palatino Linotype" w:cs="Palatino Linotype"/>
                <w:color w:val="000000"/>
                <w:sz w:val="20"/>
                <w:szCs w:val="17"/>
              </w:rPr>
              <w:t>Tith et al. (2020)</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426A5B5" w14:textId="77777777" w:rsidR="009262C4" w:rsidRDefault="00000000">
            <w:pPr>
              <w:spacing w:before="40" w:after="40" w:line="240" w:lineRule="auto"/>
              <w:jc w:val="left"/>
            </w:pPr>
            <w:r>
              <w:rPr>
                <w:rFonts w:ascii="Palatino Linotype" w:hAnsi="Palatino Linotype" w:cs="Palatino Linotype"/>
                <w:color w:val="000000"/>
                <w:sz w:val="20"/>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8950EA3" w14:textId="77777777" w:rsidR="009262C4" w:rsidRDefault="00000000">
            <w:pPr>
              <w:spacing w:before="40" w:after="40" w:line="240" w:lineRule="auto"/>
              <w:jc w:val="left"/>
            </w:pPr>
            <w:r>
              <w:rPr>
                <w:rFonts w:ascii="Palatino Linotype" w:hAnsi="Palatino Linotype" w:cs="Palatino Linotype"/>
                <w:color w:val="000000"/>
                <w:sz w:val="20"/>
                <w:szCs w:val="17"/>
              </w:rPr>
              <w:t>S22</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5F8AEA" w14:textId="77777777" w:rsidR="009262C4" w:rsidRDefault="00000000">
            <w:pPr>
              <w:spacing w:before="40" w:after="40" w:line="240" w:lineRule="auto"/>
              <w:jc w:val="left"/>
            </w:pPr>
            <w:r>
              <w:rPr>
                <w:rFonts w:ascii="Palatino Linotype" w:hAnsi="Palatino Linotype" w:cs="Palatino Linotype"/>
                <w:color w:val="000000"/>
                <w:sz w:val="20"/>
                <w:szCs w:val="17"/>
              </w:rPr>
              <w:t>Tremper et al. (2026)</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31F7D2" w14:textId="77777777" w:rsidR="009262C4" w:rsidRDefault="00000000">
            <w:pPr>
              <w:spacing w:before="40" w:after="40" w:line="240" w:lineRule="auto"/>
              <w:jc w:val="left"/>
            </w:pPr>
            <w:r>
              <w:rPr>
                <w:rFonts w:ascii="Palatino Linotype" w:hAnsi="Palatino Linotype" w:cs="Palatino Linotype"/>
                <w:color w:val="000000"/>
                <w:sz w:val="20"/>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B9B0CF2" w14:textId="77777777" w:rsidR="009262C4" w:rsidRDefault="00000000">
            <w:pPr>
              <w:spacing w:before="40" w:after="40" w:line="240" w:lineRule="auto"/>
              <w:jc w:val="left"/>
            </w:pPr>
            <w:r>
              <w:rPr>
                <w:rFonts w:ascii="Palatino Linotype" w:hAnsi="Palatino Linotype" w:cs="Palatino Linotype"/>
                <w:color w:val="000000"/>
                <w:sz w:val="20"/>
                <w:szCs w:val="17"/>
              </w:rPr>
              <w:t>S23</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4C89F1" w14:textId="77777777" w:rsidR="009262C4" w:rsidRDefault="00000000">
            <w:pPr>
              <w:spacing w:before="40" w:after="40" w:line="240" w:lineRule="auto"/>
              <w:jc w:val="left"/>
            </w:pPr>
            <w:r>
              <w:rPr>
                <w:rFonts w:ascii="Palatino Linotype" w:hAnsi="Palatino Linotype" w:cs="Palatino Linotype"/>
                <w:color w:val="000000"/>
                <w:sz w:val="20"/>
                <w:szCs w:val="17"/>
              </w:rPr>
              <w:t>Tseng et al. (2025)</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EDAA9" w14:textId="77777777" w:rsidR="009262C4" w:rsidRDefault="00000000">
            <w:pPr>
              <w:spacing w:before="40" w:after="40" w:line="240" w:lineRule="auto"/>
              <w:jc w:val="left"/>
            </w:pPr>
            <w:r>
              <w:rPr>
                <w:rFonts w:ascii="Palatino Linotype" w:hAnsi="Palatino Linotype" w:cs="Palatino Linotype"/>
                <w:color w:val="000000"/>
                <w:sz w:val="20"/>
                <w:szCs w:val="17"/>
              </w:rPr>
              <w:t>EMR-Chain: Decentralized Electronic Medical Record Exchange System</w:t>
            </w:r>
          </w:p>
        </w:tc>
      </w:tr>
      <w:tr w:rsidR="009262C4" w14:paraId="025A53E1" w14:textId="77777777">
        <w:trPr>
          <w:cantSplit/>
        </w:trPr>
        <w:tc>
          <w:tcPr>
            <w:tcW w:w="737"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A9B3D7" w14:textId="77777777" w:rsidR="009262C4" w:rsidRDefault="00000000">
            <w:pPr>
              <w:spacing w:before="40" w:after="40" w:line="240" w:lineRule="auto"/>
              <w:jc w:val="left"/>
            </w:pPr>
            <w:r>
              <w:rPr>
                <w:rFonts w:ascii="Palatino Linotype" w:hAnsi="Palatino Linotype" w:cs="Palatino Linotype"/>
                <w:color w:val="000000"/>
                <w:sz w:val="20"/>
                <w:szCs w:val="17"/>
              </w:rPr>
              <w:t>S24</w:t>
            </w:r>
          </w:p>
        </w:tc>
        <w:tc>
          <w:tcPr>
            <w:tcW w:w="226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B65205D" w14:textId="77777777" w:rsidR="009262C4" w:rsidRDefault="00000000">
            <w:pPr>
              <w:spacing w:before="40" w:after="40" w:line="240" w:lineRule="auto"/>
              <w:jc w:val="left"/>
            </w:pPr>
            <w:r>
              <w:rPr>
                <w:rFonts w:ascii="Palatino Linotype" w:hAnsi="Palatino Linotype" w:cs="Palatino Linotype"/>
                <w:color w:val="000000"/>
                <w:sz w:val="20"/>
                <w:szCs w:val="17"/>
              </w:rPr>
              <w:t>Wu et al. (2022)</w:t>
            </w:r>
          </w:p>
        </w:tc>
        <w:tc>
          <w:tcPr>
            <w:tcW w:w="5499"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68C00E"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vAlign w:val="top"/>
          </w:tcPr>
          <w:p w14:paraId="5E5084A7" w14:textId="77777777" w:rsidR="009262C4" w:rsidRDefault="00000000">
            <w:pPr>
              <w:spacing w:before="40" w:after="40" w:line="240" w:lineRule="auto"/>
              <w:jc w:val="left"/>
            </w:pPr>
            <w:r>
              <w:rPr>
                <w:rFonts w:ascii="Palatino Linotype" w:hAnsi="Palatino Linotype" w:cs="Palatino Linotype"/>
                <w:color w:val="000000"/>
                <w:sz w:val="20"/>
                <w:szCs w:val="17"/>
              </w:rPr>
              <w:t>S25</w:t>
            </w:r>
          </w:p>
        </w:tc>
        <w:tc>
          <w:tcPr>
            <w:tcW w:w="2268" w:type="dxa"/>
            <w:tcBorders>
              <w:top w:val="nil"/>
              <w:left w:val="nil"/>
              <w:bottom w:val="nil"/>
              <w:right w:val="nil"/>
              <w:insideH w:val="nil"/>
              <w:insideV w:val="nil"/>
            </w:tcBorders>
            <w:tcMar>
              <w:top w:w="40" w:type="dxa"/>
              <w:left w:w="80" w:type="dxa"/>
              <w:bottom w:w="40" w:type="dxa"/>
              <w:right w:w="80" w:type="dxa"/>
            </w:tcMar>
            <w:vAlign w:val="top"/>
          </w:tcPr>
          <w:p w14:paraId="51FDD110" w14:textId="77777777" w:rsidR="009262C4" w:rsidRDefault="00000000">
            <w:pPr>
              <w:spacing w:before="40" w:after="40" w:line="240" w:lineRule="auto"/>
              <w:jc w:val="left"/>
            </w:pPr>
            <w:r>
              <w:rPr>
                <w:rFonts w:ascii="Palatino Linotype" w:hAnsi="Palatino Linotype" w:cs="Palatino Linotype"/>
                <w:color w:val="000000"/>
                <w:sz w:val="20"/>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vAlign w:val="top"/>
          </w:tcPr>
          <w:p w14:paraId="65CDD245" w14:textId="77777777" w:rsidR="009262C4" w:rsidRDefault="00000000">
            <w:pPr>
              <w:spacing w:before="40" w:after="40" w:line="240" w:lineRule="auto"/>
              <w:jc w:val="left"/>
            </w:pPr>
            <w:r>
              <w:rPr>
                <w:rFonts w:ascii="Palatino Linotype" w:hAnsi="Palatino Linotype" w:cs="Palatino Linotype"/>
                <w:color w:val="000000"/>
                <w:sz w:val="20"/>
                <w:szCs w:val="17"/>
              </w:rPr>
              <w:t>HealthDID: An efficient and authorizable multi-party privacy-preserving EMR sharing system based on DID</w:t>
            </w:r>
          </w:p>
        </w:tc>
      </w:tr>
    </w:tbl>
    <w:p w14:paraId="104769F2" w14:textId="77777777" w:rsidR="009262C4" w:rsidRDefault="009262C4">
      <w:pPr>
        <w:spacing w:after="160"/>
      </w:pPr>
    </w:p>
    <w:p>
      <w:pPr>
        <w:pStyle w:val="2"/>
        <w:keepNext/>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keepNext/>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2.4 summarises the description, the issues and limitations, and the requirement grades of the studies in this stream.</w:t>
      </w:r>
    </w:p>
    <w:p>
      <w:pPr>
        <w:keepNext/>
        <w:spacing w:before="160" w:after="160"/>
        <w:jc w:val="center"/>
      </w:pPr>
      <w:r>
        <w:rPr>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S3 Al Amin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Informed consent is modelled as a patient-driven policy object with hash integrity, which an authorisation module conjoins with other policies inside a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S19 SooHoo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enforcement is outside its scope, a single patient decides, identity and authority are not separated, revocation is claimed but not tested, and there are no formal methods.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S22 Tremper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S14 Phuyal et al. (2026b)</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grants consent, the stored expiry is not checked, purpose is handled only at the interface, and there is no threat model.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S15 Phuyal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architecture is design-only and is neither implemented nor evaluated, and delegation through VCs is not joint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S23 Tseng et al.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 Abbasi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Decentralised EHR management in which a Shamir (5, 3) threshold reconstructs a symmetric key, and automated oracles release their shares according to the requester's on-chain role.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S4 Ekholm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S6 Hagström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S10 Madine et al.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S16 Punia et al.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S20 Tan et al.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S24 Wu et al. (2022)</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2.10.</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 Albalwy et al. (2021)</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dynamic consent proof of concept for clinical genomic data, in which a hashed policy tree of data type, role, and purpose is evaluated by the smart contract.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single patient sets and cancels consent, the requester's role and credentials are not verified, time is applied only at the delivery layer, and there is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S7 Jaiman and Urovi (2020)</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Security assurance is explicitly outside its scope,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S17 Román-Martínez et al. (2023)</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There is no withdrawal or expiry path, and the experiments validate only the blockchain component.</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S21 Tith et al. (2020)</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 xml:space="preserve">Req 5 is graded Yes in 8 studies, </w:t>
      </w:r>
      <w:r>
        <w:t>a post-revocation denial is demonstrated only by Phuyal et al. (2026b), which enforces revocation but not expiry, so it does not fully satisfy Req 5,</w:t>
      </w:r>
      <w:r>
        <w:t xml:space="preserve"> and the four stream-5 systems that enforce time inside the decision are all single-party, with Li et al. (2026a) doing so through the credential rather than the consent.</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S5 Eneh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S9 Li et al. (2026a)</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hybrid RBAC and smart contract scheme with attribute-based authentication for fine-grained EMR access in IoMT, which enforces credential expiry at every sharing interaction.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S13 Panagoulias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S18 Hema et al. (2026)</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r>
    </w:tbl>
    <w:p>
      <w:pPr/>
      <w:r/>
    </w:p>
    <w:p>
      <w:pPr>
        <w:pStyle w:val="3"/>
        <w:keepNext/>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Study</w:t>
            </w:r>
          </w:p>
        </w:tc>
        <w:tc>
          <w:tcPr>
            <w:tcW w:type="dxa" w:w="221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Description of the study</w:t>
            </w:r>
          </w:p>
        </w:tc>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Issues/Limitations</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1</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2</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3</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4</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5</w:t>
            </w:r>
          </w:p>
        </w:tc>
        <w:tc>
          <w:tcPr>
            <w:tcW w:type="dxa" w:w="539"/>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17"/>
              </w:rPr>
            </w:r>
            <w:r>
              <w:rPr>
                <w:rFonts w:ascii="Palatino Linotype" w:hAnsi="Palatino Linotype" w:cs="Palatino Linotype"/>
                <w:b/>
                <w:color w:val="000000"/>
                <w:sz w:val="17"/>
              </w:rPr>
              <w:t>Req 6</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S8 Zhao and Su (2024)</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S11 Maruthi and Singh (2025)</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Policy and temporal conditions are not evaluated, and the proofs cover the threshold gate in isolation rather than the complete decision.</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S12 Mei et al. (2026)</w:t>
            </w:r>
          </w:p>
        </w:tc>
        <w:tc>
          <w:tcPr>
            <w:tcW w:type="dxa" w:w="221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 covers a static encryption predicate, revocation operates at scheme level rather than on a consent object, and there is no multi-party approval.</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r>
        <w:trPr>
          <w:cantSplit/>
        </w:trPr>
        <w:tc>
          <w:tcPr>
            <w:tcW w:type="dxa" w:w="1020"/>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S25 Wu and Zhang (2025)</w:t>
            </w:r>
          </w:p>
        </w:tc>
        <w:tc>
          <w:tcPr>
            <w:tcW w:type="dxa" w:w="221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No</w:t>
            </w:r>
          </w:p>
        </w:tc>
        <w:tc>
          <w:tcPr>
            <w:tcW w:type="dxa" w:w="539"/>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17"/>
              </w:rPr>
            </w:r>
            <w:r>
              <w:rPr>
                <w:rFonts w:ascii="Palatino Linotype" w:hAnsi="Palatino Linotype" w:cs="Palatino Linotype"/>
                <w:color w:val="000000"/>
                <w:sz w:val="17"/>
              </w:rPr>
              <w:t>Yes</w:t>
            </w:r>
          </w:p>
        </w:tc>
      </w:tr>
    </w:tbl>
    <w:p>
      <w:pPr/>
      <w:r/>
    </w:p>
    <w:p>
      <w:pPr>
        <w:pStyle w:val="3"/>
        <w:keepNext/>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2.10 summarises</w:t>
      </w:r>
      <w:r>
        <w:t xml:space="preserve"> the 25 studies against the six requirements</w:t>
      </w:r>
      <w:r>
        <w:t>.</w:t>
      </w:r>
      <w:r>
        <w:t xml:space="preserve"> </w:t>
      </w:r>
      <w:r>
        <w:t>In the Req 6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6A4834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04D627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3C7F62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93B1E77"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0CB57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3E996D6B"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0772B9"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Req 6</w:t>
            </w:r>
          </w:p>
        </w:tc>
      </w:tr>
      <w:tr w:rsidR="009262C4" w14:paraId="1198B3A7"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D269E4" w14:textId="77777777" w:rsidR="009262C4" w:rsidRDefault="00000000">
            <w:pPr>
              <w:spacing w:before="40" w:after="40" w:line="240" w:lineRule="auto"/>
              <w:jc w:val="left"/>
            </w:pPr>
            <w:r>
              <w:rPr>
                <w:rFonts w:ascii="Palatino Linotype" w:hAnsi="Palatino Linotype" w:cs="Palatino Linotype"/>
                <w:color w:val="000000"/>
                <w:sz w:val="20"/>
                <w:szCs w:val="17"/>
              </w:rPr>
              <w:t>S1 Abbasi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353DE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E947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2E319D"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323AA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0245F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41AD0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2E0525F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30BEAC"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S2 Albalwy et al. (2021)</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0F9E6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3BDD8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E92A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3C1DB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4D50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102FC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887314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D55E" w14:textId="77777777" w:rsidR="009262C4" w:rsidRDefault="00000000">
            <w:pPr>
              <w:spacing w:before="40" w:after="40" w:line="240" w:lineRule="auto"/>
              <w:jc w:val="left"/>
            </w:pPr>
            <w:r>
              <w:rPr>
                <w:rFonts w:ascii="Palatino Linotype" w:hAnsi="Palatino Linotype" w:cs="Palatino Linotype"/>
                <w:color w:val="000000"/>
                <w:sz w:val="20"/>
                <w:szCs w:val="17"/>
              </w:rPr>
              <w:t>S3 Al Amin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9C400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5228D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F4713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A8B63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632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90A7E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CFEF1BA"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5794249" w14:textId="77777777" w:rsidR="009262C4" w:rsidRDefault="00000000">
            <w:pPr>
              <w:spacing w:before="40" w:after="40" w:line="240" w:lineRule="auto"/>
              <w:jc w:val="left"/>
            </w:pPr>
            <w:r>
              <w:rPr>
                <w:rFonts w:ascii="Palatino Linotype" w:hAnsi="Palatino Linotype" w:cs="Palatino Linotype"/>
                <w:color w:val="000000"/>
                <w:sz w:val="20"/>
                <w:szCs w:val="17"/>
              </w:rPr>
              <w:t>S4 Ekholm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F0C2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6D71C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B3F56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9DA5D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933F7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99D14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3BC8B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B8C5159" w14:textId="77777777" w:rsidR="009262C4" w:rsidRDefault="00000000">
            <w:pPr>
              <w:spacing w:before="40" w:after="40" w:line="240" w:lineRule="auto"/>
              <w:jc w:val="left"/>
            </w:pPr>
            <w:r>
              <w:rPr>
                <w:rFonts w:ascii="Palatino Linotype" w:hAnsi="Palatino Linotype" w:cs="Palatino Linotype"/>
                <w:color w:val="000000"/>
                <w:sz w:val="20"/>
                <w:szCs w:val="17"/>
              </w:rPr>
              <w:t>S5 Eneh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119A8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72BE5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FD614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88E8C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5634C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33186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54CCACD"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8ED44A" w14:textId="77777777" w:rsidR="009262C4" w:rsidRDefault="00000000">
            <w:pPr>
              <w:spacing w:before="40" w:after="40" w:line="240" w:lineRule="auto"/>
              <w:jc w:val="left"/>
            </w:pPr>
            <w:r>
              <w:rPr>
                <w:rFonts w:ascii="Palatino Linotype" w:hAnsi="Palatino Linotype" w:cs="Palatino Linotype"/>
                <w:color w:val="000000"/>
                <w:sz w:val="20"/>
                <w:szCs w:val="17"/>
              </w:rPr>
              <w:t>S6 Hagström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7306A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D22FF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87231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594B9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B6E3B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49910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5437E801"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E0CE2A1" w14:textId="77777777" w:rsidR="009262C4" w:rsidRDefault="00000000">
            <w:pPr>
              <w:spacing w:before="40" w:after="40" w:line="240" w:lineRule="auto"/>
              <w:jc w:val="left"/>
            </w:pPr>
            <w:r>
              <w:rPr>
                <w:rFonts w:ascii="Palatino Linotype" w:hAnsi="Palatino Linotype" w:cs="Palatino Linotype"/>
                <w:color w:val="000000"/>
                <w:sz w:val="20"/>
                <w:szCs w:val="17"/>
              </w:rPr>
              <w:t xml:space="preserve">S7 Jaiman and Urovi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5F114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25D17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EE2914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ED68EE"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2DF353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099F7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BDCE4B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CC62A6" w14:textId="77777777" w:rsidR="009262C4" w:rsidRDefault="00000000">
            <w:pPr>
              <w:spacing w:before="40" w:after="40" w:line="240" w:lineRule="auto"/>
              <w:jc w:val="left"/>
            </w:pPr>
            <w:r>
              <w:rPr>
                <w:rFonts w:ascii="Palatino Linotype" w:hAnsi="Palatino Linotype" w:cs="Palatino Linotype"/>
                <w:color w:val="000000"/>
                <w:sz w:val="20"/>
                <w:szCs w:val="17"/>
              </w:rPr>
              <w:t>S8 Zhao and Su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F17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6BA52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CACBC1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B7907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2D4F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41D6DF"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005AA4CE"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3FAADB" w14:textId="77777777" w:rsidR="009262C4" w:rsidRDefault="00000000">
            <w:pPr>
              <w:spacing w:before="40" w:after="40" w:line="240" w:lineRule="auto"/>
              <w:jc w:val="left"/>
            </w:pPr>
            <w:r>
              <w:rPr>
                <w:rFonts w:ascii="Palatino Linotype" w:hAnsi="Palatino Linotype" w:cs="Palatino Linotype"/>
                <w:color w:val="000000"/>
                <w:sz w:val="20"/>
                <w:szCs w:val="17"/>
              </w:rPr>
              <w:t>S9 Li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8A73F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90A85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9726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A6A07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65B17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55243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ED5A622"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0711215" w14:textId="77777777" w:rsidR="009262C4" w:rsidRDefault="00000000">
            <w:pPr>
              <w:spacing w:before="40" w:after="40" w:line="240" w:lineRule="auto"/>
              <w:jc w:val="left"/>
            </w:pPr>
            <w:r>
              <w:rPr>
                <w:rFonts w:ascii="Palatino Linotype" w:hAnsi="Palatino Linotype" w:cs="Palatino Linotype"/>
                <w:color w:val="000000"/>
                <w:sz w:val="20"/>
                <w:szCs w:val="17"/>
              </w:rPr>
              <w:t>S10 Madine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CCF7FA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61119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9ECCBA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C4DEB4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472D2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99BF3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32FA4AE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535FE3" w14:textId="77777777" w:rsidR="009262C4" w:rsidRDefault="00000000">
            <w:pPr>
              <w:spacing w:before="40" w:after="40" w:line="240" w:lineRule="auto"/>
              <w:jc w:val="left"/>
            </w:pPr>
            <w:r>
              <w:rPr>
                <w:rFonts w:ascii="Palatino Linotype" w:hAnsi="Palatino Linotype" w:cs="Palatino Linotype"/>
                <w:color w:val="000000"/>
                <w:sz w:val="20"/>
                <w:szCs w:val="17"/>
              </w:rPr>
              <w:t>S11 Maruthi and Singh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9252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E181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6F4A5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834AC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D8EB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DA9E5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284876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182FB9" w14:textId="77777777" w:rsidR="009262C4" w:rsidRDefault="00000000">
            <w:pPr>
              <w:spacing w:before="40" w:after="40" w:line="240" w:lineRule="auto"/>
              <w:jc w:val="left"/>
            </w:pPr>
            <w:r>
              <w:rPr>
                <w:rFonts w:ascii="Palatino Linotype" w:hAnsi="Palatino Linotype" w:cs="Palatino Linotype"/>
                <w:color w:val="000000"/>
                <w:sz w:val="20"/>
                <w:szCs w:val="17"/>
              </w:rPr>
              <w:t>S12 Mei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5EBA1B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BA7338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0CAA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1AAE1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C94E718"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725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6FB79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F552D9" w14:textId="77777777" w:rsidR="009262C4" w:rsidRDefault="00000000">
            <w:pPr>
              <w:spacing w:before="40" w:after="40" w:line="240" w:lineRule="auto"/>
              <w:jc w:val="left"/>
            </w:pPr>
            <w:r>
              <w:rPr>
                <w:rFonts w:ascii="Palatino Linotype" w:hAnsi="Palatino Linotype" w:cs="Palatino Linotype"/>
                <w:color w:val="000000"/>
                <w:sz w:val="20"/>
                <w:szCs w:val="17"/>
              </w:rPr>
              <w:t>S13 Panagoulias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47841B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47D350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2687F4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DE7749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370049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6C0E5C"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30EE1003"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3D3DC" w14:textId="77777777" w:rsidR="009262C4" w:rsidRDefault="00000000">
            <w:pPr>
              <w:spacing w:before="40" w:after="40" w:line="240" w:lineRule="auto"/>
              <w:jc w:val="left"/>
            </w:pPr>
            <w:r>
              <w:rPr>
                <w:rFonts w:ascii="Palatino Linotype" w:hAnsi="Palatino Linotype" w:cs="Palatino Linotype"/>
                <w:color w:val="000000"/>
                <w:sz w:val="20"/>
                <w:szCs w:val="17"/>
              </w:rPr>
              <w:t>S14 Phuyal et al. (2026b)</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A435FE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5C24D7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22014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597EC1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0490C6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D6D3099"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r w:rsidR="009262C4" w14:paraId="6BDE0A2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7E90E4D" w14:textId="77777777" w:rsidR="009262C4" w:rsidRDefault="00000000">
            <w:pPr>
              <w:spacing w:before="40" w:after="40" w:line="240" w:lineRule="auto"/>
              <w:jc w:val="left"/>
            </w:pPr>
            <w:r>
              <w:rPr>
                <w:rFonts w:ascii="Palatino Linotype" w:hAnsi="Palatino Linotype" w:cs="Palatino Linotype"/>
                <w:color w:val="000000"/>
                <w:sz w:val="20"/>
                <w:szCs w:val="17"/>
              </w:rPr>
              <w:t>S15 Phuyal et al. (2026a)</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D6696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6E8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41C2B2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AF975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64D8BD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FBA4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EADAE9B"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98AF6" w14:textId="77777777" w:rsidR="009262C4" w:rsidRDefault="00000000">
            <w:pPr>
              <w:spacing w:before="40" w:after="40" w:line="240" w:lineRule="auto"/>
              <w:jc w:val="left"/>
            </w:pPr>
            <w:r>
              <w:rPr>
                <w:rFonts w:ascii="Palatino Linotype" w:hAnsi="Palatino Linotype" w:cs="Palatino Linotype"/>
                <w:color w:val="000000"/>
                <w:sz w:val="20"/>
                <w:szCs w:val="17"/>
              </w:rPr>
              <w:t>S16 Punia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94C9C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0D729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3F10302"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0D57DD"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F0A7F3"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D68205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436A2F1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1033AC" w14:textId="77777777" w:rsidR="009262C4" w:rsidRDefault="00000000">
            <w:pPr>
              <w:spacing w:before="40" w:after="40" w:line="240" w:lineRule="auto"/>
              <w:jc w:val="left"/>
            </w:pPr>
            <w:r>
              <w:rPr>
                <w:rFonts w:ascii="Palatino Linotype" w:hAnsi="Palatino Linotype" w:cs="Palatino Linotype"/>
                <w:color w:val="000000"/>
                <w:sz w:val="20"/>
                <w:szCs w:val="17"/>
              </w:rPr>
              <w:t>S17 Román-Martínez et al. (2023)</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9B0C46"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32BB8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5061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6BC9EE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28842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6247D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2EB5DA8"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B9E2D9F" w14:textId="77777777" w:rsidR="009262C4" w:rsidRDefault="00000000">
            <w:pPr>
              <w:spacing w:before="40" w:after="40" w:line="240" w:lineRule="auto"/>
              <w:jc w:val="left"/>
            </w:pPr>
            <w:r>
              <w:rPr>
                <w:rFonts w:ascii="Palatino Linotype" w:hAnsi="Palatino Linotype" w:cs="Palatino Linotype"/>
                <w:color w:val="000000"/>
                <w:sz w:val="20"/>
                <w:szCs w:val="17"/>
              </w:rPr>
              <w:t>S18 Hema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E490E8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BFC5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18463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9E21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73D58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8D3DD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04A2AC"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A74D7E4" w14:textId="77777777" w:rsidR="009262C4" w:rsidRDefault="00000000">
            <w:pPr>
              <w:spacing w:before="40" w:after="40" w:line="240" w:lineRule="auto"/>
              <w:jc w:val="left"/>
            </w:pPr>
            <w:r>
              <w:rPr>
                <w:rFonts w:ascii="Palatino Linotype" w:hAnsi="Palatino Linotype" w:cs="Palatino Linotype"/>
                <w:color w:val="000000"/>
                <w:sz w:val="20"/>
                <w:szCs w:val="17"/>
              </w:rPr>
              <w:t>S19 SooHoo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8B01D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2D2A84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8E08A8"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1EEC15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F7B01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EE3F7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1B995D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E18B69" w14:textId="77777777" w:rsidR="009262C4" w:rsidRDefault="00000000">
            <w:pPr>
              <w:spacing w:before="40" w:after="40" w:line="240" w:lineRule="auto"/>
              <w:jc w:val="left"/>
            </w:pPr>
            <w:r>
              <w:rPr>
                <w:rFonts w:ascii="Palatino Linotype" w:hAnsi="Palatino Linotype" w:cs="Palatino Linotype"/>
                <w:color w:val="000000"/>
                <w:sz w:val="20"/>
                <w:szCs w:val="17"/>
              </w:rPr>
              <w:t>S20 Tan et al. (2024)</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6ADF66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AD30DFB"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DCC4F5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0CB1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C0D95E2"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03BD07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5A0D7B05"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B61173" w14:textId="77777777" w:rsidR="009262C4" w:rsidRDefault="00000000">
            <w:pPr>
              <w:spacing w:before="40" w:after="40" w:line="240" w:lineRule="auto"/>
              <w:jc w:val="left"/>
            </w:pPr>
            <w:r>
              <w:rPr>
                <w:rFonts w:ascii="Palatino Linotype" w:hAnsi="Palatino Linotype" w:cs="Palatino Linotype"/>
                <w:color w:val="000000"/>
                <w:sz w:val="20"/>
                <w:szCs w:val="17"/>
              </w:rPr>
              <w:t>S21 Tith et al. (2020)</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EC859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71A51C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BF3FD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00F611"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ECD7C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31F7D0F"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B457C76"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354F19" w14:textId="77777777" w:rsidR="009262C4" w:rsidRDefault="00000000">
            <w:pPr>
              <w:spacing w:before="40" w:after="40" w:line="240" w:lineRule="auto"/>
              <w:jc w:val="left"/>
            </w:pPr>
            <w:r>
              <w:rPr>
                <w:rFonts w:ascii="Palatino Linotype" w:hAnsi="Palatino Linotype" w:cs="Palatino Linotype"/>
                <w:color w:val="000000"/>
                <w:sz w:val="20"/>
                <w:szCs w:val="17"/>
              </w:rPr>
              <w:t>S22 Tremper et al. (2026)</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285B9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14E336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015D851"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189197"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129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530DCE"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6F2BEA30"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C4B8F8" w14:textId="77777777" w:rsidR="009262C4" w:rsidRDefault="00000000">
            <w:pPr>
              <w:spacing w:before="40" w:after="40" w:line="240" w:lineRule="auto"/>
              <w:jc w:val="left"/>
            </w:pPr>
            <w:r>
              <w:rPr>
                <w:rFonts w:ascii="Palatino Linotype" w:hAnsi="Palatino Linotype" w:cs="Palatino Linotype"/>
                <w:color w:val="000000"/>
                <w:sz w:val="20"/>
                <w:szCs w:val="17"/>
              </w:rPr>
              <w:t>S23 Tseng et al. (2025)</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CF8F6E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62502F0"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4EE972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02A084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78BE2A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C832B9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166EB1DF" w14:textId="77777777">
        <w:trPr>
          <w:cantSplit/>
        </w:trPr>
        <w:tc>
          <w:tcPr>
            <w:tcW w:w="340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2C42555" w14:textId="77777777" w:rsidR="009262C4" w:rsidRDefault="00000000">
            <w:pPr>
              <w:spacing w:before="40" w:after="40" w:line="240" w:lineRule="auto"/>
              <w:jc w:val="left"/>
            </w:pPr>
            <w:r>
              <w:rPr>
                <w:rFonts w:ascii="Palatino Linotype" w:hAnsi="Palatino Linotype" w:cs="Palatino Linotype"/>
                <w:color w:val="000000"/>
                <w:sz w:val="20"/>
                <w:szCs w:val="17"/>
              </w:rPr>
              <w:t>S24 Wu et al. (2022)</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9D8E4F4"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D42B86"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6969E13"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B3B3C69"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A89453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F3103E0"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vAlign w:val="top"/>
          </w:tcPr>
          <w:p w14:paraId="2FAA777A" w14:textId="77777777" w:rsidR="009262C4" w:rsidRDefault="00000000">
            <w:pPr>
              <w:spacing w:before="40" w:after="40" w:line="240" w:lineRule="auto"/>
              <w:jc w:val="left"/>
            </w:pPr>
            <w:r>
              <w:rPr>
                <w:rFonts w:ascii="Palatino Linotype" w:hAnsi="Palatino Linotype" w:cs="Palatino Linotype"/>
                <w:color w:val="000000"/>
                <w:sz w:val="20"/>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9B65764"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3436987"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6C341D7B"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65BF5CA"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30F114D5" w14:textId="77777777" w:rsidR="009262C4" w:rsidRDefault="00000000">
            <w:pPr>
              <w:spacing w:before="40" w:after="40" w:line="240" w:lineRule="auto"/>
              <w:jc w:val="left"/>
            </w:pPr>
            <w:r>
              <w:rPr>
                <w:rFonts w:ascii="Palatino Linotype" w:hAnsi="Palatino Linotype" w:cs="Palatino Linotype"/>
                <w:color w:val="000000"/>
                <w:sz w:val="20"/>
                <w:szCs w:val="17"/>
              </w:rPr>
              <w:t>No</w:t>
            </w:r>
          </w:p>
        </w:tc>
        <w:tc>
          <w:tcPr>
            <w:tcW w:w="850" w:type="dxa"/>
            <w:tcBorders>
              <w:top w:val="nil"/>
              <w:left w:val="nil"/>
              <w:bottom w:val="nil"/>
              <w:right w:val="nil"/>
              <w:insideH w:val="nil"/>
              <w:insideV w:val="nil"/>
            </w:tcBorders>
            <w:tcMar>
              <w:top w:w="40" w:type="dxa"/>
              <w:left w:w="80" w:type="dxa"/>
              <w:bottom w:w="40" w:type="dxa"/>
              <w:right w:w="80" w:type="dxa"/>
            </w:tcMar>
            <w:vAlign w:val="top"/>
          </w:tcPr>
          <w:p w14:paraId="2BB9100A" w14:textId="77777777" w:rsidR="009262C4" w:rsidRDefault="00000000">
            <w:pPr>
              <w:spacing w:before="40" w:after="40" w:line="240" w:lineRule="auto"/>
              <w:jc w:val="left"/>
            </w:pPr>
            <w:r>
              <w:rPr>
                <w:rFonts w:ascii="Palatino Linotype" w:hAnsi="Palatino Linotype" w:cs="Palatino Linotype"/>
                <w:color w:val="000000"/>
                <w:sz w:val="20"/>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w:t>
      </w:r>
      <w:r>
        <w:t>since the studies that combine several conditions test their own decisions, but none proves or tests the complete conjunction that includes multi-party approval</w:t>
      </w:r>
      <w:r>
        <w:t xml:space="preserve">,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Synthesis of the review: the conjunction gap and the assurance gap</w:t>
      </w:r>
    </w:p>
    <w:p>
      <w:pPr/>
      <w: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t>•</w:t>
        <w:tab/>
      </w:r>
      <w:r>
        <w:rPr>
          <w:i/>
          <w:u w:val="single"/>
        </w:rPr>
        <w:t>Inability to represent consent as an evaluable authorisation object (Req 1):</w:t>
      </w:r>
      <w: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t>•</w:t>
        <w:tab/>
      </w:r>
      <w:r>
        <w:rPr>
          <w:i/>
          <w:u w:val="single"/>
        </w:rPr>
        <w:t>Inability to verify authority separately from identity (Req 2):</w:t>
      </w:r>
      <w: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t>•</w:t>
        <w:tab/>
      </w:r>
      <w:r>
        <w:rPr>
          <w:i/>
          <w:u w:val="single"/>
        </w:rPr>
        <w:t>Absence of multi-party approval as a standing condition of every access decision (Req 3):</w:t>
      </w:r>
      <w: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t>•</w:t>
        <w:tab/>
      </w:r>
      <w:r>
        <w:rPr>
          <w:i/>
          <w:u w:val="single"/>
        </w:rPr>
        <w:t>Inability to bind purpose and data scope to the same decision as identity, authority and approval (Req 4):</w:t>
      </w:r>
      <w:r>
        <w:t xml:space="preserve"> Policy controls on purpose or data scope are enforced by 10 of the 25 studies (Table 2.10), only six of which evaluate purpose-of-use as part of the access decision, and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t>•</w:t>
        <w:tab/>
      </w:r>
      <w:r>
        <w:rPr>
          <w:i/>
          <w:u w:val="single"/>
        </w:rPr>
        <w:t>Absence of temporal and lifecycle evaluation integrated with the complete access decision (Req 5):</w:t>
      </w:r>
      <w:r>
        <w:t xml:space="preserve"> Req 5 is graded Yes in 8 of the 25 studies (Table 2.10). While some of them, such as (Eneh et al. 2026; Panagoulias et al. 2026), evaluate the validity period or the revocation of a consent at the time of the request, the others enforce them on a credential or at registration, and none integrates them with the complete multi-party authorisation decision. Without such integration, a consent that has expired or been revoked can remain usable once its approvals have been recorded.</w:t>
      </w:r>
    </w:p>
    <w:p>
      <w:pPr>
        <w:tabs>
          <w:tab w:pos="510" w:val="left"/>
        </w:tabs>
        <w:spacing w:after="120"/>
        <w:ind w:left="510" w:hanging="283"/>
      </w:pPr>
      <w:r>
        <w:t>•</w:t>
        <w:tab/>
      </w:r>
      <w:r>
        <w:rPr>
          <w:i/>
          <w:u w:val="single"/>
        </w:rPr>
        <w:t>Absence of formal and empirical assurance of the complete decision (Req 6):</w:t>
      </w:r>
      <w: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t>In the next section, we present our proposed framework to address the gaps.</w:t>
      </w:r>
    </w:p>
    <w:p>
      <w:pPr>
        <w:pStyle w:val="2"/>
        <w:keepNext/>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keepNext/>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addressed through RO1, presented in Chapter 5.</w:t>
      </w:r>
    </w:p>
    <w:p>
      <w:pPr>
        <w:pStyle w:val="3"/>
        <w:keepNext/>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w:t>
      </w:r>
      <w:r>
        <w:t>This requirement is addressed through RO2, presented in Chapter 6.</w:t>
      </w:r>
    </w:p>
    <w:p>
      <w:pPr>
        <w:pStyle w:val="3"/>
        <w:keepNext/>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addressed through RO3, presented in Chapter 7.</w:t>
      </w:r>
    </w:p>
    <w:p>
      <w:pPr>
        <w:pStyle w:val="3"/>
        <w:keepNext/>
      </w:pPr>
      <w:r>
        <w:t>2.5.4 Policy- and Context-Aware Enforcement at the Time of Access (Req 4)</w:t>
      </w:r>
    </w:p>
    <w:p>
      <w:pPr/>
      <w:r>
        <w:t xml:space="preserve">Purpose and a non-empty data scope within the consent are evaluated as VP through Algorithm 4. </w:t>
      </w:r>
      <w:r>
        <w:t>This requirement is addressed through RO4, presented in Chapter 8.</w:t>
      </w:r>
    </w:p>
    <w:p>
      <w:pPr>
        <w:pStyle w:val="3"/>
        <w:keepNext/>
      </w:pPr>
      <w:r>
        <w:t>2.5.5 Temporal Validity and Lifecycle Control of Consent (Req 5)</w:t>
      </w:r>
    </w:p>
    <w:p>
      <w:pPr/>
      <w:r>
        <w:t xml:space="preserve">The validity window VT, revocation, the lifecycle states, and the on-chain revocation on Sepolia are implemented, as specified in Algorithm 5. </w:t>
      </w:r>
      <w:r>
        <w:t>This requirement is addressed through RO5, presented in Chapter 9.</w:t>
      </w:r>
    </w:p>
    <w:p>
      <w:pPr>
        <w:pStyle w:val="3"/>
        <w:keepNext/>
      </w:pPr>
      <w:r>
        <w:t>2.5.6 Verifiable Auditability and Security Assurance (Req 6)</w:t>
      </w:r>
    </w:p>
    <w:p>
      <w:pPr/>
      <w:r>
        <w:t xml:space="preserve">Audit ledger evidence and 46 automated tests, including twelve attack scenarios A1 to A12. </w:t>
      </w:r>
      <w:r>
        <w:t>This requirement is addressed through RO6, presented in Chapter 10.</w:t>
      </w:r>
    </w:p>
    <w:p>
      <w:pPr>
        <w:pStyle w:val="2"/>
        <w:keepNext/>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some studies test their own decisions, but none proves or tests the complete conjunction defined in this review, including patient-defined multi-party approval as a standing condition of access.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keepNext/>
        <w:spacing w:before="360"/>
      </w:pPr>
      <w:r/>
      <w:r>
        <w:rPr>
          <w:color w:val="FFFFFF"/>
          <w:sz w:val="2"/>
        </w:rPr>
        <w:t xml:space="preserve">3. </w:t>
      </w:r>
      <w:r>
        <w:rPr>
          <w:smallCaps/>
        </w:rPr>
        <w:t>Research Questions and Objectives</w:t>
      </w:r>
    </w:p>
    <w:p>
      <w:pPr>
        <w:pStyle w:val="2"/>
        <w:keepNext/>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keepNext/>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that is integrated with the complete access decision; where they are evaluated at the time of the request, they stand apart from the identity, authority and approval conditions, and elsewhere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keepNext/>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keepNext/>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keepNext/>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(Chapter 10).</w:t>
      </w:r>
      <w:r>
        <w:t xml:space="preserve">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keepNext/>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keepNext/>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keepNext/>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keepNext/>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keepNext/>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keepNext/>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keepNext/>
      </w:pPr>
      <w:r>
        <w:t>3.5.6 RO6: Formal Security Assurance and Empirical Validation</w:t>
      </w:r>
    </w:p>
    <w:p w14:paraId="764837CE" w14:textId="77777777" w:rsidR="009262C4" w:rsidRDefault="00000000">
      <w:pPr>
        <w:spacing w:after="110" w:line="264" w:lineRule="auto"/>
        <w:jc w:val="both"/>
      </w:pPr>
      <w:r>
        <w:t>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keepNext/>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D840BB2"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7DC19190"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FA42B8"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6CDE34A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Status</w:t>
            </w:r>
          </w:p>
        </w:tc>
      </w:tr>
      <w:tr w:rsidR="009262C4" w14:paraId="310366C5"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A171076" w14:textId="77777777" w:rsidR="009262C4" w:rsidRDefault="00000000">
            <w:pPr>
              <w:keepNext/>
              <w:spacing w:before="40" w:after="40" w:line="240" w:lineRule="auto"/>
              <w:jc w:val="left"/>
            </w:pPr>
            <w:r>
              <w:rPr>
                <w:rFonts w:ascii="Palatino Linotype" w:hAnsi="Palatino Linotype" w:cs="Palatino Linotype"/>
                <w:color w:val="000000"/>
                <w:sz w:val="20"/>
                <w:szCs w:val="17"/>
              </w:rPr>
              <w:t>RQ1</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1DF6D4F" w14:textId="77777777" w:rsidR="009262C4" w:rsidRDefault="00000000">
            <w:pPr>
              <w:keepNext/>
              <w:spacing w:before="40" w:after="40" w:line="240" w:lineRule="auto"/>
              <w:jc w:val="left"/>
            </w:pPr>
            <w:r>
              <w:rPr>
                <w:rFonts w:ascii="Palatino Linotype" w:hAnsi="Palatino Linotype" w:cs="Palatino Linotype"/>
                <w:color w:val="000000"/>
                <w:sz w:val="20"/>
                <w:szCs w:val="17"/>
              </w:rPr>
              <w:t>RO1: Trust-Centric Consent Model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37165DD"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trust-aware consent model that represents patient consent as a structured and evaluable authorisation object.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05D93FE"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6726E0D0"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A8A51D4" w14:textId="77777777" w:rsidR="009262C4" w:rsidRDefault="00000000">
            <w:pPr>
              <w:keepNext/>
              <w:spacing w:before="40" w:after="40" w:line="240" w:lineRule="auto"/>
              <w:jc w:val="left"/>
            </w:pPr>
            <w:r>
              <w:rPr>
                <w:rFonts w:ascii="Palatino Linotype" w:hAnsi="Palatino Linotype" w:cs="Palatino Linotype"/>
                <w:color w:val="000000"/>
                <w:sz w:val="20"/>
                <w:szCs w:val="17"/>
              </w:rPr>
              <w:t>RQ2</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72300B" w14:textId="77777777" w:rsidR="009262C4" w:rsidRDefault="00000000">
            <w:pPr>
              <w:keepNext/>
              <w:spacing w:before="40" w:after="40" w:line="240" w:lineRule="auto"/>
              <w:jc w:val="left"/>
            </w:pPr>
            <w:r>
              <w:rPr>
                <w:rFonts w:ascii="Palatino Linotype" w:hAnsi="Palatino Linotype" w:cs="Palatino Linotype"/>
                <w:color w:val="000000"/>
                <w:sz w:val="20"/>
                <w:szCs w:val="17"/>
              </w:rPr>
              <w:t>RO2: Decentralised Identity and Authority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2AA03C4"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decentralised identity and authority verification mechanism using decentralised identifiers and verifiable credentials.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5F5403"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422D918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98B70B7" w14:textId="77777777" w:rsidR="009262C4" w:rsidRDefault="00000000">
            <w:pPr>
              <w:keepNext/>
              <w:spacing w:before="40" w:after="40" w:line="240" w:lineRule="auto"/>
              <w:jc w:val="left"/>
            </w:pPr>
            <w:r>
              <w:rPr>
                <w:rFonts w:ascii="Palatino Linotype" w:hAnsi="Palatino Linotype" w:cs="Palatino Linotype"/>
                <w:color w:val="000000"/>
                <w:sz w:val="20"/>
                <w:szCs w:val="17"/>
              </w:rPr>
              <w:t>RQ3</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56FFE90" w14:textId="77777777" w:rsidR="009262C4" w:rsidRDefault="00000000">
            <w:pPr>
              <w:keepNext/>
              <w:spacing w:before="40" w:after="40" w:line="240" w:lineRule="auto"/>
              <w:jc w:val="left"/>
            </w:pPr>
            <w:r>
              <w:rPr>
                <w:rFonts w:ascii="Palatino Linotype" w:hAnsi="Palatino Linotype" w:cs="Palatino Linotype"/>
                <w:color w:val="000000"/>
                <w:sz w:val="20"/>
                <w:szCs w:val="17"/>
              </w:rPr>
              <w:t>RO3: Trustworthy Multi-Party Authorisation</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485AB3C"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706FD3A"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29B69BC2"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33F03B" w14:textId="77777777" w:rsidR="009262C4" w:rsidRDefault="00000000">
            <w:pPr>
              <w:keepNext/>
              <w:spacing w:before="40" w:after="40" w:line="240" w:lineRule="auto"/>
              <w:jc w:val="left"/>
            </w:pPr>
            <w:r>
              <w:rPr>
                <w:rFonts w:ascii="Palatino Linotype" w:hAnsi="Palatino Linotype" w:cs="Palatino Linotype"/>
                <w:color w:val="000000"/>
                <w:sz w:val="20"/>
                <w:szCs w:val="17"/>
              </w:rPr>
              <w:t>RQ4</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0893F6A2" w14:textId="77777777" w:rsidR="009262C4" w:rsidRDefault="00000000">
            <w:pPr>
              <w:keepNext/>
              <w:spacing w:before="40" w:after="40" w:line="240" w:lineRule="auto"/>
              <w:jc w:val="left"/>
            </w:pPr>
            <w:r>
              <w:rPr>
                <w:rFonts w:ascii="Palatino Linotype" w:hAnsi="Palatino Linotype" w:cs="Palatino Linotype"/>
                <w:color w:val="000000"/>
                <w:sz w:val="20"/>
                <w:szCs w:val="17"/>
              </w:rPr>
              <w:t>RO4: Policy- and Context-Aware Access Control</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F69473F" w14:textId="77777777" w:rsidR="009262C4" w:rsidRDefault="00000000">
            <w:pPr>
              <w:keepNext/>
              <w:spacing w:before="40" w:after="40" w:line="240" w:lineRule="auto"/>
              <w:jc w:val="left"/>
            </w:pPr>
            <w:r>
              <w:rPr>
                <w:rFonts w:ascii="Palatino Linotype" w:hAnsi="Palatino Linotype" w:cs="Palatino Linotype"/>
                <w:color w:val="000000"/>
                <w:sz w:val="20"/>
                <w:szCs w:val="17"/>
              </w:rPr>
              <w:t>To develop a policy-aware authorisation mechanism that evaluates the purpose and data scope of a requested operation against the constraints defined by the consent.</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4DEFDAC" w14:textId="77777777" w:rsidR="009262C4" w:rsidRDefault="00000000">
            <w:pPr>
              <w:keepNext/>
              <w:spacing w:before="40" w:after="40" w:line="240" w:lineRule="auto"/>
              <w:jc w:val="left"/>
            </w:pPr>
            <w:r>
              <w:rPr>
                <w:rFonts w:ascii="Palatino Linotype" w:hAnsi="Palatino Linotype" w:cs="Palatino Linotype"/>
                <w:color w:val="000000"/>
                <w:sz w:val="20"/>
                <w:szCs w:val="17"/>
              </w:rPr>
              <w:t>Done</w:t>
            </w:r>
          </w:p>
        </w:tc>
      </w:tr>
      <w:tr w:rsidR="009262C4" w14:paraId="0A812D5A" w14:textId="77777777">
        <w:trPr>
          <w:cantSplit/>
        </w:trPr>
        <w:tc>
          <w:tcPr>
            <w:tcW w:w="68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D822715" w14:textId="77777777" w:rsidR="009262C4" w:rsidRDefault="00000000">
            <w:pPr>
              <w:keepNext/>
              <w:spacing w:before="40" w:after="40" w:line="240" w:lineRule="auto"/>
              <w:jc w:val="left"/>
            </w:pPr>
            <w:r>
              <w:rPr>
                <w:rFonts w:ascii="Palatino Linotype" w:hAnsi="Palatino Linotype" w:cs="Palatino Linotype"/>
                <w:color w:val="000000"/>
                <w:sz w:val="20"/>
                <w:szCs w:val="17"/>
              </w:rPr>
              <w:t>RQ5</w:t>
            </w:r>
          </w:p>
        </w:tc>
        <w:tc>
          <w:tcPr>
            <w:tcW w:w="234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224703" w14:textId="77777777" w:rsidR="009262C4" w:rsidRDefault="00000000">
            <w:pPr>
              <w:keepNext/>
              <w:spacing w:before="40" w:after="40" w:line="240" w:lineRule="auto"/>
              <w:jc w:val="left"/>
            </w:pPr>
            <w:r>
              <w:rPr>
                <w:rFonts w:ascii="Palatino Linotype" w:hAnsi="Palatino Linotype" w:cs="Palatino Linotype"/>
                <w:color w:val="000000"/>
                <w:sz w:val="20"/>
                <w:szCs w:val="17"/>
              </w:rPr>
              <w:t>RO5: Temporal and Lifecycle Trust</w:t>
            </w:r>
          </w:p>
        </w:tc>
        <w:tc>
          <w:tcPr>
            <w:tcW w:w="4544"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F0B3DFD" w14:textId="77777777" w:rsidR="009262C4" w:rsidRDefault="00000000">
            <w:pPr>
              <w:keepNext/>
              <w:spacing w:before="40" w:after="40" w:line="240" w:lineRule="auto"/>
              <w:jc w:val="left"/>
            </w:pPr>
            <w:r>
              <w:rPr>
                <w:rFonts w:ascii="Palatino Linotype" w:hAnsi="Palatino Linotype" w:cs="Palatino Linotype"/>
                <w:color w:val="000000"/>
                <w:sz w:val="20"/>
                <w:szCs w:val="17"/>
              </w:rPr>
              <w:t>To extend the trust-oriented framework with temporal validity and consent lifecycle controls.</w:t>
            </w:r>
          </w:p>
        </w:tc>
        <w:tc>
          <w:tcPr>
            <w:tcW w:w="1562"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561570" w14:textId="77777777" w:rsidR="009262C4" w:rsidRDefault="00000000">
            <w:pPr>
              <w:keepNext/>
              <w:spacing w:before="40" w:after="40" w:line="240" w:lineRule="auto"/>
              <w:jc w:val="left"/>
            </w:pPr>
            <w:r>
              <w:rPr>
                <w:rFonts w:ascii="Palatino Linotype" w:hAnsi="Palatino Linotype" w:cs="Palatino Linotype"/>
                <w:color w:val="000000"/>
                <w:sz w:val="20"/>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vAlign w:val="top"/>
          </w:tcPr>
          <w:p w14:paraId="18B589FF" w14:textId="77777777" w:rsidR="009262C4" w:rsidRDefault="00000000">
            <w:pPr>
              <w:spacing w:before="40" w:after="40" w:line="240" w:lineRule="auto"/>
              <w:jc w:val="left"/>
            </w:pPr>
            <w:r>
              <w:rPr>
                <w:rFonts w:ascii="Palatino Linotype" w:hAnsi="Palatino Linotype" w:cs="Palatino Linotype"/>
                <w:color w:val="000000"/>
                <w:sz w:val="20"/>
                <w:szCs w:val="17"/>
              </w:rPr>
              <w:t>RQ6</w:t>
            </w:r>
          </w:p>
        </w:tc>
        <w:tc>
          <w:tcPr>
            <w:tcW w:w="2340" w:type="dxa"/>
            <w:tcBorders>
              <w:top w:val="nil"/>
              <w:left w:val="nil"/>
              <w:bottom w:val="nil"/>
              <w:right w:val="nil"/>
              <w:insideH w:val="nil"/>
              <w:insideV w:val="nil"/>
            </w:tcBorders>
            <w:tcMar>
              <w:top w:w="40" w:type="dxa"/>
              <w:left w:w="80" w:type="dxa"/>
              <w:bottom w:w="40" w:type="dxa"/>
              <w:right w:w="80" w:type="dxa"/>
            </w:tcMar>
            <w:vAlign w:val="top"/>
          </w:tcPr>
          <w:p w14:paraId="077BCD3D" w14:textId="77777777" w:rsidR="009262C4" w:rsidRDefault="00000000">
            <w:pPr>
              <w:spacing w:before="40" w:after="40" w:line="240" w:lineRule="auto"/>
              <w:jc w:val="left"/>
            </w:pPr>
            <w:r>
              <w:rPr>
                <w:rFonts w:ascii="Palatino Linotype" w:hAnsi="Palatino Linotype" w:cs="Palatino Linotype"/>
                <w:color w:val="000000"/>
                <w:sz w:val="20"/>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vAlign w:val="top"/>
          </w:tcPr>
          <w:p w14:paraId="337D4938" w14:textId="77777777" w:rsidR="009262C4" w:rsidRDefault="00000000">
            <w:pPr>
              <w:spacing w:before="40" w:after="40" w:line="240" w:lineRule="auto"/>
              <w:jc w:val="left"/>
            </w:pPr>
            <w:r>
              <w:rPr>
                <w:rFonts w:ascii="Palatino Linotype" w:hAnsi="Palatino Linotype" w:cs="Palatino Linotype"/>
                <w:color w:val="000000"/>
                <w:sz w:val="20"/>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vAlign w:val="top"/>
          </w:tcPr>
          <w:p w14:paraId="686EBBB0" w14:textId="77777777" w:rsidR="009262C4" w:rsidRDefault="00000000">
            <w:pPr>
              <w:spacing w:before="40" w:after="40" w:line="240" w:lineRule="auto"/>
              <w:jc w:val="left"/>
            </w:pPr>
            <w:r>
              <w:rPr>
                <w:rFonts w:ascii="Palatino Linotype" w:hAnsi="Palatino Linotype" w:cs="Palatino Linotype"/>
                <w:color w:val="000000"/>
                <w:sz w:val="20"/>
                <w:szCs w:val="17"/>
              </w:rPr>
              <w:t>Partially completed</w:t>
            </w:r>
          </w:p>
        </w:tc>
      </w:tr>
    </w:tbl>
    <w:p w14:paraId="127522B7" w14:textId="77777777" w:rsidR="009262C4" w:rsidRDefault="009262C4">
      <w:pPr>
        <w:spacing w:after="160"/>
      </w:pPr>
    </w:p>
    <w:p>
      <w:pPr>
        <w:pStyle w:val="2"/>
        <w:keepNext/>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keepNext/>
        <w:spacing w:before="360"/>
      </w:pPr>
      <w:r/>
      <w:r>
        <w:rPr>
          <w:color w:val="FFFFFF"/>
          <w:sz w:val="2"/>
        </w:rPr>
        <w:t xml:space="preserve">4. </w:t>
      </w:r>
      <w:r>
        <w:rPr>
          <w:smallCaps/>
        </w:rPr>
        <w:t>Research Methodology and Solution Overview</w:t>
      </w:r>
    </w:p>
    <w:p>
      <w:pPr>
        <w:pStyle w:val="2"/>
        <w:keepNext/>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keepNext/>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keepNext/>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keepNext/>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keepNext/>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keepNext/>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keepNext/>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keepNext/>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keepNext/>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keepNext/>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keepNext/>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keepNext/>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keepNext/>
        <w:spacing w:before="360"/>
      </w:pPr>
      <w:r/>
      <w:r>
        <w:rPr>
          <w:color w:val="FFFFFF"/>
          <w:sz w:val="2"/>
        </w:rPr>
        <w:t xml:space="preserve">5. </w:t>
      </w:r>
      <w:r>
        <w:rPr>
          <w:smallCaps/>
        </w:rPr>
        <w:t>Research Architecture and Trust-Centric Consent Model</w:t>
      </w:r>
    </w:p>
    <w:p>
      <w:pPr>
        <w:pStyle w:val="2"/>
        <w:keepNext/>
      </w:pPr>
      <w:r>
        <w:t>5.1 Introduction</w:t>
      </w:r>
    </w:p>
    <w:p>
      <w:pPr/>
      <w:r>
        <w:t xml:space="preserve">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w:t>
      </w:r>
      <w:r>
        <w:t xml:space="preserve">. This provides</w:t>
      </w:r>
      <w:r>
        <w:t xml:space="preserve">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t>1.</w:t>
        <w:tab/>
      </w:r>
      <w:r>
        <w:rPr>
          <w:b/>
        </w:rPr>
        <w:t xml:space="preserve">Blockchain: </w:t>
      </w:r>
      <w:r>
        <w:t xml:space="preserve">A blockchain is a decentralised and distributed ledger in which a recorded entry cannot be altered retroactively without altering the blocks that follow it (Wood 2014). In HALAH the chain holds no medical content</w:t>
      </w:r>
      <w:r>
        <w:t xml:space="preserve">. It anchors</w:t>
      </w:r>
      <w:r>
        <w:t xml:space="preserve"> only the state of an approved consent, as a soulbound token (Cai 2022) that cannot be transferred, and its revocation. The Ethereum test network Sepolia (Ethereum Foundation 2026b) was chosen because it runs the same virtual machine as the main network, so the contract behaves as it would in production, while its ether has no monetary value. </w:t>
      </w:r>
      <w:r>
        <w:t xml:space="preserve">The contract was deployed through</w:t>
      </w:r>
      <w:r>
        <w:t xml:space="preserve"> the MetaMask wallet (Consensys 2026), and every transaction is publicly visible on Etherscan.</w:t>
      </w:r>
    </w:p>
    <w:p>
      <w:pPr>
        <w:pStyle w:val="a4"/>
        <w:tabs>
          <w:tab w:pos="624" w:val="left"/>
        </w:tabs>
        <w:ind w:left="624" w:hanging="397"/>
      </w:pPr>
      <w:r>
        <w:t>2.</w:t>
        <w:tab/>
      </w:r>
      <w:r>
        <w:rPr>
          <w:b/>
        </w:rPr>
        <w:t xml:space="preserve">Solidity: </w:t>
      </w:r>
      <w:r>
        <w:t>The consent contract ConsentSBTv3 is written in Solidity, the contract language of Ethereum (Ethereum Foundation 2026a), on the OpenZeppelin implementation of the ERC-721 token standard (Entriken et al. 2018) with the ERC-5484 soulbound interface (Cai 2022), and was compiled in the Remix environment (Ethereum Foundation 2026c). The contract stores the start time, the expiry time and the revocation flag of each consent and reports whether the consent is valid at a given time, so the temporal and lifecycle conditions of Req 5 can be checked against the chain by any party, independently of the application.</w:t>
      </w:r>
    </w:p>
    <w:p>
      <w:pPr>
        <w:pStyle w:val="a4"/>
        <w:tabs>
          <w:tab w:pos="624" w:val="left"/>
        </w:tabs>
        <w:ind w:left="624" w:hanging="397"/>
      </w:pPr>
      <w:r>
        <w:t>3.</w:t>
        <w:tab/>
      </w:r>
      <w:r>
        <w:rPr>
          <w:b/>
        </w:rPr>
        <w:t xml:space="preserve">Python and Streamlit: </w:t>
      </w:r>
      <w:r>
        <w:t>The Controller and the four role interfaces of the prototype, for the patient, the guardian, the doctor and the auditor, are written in Python with the Streamlit library, and the application reaches Sepolia through the web3 library. Consents, approvals, decisions and the audit ledger are kept in a local SQLite database, so the auditor can query the evidence of every decision while nothing but the consent state goes to the chain.</w:t>
      </w:r>
    </w:p>
    <w:p>
      <w:pPr>
        <w:pStyle w:val="a4"/>
        <w:tabs>
          <w:tab w:pos="624" w:val="left"/>
        </w:tabs>
        <w:ind w:left="624" w:hanging="397"/>
      </w:pPr>
      <w:r>
        <w:t>4.</w:t>
        <w:tab/>
      </w:r>
      <w:r>
        <w:rPr>
          <w:b/>
        </w:rPr>
        <w:t xml:space="preserve">Decentralised identifiers and verifiable credentials: </w:t>
      </w:r>
      <w:r>
        <w:t xml:space="preserve">Every participant is named by a decentralised identifier </w:t>
      </w:r>
      <w:r>
        <w:t xml:space="preserve">(W3C 2022), and the doctor and each guardian hold a role credential</w:t>
      </w:r>
      <w:r>
        <w:t xml:space="preserve"> (W3C 2025) signed by a trusted issuer, so the identity of a participant and the authority of that participant are verified as two separate conditions, as Chapter 6 presents.</w:t>
      </w:r>
    </w:p>
    <w:p>
      <w:pPr>
        <w:pStyle w:val="a4"/>
        <w:tabs>
          <w:tab w:pos="624" w:val="left"/>
        </w:tabs>
        <w:ind w:left="624" w:hanging="397"/>
      </w:pPr>
      <w:r>
        <w:t>5.</w:t>
        <w:tab/>
      </w:r>
      <w:r>
        <w:rPr>
          <w:b/>
        </w:rPr>
        <w:t xml:space="preserve">Synthea: </w:t>
      </w:r>
      <w:r>
        <w:t>The healthcare records of the prototype are synthetic patients produced by the Synthea generator (Walonoski et al. 2018). The dataset is described in Section 5.7.</w:t>
      </w:r>
    </w:p>
    <w:p>
      <w:pPr/>
      <w: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keepNext/>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w:t>
      </w:r>
      <w:r>
        <w:t>since a Validity Proof Service checks the consent once more before any data are released, as Chapter 8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keepNext/>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 xml:space="preserve">(C), determines whether the consent remains in a valid lifecycle state. The integrated decision </w:t>
      </w:r>
      <w:r>
        <w:t>can therefore be expressed as Equation (5.1)</w:t>
      </w:r>
      <w:r>
        <w:t>. In the current prototype, the Consent Engine derives the lifecycle state, a request proceeds only when this state is ACTIVE, and the revocation flag and the token are also checked within V</w:t>
      </w:r>
      <w:r>
        <w:rPr>
          <w:vertAlign w:val="subscript"/>
        </w:rPr>
        <w:t>A</w:t>
      </w:r>
      <w:r>
        <w:t>.</w:t>
      </w:r>
    </w:p>
    <w:p>
      <w:pPr/>
      <w:r>
        <w:t>Equation (5.1) states that a request is allowed only when every one of the five conditions holds at the time of the request. Conversely, the failure of any one condition is sufficient for refusal, as Equation (5.2) states, and the success of the other conditions cannot compensate for it.</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Decision(C, R, t) = ALLOW ⟺ V</w:t>
      </w:r>
      <w:r>
        <w:rPr>
          <w:rFonts w:ascii="Cambria Math" w:hAnsi="Cambria Math" w:cs="Cambria Math" w:eastAsia="Cambria Math"/>
          <w:sz w:val="18"/>
          <w:vertAlign w:val="subscript"/>
        </w:rPr>
        <w:t>I</w:t>
      </w:r>
      <w:r>
        <w:rPr>
          <w:rFonts w:ascii="Cambria Math" w:hAnsi="Cambria Math" w:cs="Cambria Math" w:eastAsia="Cambria Math"/>
          <w:sz w:val="18"/>
        </w:rPr>
        <w:t>(u) ∧ V</w:t>
      </w:r>
      <w:r>
        <w:rPr>
          <w:rFonts w:ascii="Cambria Math" w:hAnsi="Cambria Math" w:cs="Cambria Math" w:eastAsia="Cambria Math"/>
          <w:sz w:val="18"/>
          <w:vertAlign w:val="subscript"/>
        </w:rPr>
        <w:t>A</w:t>
      </w:r>
      <w:r>
        <w:rPr>
          <w:rFonts w:ascii="Cambria Math" w:hAnsi="Cambria Math" w:cs="Cambria Math" w:eastAsia="Cambria Math"/>
          <w:sz w:val="18"/>
        </w:rPr>
        <w:t>(C) ∧ V</w:t>
      </w:r>
      <w:r>
        <w:rPr>
          <w:rFonts w:ascii="Cambria Math" w:hAnsi="Cambria Math" w:cs="Cambria Math" w:eastAsia="Cambria Math"/>
          <w:sz w:val="18"/>
          <w:vertAlign w:val="subscript"/>
        </w:rPr>
        <w:t>P</w:t>
      </w:r>
      <w:r>
        <w:rPr>
          <w:rFonts w:ascii="Cambria Math" w:hAnsi="Cambria Math" w:cs="Cambria Math" w:eastAsia="Cambria Math"/>
          <w:sz w:val="18"/>
        </w:rPr>
        <w:t>(C, R) ∧ V</w:t>
      </w:r>
      <w:r>
        <w:rPr>
          <w:rFonts w:ascii="Cambria Math" w:hAnsi="Cambria Math" w:cs="Cambria Math" w:eastAsia="Cambria Math"/>
          <w:sz w:val="18"/>
          <w:vertAlign w:val="subscript"/>
        </w:rPr>
        <w:t>T</w:t>
      </w:r>
      <w:r>
        <w:rPr>
          <w:rFonts w:ascii="Cambria Math" w:hAnsi="Cambria Math" w:cs="Cambria Math" w:eastAsia="Cambria Math"/>
          <w:sz w:val="18"/>
        </w:rPr>
        <w:t>(C, t) ∧ V</w:t>
      </w:r>
      <w:r>
        <w:rPr>
          <w:rFonts w:ascii="Cambria Math" w:hAnsi="Cambria Math" w:cs="Cambria Math" w:eastAsia="Cambria Math"/>
          <w:sz w:val="18"/>
          <w:vertAlign w:val="subscript"/>
        </w:rPr>
        <w:t>L</w:t>
      </w:r>
      <w:r>
        <w:rPr>
          <w:rFonts w:ascii="Cambria Math" w:hAnsi="Cambria Math" w:cs="Cambria Math" w:eastAsia="Cambria Math"/>
          <w:sz w:val="18"/>
        </w:rPr>
        <w:t>(C).</w:t>
      </w:r>
      <w:r>
        <w:rPr/>
        <w:tab/>
        <w:t>(5.1)</w:t>
      </w:r>
    </w:p>
    <w:p w14:paraId="54552F6D" w14:textId="77777777" w:rsidR="009262C4" w:rsidRDefault="00000000">
      <w:pPr>
        <w:keepLines/>
        <w:tabs>
          <w:tab w:val="center" w:pos="4564"/>
          <w:tab w:val="right" w:pos="9128"/>
        </w:tabs>
        <w:spacing w:before="80" w:after="160"/>
      </w:pPr>
      <w:r>
        <w:rPr/>
        <w:tab/>
      </w:r>
      <w:r>
        <w:rPr>
          <w:rFonts w:ascii="Cambria Math" w:hAnsi="Cambria Math" w:cs="Cambria Math" w:eastAsia="Cambria Math"/>
          <w:sz w:val="18"/>
        </w:rPr>
        <w:t>¬(V</w:t>
      </w:r>
      <w:r>
        <w:rPr>
          <w:rFonts w:ascii="Cambria Math" w:hAnsi="Cambria Math" w:cs="Cambria Math" w:eastAsia="Cambria Math"/>
          <w:sz w:val="18"/>
          <w:vertAlign w:val="subscript"/>
        </w:rPr>
        <w:t>I</w:t>
      </w:r>
      <w:r>
        <w:rPr>
          <w:rFonts w:ascii="Cambria Math" w:hAnsi="Cambria Math" w:cs="Cambria Math" w:eastAsia="Cambria Math"/>
          <w:sz w:val="18"/>
        </w:rPr>
        <w:t xml:space="preserve"> ∧ V</w:t>
      </w:r>
      <w:r>
        <w:rPr>
          <w:rFonts w:ascii="Cambria Math" w:hAnsi="Cambria Math" w:cs="Cambria Math" w:eastAsia="Cambria Math"/>
          <w:sz w:val="18"/>
          <w:vertAlign w:val="subscript"/>
        </w:rPr>
        <w:t>A</w:t>
      </w:r>
      <w:r>
        <w:rPr>
          <w:rFonts w:ascii="Cambria Math" w:hAnsi="Cambria Math" w:cs="Cambria Math" w:eastAsia="Cambria Math"/>
          <w:sz w:val="18"/>
        </w:rPr>
        <w:t xml:space="preserve"> ∧ V</w:t>
      </w:r>
      <w:r>
        <w:rPr>
          <w:rFonts w:ascii="Cambria Math" w:hAnsi="Cambria Math" w:cs="Cambria Math" w:eastAsia="Cambria Math"/>
          <w:sz w:val="18"/>
          <w:vertAlign w:val="subscript"/>
        </w:rPr>
        <w:t>P</w:t>
      </w:r>
      <w:r>
        <w:rPr>
          <w:rFonts w:ascii="Cambria Math" w:hAnsi="Cambria Math" w:cs="Cambria Math" w:eastAsia="Cambria Math"/>
          <w:sz w:val="18"/>
        </w:rPr>
        <w:t xml:space="preserve"> ∧ V</w:t>
      </w:r>
      <w:r>
        <w:rPr>
          <w:rFonts w:ascii="Cambria Math" w:hAnsi="Cambria Math" w:cs="Cambria Math" w:eastAsia="Cambria Math"/>
          <w:sz w:val="18"/>
          <w:vertAlign w:val="subscript"/>
        </w:rPr>
        <w:t>T</w:t>
      </w:r>
      <w:r>
        <w:rPr>
          <w:rFonts w:ascii="Cambria Math" w:hAnsi="Cambria Math" w:cs="Cambria Math" w:eastAsia="Cambria Math"/>
          <w:sz w:val="18"/>
        </w:rPr>
        <w:t xml:space="preserve"> ∧ V</w:t>
      </w:r>
      <w:r>
        <w:rPr>
          <w:rFonts w:ascii="Cambria Math" w:hAnsi="Cambria Math" w:cs="Cambria Math" w:eastAsia="Cambria Math"/>
          <w:sz w:val="18"/>
          <w:vertAlign w:val="subscript"/>
        </w:rPr>
        <w:t>L</w:t>
      </w:r>
      <w:r>
        <w:rPr>
          <w:rFonts w:ascii="Cambria Math" w:hAnsi="Cambria Math" w:cs="Cambria Math" w:eastAsia="Cambria Math"/>
          <w:sz w:val="18"/>
        </w:rPr>
        <w:t>) ⟹ Decision(C, R, t) = DENY.</w:t>
      </w:r>
      <w:r>
        <w:rPr/>
        <w:tab/>
        <w:t>(5.2)</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pPr>
        <w:jc w:val="center"/>
      </w:pPr>
      <w:r>
        <w:drawing>
          <wp:inline xmlns:a="http://schemas.openxmlformats.org/drawingml/2006/main" xmlns:pic="http://schemas.openxmlformats.org/drawingml/2006/picture">
            <wp:extent cx="5400000" cy="3436780"/>
            <wp:docPr id="2086885383" name="Picture 2086885383"/>
            <wp:cNvGraphicFramePr>
              <a:graphicFrameLocks noChangeAspect="1"/>
            </wp:cNvGraphicFramePr>
            <a:graphic>
              <a:graphicData uri="http://schemas.openxmlformats.org/drawingml/2006/picture">
                <pic:pic>
                  <pic:nvPicPr>
                    <pic:cNvPr id="0" name="ch5_gates.png"/>
                    <pic:cNvPicPr/>
                  </pic:nvPicPr>
                  <pic:blipFill>
                    <a:blip r:embed="rId38"/>
                    <a:stretch>
                      <a:fillRect/>
                    </a:stretch>
                  </pic:blipFill>
                  <pic:spPr>
                    <a:xfrm>
                      <a:off x="0" y="0"/>
                      <a:ext cx="5400000" cy="3436780"/>
                    </a:xfrm>
                    <a:prstGeom prst="rect"/>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sz w:val="20"/>
          <w:szCs w:val="18"/>
        </w:rPr>
        <w:t>.</w:t>
      </w:r>
    </w:p>
    <w:p>
      <w:pPr>
        <w:pStyle w:val="2"/>
        <w:keepNext/>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1FFE9D93"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5EFDC3C"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5DE0966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vAlign w:val="top"/>
          </w:tcPr>
          <w:p w14:paraId="0BF5E401" w14:textId="77777777" w:rsidR="009262C4" w:rsidRDefault="00000000">
            <w:pPr>
              <w:keepNext/>
              <w:spacing w:before="40" w:after="40" w:line="240" w:lineRule="auto"/>
              <w:jc w:val="left"/>
            </w:pPr>
            <w:r>
              <w:rPr>
                <w:rFonts w:ascii="Palatino Linotype" w:hAnsi="Palatino Linotype" w:cs="Palatino Linotype"/>
                <w:b/>
                <w:bCs/>
                <w:color w:val="000000"/>
                <w:sz w:val="20"/>
                <w:szCs w:val="17"/>
              </w:rPr>
              <w:t>Expected Contribution</w:t>
            </w:r>
          </w:p>
        </w:tc>
      </w:tr>
      <w:tr w:rsidR="009262C4" w14:paraId="3D438939"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5FB42B50" w14:textId="77777777" w:rsidR="009262C4" w:rsidRDefault="00000000">
            <w:pPr>
              <w:keepNext/>
              <w:spacing w:before="40" w:after="40" w:line="240" w:lineRule="auto"/>
              <w:jc w:val="left"/>
            </w:pPr>
            <w:r>
              <w:rPr>
                <w:rFonts w:ascii="Palatino Linotype" w:hAnsi="Palatino Linotype" w:cs="Palatino Linotype"/>
                <w:color w:val="000000"/>
                <w:sz w:val="20"/>
                <w:szCs w:val="17"/>
              </w:rPr>
              <w:t>RO1</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EE78E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0A0EB6A" w14:textId="77777777" w:rsidR="009262C4" w:rsidRDefault="00000000">
            <w:pPr>
              <w:keepNext/>
              <w:spacing w:before="40" w:after="40" w:line="240" w:lineRule="auto"/>
              <w:jc w:val="left"/>
            </w:pPr>
            <w:r>
              <w:rPr>
                <w:rFonts w:ascii="Palatino Linotype" w:hAnsi="Palatino Linotype" w:cs="Palatino Linotype"/>
                <w:color w:val="000000"/>
                <w:sz w:val="20"/>
                <w:szCs w:val="17"/>
              </w:rPr>
              <w:t>Trust-aware consent representation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87435E0" w14:textId="77777777" w:rsidR="009262C4" w:rsidRDefault="00000000">
            <w:pPr>
              <w:keepNext/>
              <w:spacing w:before="40" w:after="40" w:line="240" w:lineRule="auto"/>
              <w:jc w:val="left"/>
            </w:pPr>
            <w:r>
              <w:rPr>
                <w:rFonts w:ascii="Palatino Linotype" w:hAnsi="Palatino Linotype" w:cs="Palatino Linotype"/>
                <w:color w:val="000000"/>
                <w:sz w:val="20"/>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2F4280C" w14:textId="77777777" w:rsidR="009262C4" w:rsidRDefault="00000000">
            <w:pPr>
              <w:keepNext/>
              <w:spacing w:before="40" w:after="40" w:line="240" w:lineRule="auto"/>
              <w:jc w:val="left"/>
            </w:pPr>
            <w:r>
              <w:rPr>
                <w:rFonts w:ascii="Palatino Linotype" w:hAnsi="Palatino Linotype" w:cs="Palatino Linotype"/>
                <w:color w:val="000000"/>
                <w:sz w:val="20"/>
                <w:szCs w:val="17"/>
              </w:rPr>
              <w:t>RO2</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BB1341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82941FB" w14:textId="77777777" w:rsidR="009262C4" w:rsidRDefault="00000000">
            <w:pPr>
              <w:keepNext/>
              <w:spacing w:before="40" w:after="40" w:line="240" w:lineRule="auto"/>
              <w:jc w:val="left"/>
            </w:pPr>
            <w:r>
              <w:rPr>
                <w:rFonts w:ascii="Palatino Linotype" w:hAnsi="Palatino Linotype" w:cs="Palatino Linotype"/>
                <w:color w:val="000000"/>
                <w:sz w:val="20"/>
                <w:szCs w:val="17"/>
              </w:rPr>
              <w:t>DID and VC verification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1D52748"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914017C" w14:textId="77777777" w:rsidR="009262C4" w:rsidRDefault="00000000">
            <w:pPr>
              <w:keepNext/>
              <w:spacing w:before="40" w:after="40" w:line="240" w:lineRule="auto"/>
              <w:jc w:val="left"/>
            </w:pPr>
            <w:r>
              <w:rPr>
                <w:rFonts w:ascii="Palatino Linotype" w:hAnsi="Palatino Linotype" w:cs="Palatino Linotype"/>
                <w:color w:val="000000"/>
                <w:sz w:val="20"/>
                <w:szCs w:val="17"/>
              </w:rPr>
              <w:t>RO3</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3F89D3D4"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590476E" w14:textId="77777777" w:rsidR="009262C4" w:rsidRDefault="00000000">
            <w:pPr>
              <w:keepNext/>
              <w:spacing w:before="40" w:after="40" w:line="240" w:lineRule="auto"/>
              <w:jc w:val="left"/>
            </w:pPr>
            <w:r>
              <w:rPr>
                <w:rFonts w:ascii="Palatino Linotype" w:hAnsi="Palatino Linotype" w:cs="Palatino Linotype"/>
                <w:color w:val="000000"/>
                <w:sz w:val="20"/>
                <w:szCs w:val="17"/>
              </w:rPr>
              <w:t>Verified multi-party threshold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2B111184" w14:textId="77777777" w:rsidR="009262C4" w:rsidRDefault="00000000">
            <w:pPr>
              <w:keepNext/>
              <w:spacing w:before="40" w:after="40" w:line="240" w:lineRule="auto"/>
              <w:jc w:val="left"/>
            </w:pPr>
            <w:r>
              <w:rPr>
                <w:rFonts w:ascii="Palatino Linotype" w:hAnsi="Palatino Linotype" w:cs="Palatino Linotype"/>
                <w:color w:val="000000"/>
                <w:sz w:val="20"/>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5554522" w14:textId="77777777" w:rsidR="009262C4" w:rsidRDefault="00000000">
            <w:pPr>
              <w:keepNext/>
              <w:spacing w:before="40" w:after="40" w:line="240" w:lineRule="auto"/>
              <w:jc w:val="left"/>
            </w:pPr>
            <w:r>
              <w:rPr>
                <w:rFonts w:ascii="Palatino Linotype" w:hAnsi="Palatino Linotype" w:cs="Palatino Linotype"/>
                <w:color w:val="000000"/>
                <w:sz w:val="20"/>
                <w:szCs w:val="17"/>
              </w:rPr>
              <w:t>RO4</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4A1E3E" w14:textId="77777777" w:rsidR="009262C4" w:rsidRDefault="00000000">
            <w:pPr>
              <w:keepNext/>
              <w:spacing w:before="40" w:after="40" w:line="240" w:lineRule="auto"/>
              <w:jc w:val="left"/>
            </w:pPr>
            <w:r>
              <w:rPr>
                <w:rFonts w:ascii="Palatino Linotype" w:hAnsi="Palatino Linotype" w:cs="Palatino Linotype"/>
                <w:color w:val="000000"/>
                <w:sz w:val="20"/>
                <w:szCs w:val="17"/>
              </w:rPr>
              <w:t>Controller and Model</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D76F1CA" w14:textId="77777777" w:rsidR="009262C4" w:rsidRDefault="00000000">
            <w:pPr>
              <w:keepNext/>
              <w:spacing w:before="40" w:after="40" w:line="240" w:lineRule="auto"/>
              <w:jc w:val="left"/>
            </w:pPr>
            <w:r>
              <w:rPr>
                <w:rFonts w:ascii="Palatino Linotype" w:hAnsi="Palatino Linotype" w:cs="Palatino Linotype"/>
                <w:color w:val="000000"/>
                <w:sz w:val="20"/>
                <w:szCs w:val="17"/>
              </w:rPr>
              <w:t>Policy, purpose, and data-scope evaluation</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77268D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67954FD" w14:textId="77777777" w:rsidR="009262C4" w:rsidRDefault="00000000">
            <w:pPr>
              <w:keepNext/>
              <w:spacing w:before="40" w:after="40" w:line="240" w:lineRule="auto"/>
              <w:jc w:val="left"/>
            </w:pPr>
            <w:r>
              <w:rPr>
                <w:rFonts w:ascii="Palatino Linotype" w:hAnsi="Palatino Linotype" w:cs="Palatino Linotype"/>
                <w:color w:val="000000"/>
                <w:sz w:val="20"/>
                <w:szCs w:val="17"/>
              </w:rPr>
              <w:t>RO5</w:t>
            </w:r>
          </w:p>
        </w:tc>
        <w:tc>
          <w:tcPr>
            <w:tcW w:w="17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47BE1E77" w14:textId="77777777" w:rsidR="009262C4" w:rsidRDefault="00000000">
            <w:pPr>
              <w:keepNext/>
              <w:spacing w:before="40" w:after="40" w:line="240" w:lineRule="auto"/>
              <w:jc w:val="left"/>
            </w:pPr>
            <w:r>
              <w:rPr>
                <w:rFonts w:ascii="Palatino Linotype" w:hAnsi="Palatino Linotype" w:cs="Palatino Linotype"/>
                <w:color w:val="000000"/>
                <w:sz w:val="20"/>
                <w:szCs w:val="17"/>
              </w:rPr>
              <w:t>Model and Controller</w:t>
            </w:r>
          </w:p>
        </w:tc>
        <w:tc>
          <w:tcPr>
            <w:tcW w:w="2500"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63A389AE" w14:textId="77777777" w:rsidR="009262C4" w:rsidRDefault="00000000">
            <w:pPr>
              <w:keepNext/>
              <w:spacing w:before="40" w:after="40" w:line="240" w:lineRule="auto"/>
              <w:jc w:val="left"/>
            </w:pPr>
            <w:r>
              <w:rPr>
                <w:rFonts w:ascii="Palatino Linotype" w:hAnsi="Palatino Linotype" w:cs="Palatino Linotype"/>
                <w:color w:val="000000"/>
                <w:sz w:val="20"/>
                <w:szCs w:val="17"/>
              </w:rPr>
              <w:t>Temporal validity and consent lifecycle enforcement</w:t>
            </w:r>
          </w:p>
        </w:tc>
        <w:tc>
          <w:tcPr>
            <w:tcW w:w="3428" w:type="dxa"/>
            <w:tcBorders>
              <w:top w:val="nil"/>
              <w:left w:val="nil"/>
              <w:bottom w:val="single" w:sz="4" w:color="BFBFBF" w:space="0"/>
              <w:right w:val="nil"/>
              <w:insideH w:val="nil"/>
              <w:insideV w:val="nil"/>
            </w:tcBorders>
            <w:tcMar>
              <w:top w:w="40" w:type="dxa"/>
              <w:left w:w="80" w:type="dxa"/>
              <w:bottom w:w="40" w:type="dxa"/>
              <w:right w:w="80" w:type="dxa"/>
            </w:tcMar>
            <w:vAlign w:val="top"/>
          </w:tcPr>
          <w:p w14:paraId="13E5B8DF" w14:textId="77777777" w:rsidR="009262C4" w:rsidRDefault="00000000">
            <w:pPr>
              <w:keepNext/>
              <w:spacing w:before="40" w:after="40" w:line="240" w:lineRule="auto"/>
              <w:jc w:val="left"/>
            </w:pPr>
            <w:r>
              <w:rPr>
                <w:rFonts w:ascii="Palatino Linotype" w:hAnsi="Palatino Linotype" w:cs="Palatino Linotype"/>
                <w:color w:val="000000"/>
                <w:sz w:val="20"/>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vAlign w:val="top"/>
          </w:tcPr>
          <w:p w14:paraId="555B9621" w14:textId="77777777" w:rsidR="009262C4" w:rsidRDefault="00000000">
            <w:pPr>
              <w:spacing w:before="40" w:after="40" w:line="240" w:lineRule="auto"/>
              <w:jc w:val="left"/>
            </w:pPr>
            <w:r>
              <w:rPr>
                <w:rFonts w:ascii="Palatino Linotype" w:hAnsi="Palatino Linotype" w:cs="Palatino Linotype"/>
                <w:color w:val="000000"/>
                <w:sz w:val="20"/>
                <w:szCs w:val="17"/>
              </w:rPr>
              <w:t>RO6</w:t>
            </w:r>
          </w:p>
        </w:tc>
        <w:tc>
          <w:tcPr>
            <w:tcW w:w="1700" w:type="dxa"/>
            <w:tcBorders>
              <w:top w:val="nil"/>
              <w:left w:val="nil"/>
              <w:bottom w:val="nil"/>
              <w:right w:val="nil"/>
              <w:insideH w:val="nil"/>
              <w:insideV w:val="nil"/>
            </w:tcBorders>
            <w:tcMar>
              <w:top w:w="40" w:type="dxa"/>
              <w:left w:w="80" w:type="dxa"/>
              <w:bottom w:w="40" w:type="dxa"/>
              <w:right w:w="80" w:type="dxa"/>
            </w:tcMar>
            <w:vAlign w:val="top"/>
          </w:tcPr>
          <w:p w14:paraId="359B604F" w14:textId="77777777" w:rsidR="009262C4" w:rsidRDefault="00000000">
            <w:pPr>
              <w:spacing w:before="40" w:after="40" w:line="240" w:lineRule="auto"/>
              <w:jc w:val="left"/>
            </w:pPr>
            <w:r>
              <w:rPr>
                <w:rFonts w:ascii="Palatino Linotype" w:hAnsi="Palatino Linotype" w:cs="Palatino Linotype"/>
                <w:color w:val="000000"/>
                <w:sz w:val="20"/>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vAlign w:val="top"/>
          </w:tcPr>
          <w:p w14:paraId="24CA74E4" w14:textId="77777777" w:rsidR="009262C4" w:rsidRDefault="00000000">
            <w:pPr>
              <w:spacing w:before="40" w:after="40" w:line="240" w:lineRule="auto"/>
              <w:jc w:val="left"/>
            </w:pPr>
            <w:r>
              <w:rPr>
                <w:rFonts w:ascii="Palatino Linotype" w:hAnsi="Palatino Linotype" w:cs="Palatino Linotype"/>
                <w:color w:val="000000"/>
                <w:sz w:val="20"/>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vAlign w:val="top"/>
          </w:tcPr>
          <w:p w14:paraId="05F31F88" w14:textId="77777777" w:rsidR="009262C4" w:rsidRDefault="00000000">
            <w:pPr>
              <w:spacing w:before="40" w:after="40" w:line="240" w:lineRule="auto"/>
              <w:jc w:val="left"/>
            </w:pPr>
            <w:r>
              <w:rPr>
                <w:rFonts w:ascii="Palatino Linotype" w:hAnsi="Palatino Linotype" w:cs="Palatino Linotype"/>
                <w:color w:val="000000"/>
                <w:sz w:val="20"/>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top w:w="50" w:type="dxa"/>
          <w:left w:w="70" w:type="dxa"/>
          <w:bottom w:w="50" w:type="dxa"/>
          <w:right w:w="7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b/>
                <w:bCs/>
                <w:color w:val="000000"/>
                <w:sz w:val="20"/>
                <w:szCs w:val="17"/>
              </w:rPr>
              <w:t>HALAH framework</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Identity</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Central identity provider</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institution login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A DID for every participant</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identity kept separate from authority</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Consent</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stored record that permission was given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An object C = (I, A, P, T, L, E), checked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Approval</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static permission set by one party</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All listed guardians sign (EIP-712)</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no single party can approve alone</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Access check</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Log in, then check a static permission</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VI ∧ VA ∧ VP ∧ VT ∧ VL, evaluated at every request</w:t>
            </w:r>
          </w:p>
        </w:tc>
      </w:tr>
      <w:tr w:rsidR="009262C4">
        <w:trPr>
          <w:cantSplit/>
        </w:trPr>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Time and revocation</w:t>
            </w:r>
          </w:p>
        </w:tc>
        <w:tc>
          <w:tcPr>
            <w:tcW w:w="2828"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Hard to verify once the permission is stored</w:t>
            </w:r>
          </w:p>
        </w:tc>
        <w:tc>
          <w:tcPr>
            <w:tcW w:w="3472" w:type="dxa"/>
            <w:tcBorders>
              <w:top w:val="nil"/>
              <w:left w:val="nil"/>
              <w:bottom w:val="single" w:sz="4" w:color="BFBFBF" w:space="0"/>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Validity window and revocation checked each time</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vAlign w:val="top"/>
          </w:tcPr>
          <w:p w:rsidR="009262C4" w:rsidRDefault="00000000">
            <w:pPr>
              <w:keepNext/>
              <w:spacing w:before="40" w:after="40" w:line="240" w:lineRule="auto"/>
              <w:jc w:val="left"/>
            </w:pPr>
            <w:r>
              <w:rPr>
                <w:rFonts w:ascii="Palatino Linotype" w:hAnsi="Palatino Linotype" w:cs="Palatino Linotype"/>
                <w:color w:val="000000"/>
                <w:sz w:val="20"/>
                <w:szCs w:val="17"/>
              </w:rPr>
              <w:t xml:space="preserve">Every access decision, allowed or denied, logged off-chain with its decision matrix</w:t>
            </w:r>
            <w:r>
              <w:rPr>
                <w:rFonts w:ascii="Palatino Linotype" w:hAnsi="Palatino Linotype" w:cs="Palatino Linotype"/>
                <w:color w:val="000000"/>
                <w:sz w:val="20"/>
                <w:szCs w:val="17"/>
              </w:rPr>
              <w:t xml:space="preserve">,</w:t>
            </w:r>
            <w:r>
              <w:rPr>
                <w:rFonts w:ascii="Palatino Linotype" w:hAnsi="Palatino Linotype" w:cs="Palatino Linotype"/>
                <w:color w:val="000000"/>
                <w:sz w:val="20"/>
                <w:szCs w:val="17"/>
              </w:rPr>
              <w:t xml:space="preserve">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keepNext/>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(5.3)</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(5.3)</w:t>
      </w:r>
    </w:p>
    <w:p w14:paraId="63094BBA" w14:textId="77777777" w:rsidR="009262C4" w:rsidRDefault="00000000">
      <w:pPr>
        <w:spacing w:after="110" w:line="264" w:lineRule="auto"/>
        <w:jc w:val="both"/>
      </w:pPr>
      <w:r>
        <w:t>In Equation (5.3)</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keepNext/>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pPr>
        <w:pStyle w:val="3"/>
        <w:keepNext/>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Chapter 9" title="Six-component consent model C = (I, A, P, T, L, E) with the content and supplier of each component, where L is the lifecycle state. The states shown are those of the design, and the states implemented in the prototype are given in Chapter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Six-component consent model C = (I, A, P, T, L, E)</w:t>
      </w:r>
      <w:r>
        <w:rPr>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keepNext/>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keepNext/>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5.9.</w:t>
      </w:r>
    </w:p>
    <w:p>
      <w:pPr>
        <w:pStyle w:val="3"/>
        <w:keepNext/>
      </w:pPr>
      <w:r>
        <w:t>5.6.1 Aims of Engineering the Prototype System</w:t>
      </w:r>
    </w:p>
    <w:p>
      <w:pPr/>
      <w: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t xml:space="preserve">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w:t>
      </w:r>
      <w:r>
        <w:t xml:space="preserve">. Its purpose</w:t>
      </w:r>
      <w:r>
        <w:t xml:space="preserve"> is to validate the design.</w:t>
      </w:r>
    </w:p>
    <w:p>
      <w:pPr>
        <w:pStyle w:val="2"/>
        <w:keepNext/>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Synthea table</w:t>
            </w:r>
          </w:p>
        </w:tc>
        <w:tc>
          <w:tcPr>
            <w:tcW w:type="dxa" w:w="181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Records in the loaded subset</w:t>
            </w:r>
          </w:p>
        </w:tc>
        <w:tc>
          <w:tcPr>
            <w:tcW w:type="dxa" w:w="2494"/>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Record selected by</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Consent module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113</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 (the source of the patient DID)</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 identity in the patient interface</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4,428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Observation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2,931</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Medication</w:t>
            </w:r>
          </w:p>
        </w:tc>
      </w:tr>
      <w:tr>
        <w:trPr>
          <w:cantSplit/>
        </w:trPr>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conditions.csv</w:t>
            </w:r>
          </w:p>
        </w:tc>
        <w:tc>
          <w:tcPr>
            <w:tcW w:type="dxa" w:w="181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4,748</w:t>
            </w:r>
          </w:p>
        </w:tc>
        <w:tc>
          <w:tcPr>
            <w:tcW w:type="dxa" w:w="2494"/>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Condition</w:t>
            </w:r>
          </w:p>
        </w:tc>
      </w:tr>
      <w:tr>
        <w:trPr>
          <w:cantSplit/>
        </w:trPr>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procedures.csv</w:t>
            </w:r>
          </w:p>
        </w:tc>
        <w:tc>
          <w:tcPr>
            <w:tcW w:type="dxa" w:w="181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4,237</w:t>
            </w:r>
          </w:p>
        </w:tc>
        <w:tc>
          <w:tcPr>
            <w:tcW w:type="dxa" w:w="2494"/>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PATIENT</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Procedure</w:t>
            </w:r>
          </w:p>
        </w:tc>
      </w:tr>
    </w:tbl>
    <w:p>
      <w:pPr>
        <w:pStyle w:val="2"/>
        <w:keepNext/>
      </w:pPr>
      <w:r>
        <w:t>5.8 Steps in the Working of the Prototype System for Consent Creation</w:t>
      </w:r>
    </w:p>
    <w:p>
      <w:pPr/>
      <w: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keepNext/>
      </w:pPr>
      <w:r>
        <w:t>5.8.1 Steps in the patient interface</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keepNext/>
      </w:pPr>
      <w:r>
        <w:t>5.8.2 Steps in the service layer</w:t>
      </w:r>
    </w:p>
    <w:p>
      <w:pPr/>
      <w: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4" name="Picture 2086885384"/>
            <wp:cNvGraphicFramePr>
              <a:graphicFrameLocks noChangeAspect="1"/>
            </wp:cNvGraphicFramePr>
            <a:graphic>
              <a:graphicData uri="http://schemas.openxmlformats.org/drawingml/2006/picture">
                <pic:pic>
                  <pic:nvPicPr>
                    <pic:cNvPr id="0" name="ch5_consent_created.png"/>
                    <pic:cNvPicPr/>
                  </pic:nvPicPr>
                  <pic:blipFill>
                    <a:blip r:embed="rId39"/>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w:t>
      </w:r>
    </w:p>
    <w:p>
      <w:pPr>
        <w:pStyle w:val="2"/>
        <w:keepNext/>
      </w:pPr>
      <w:r>
        <w:t>5.9 Prototype Evaluation and Discussion</w:t>
      </w:r>
    </w:p>
    <w:p>
      <w:pPr/>
      <w:r>
        <w:t xml:space="preserve">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w:t>
      </w:r>
      <w:r>
        <w:t xml:space="preserve">. The quantitative</w:t>
      </w:r>
      <w:r>
        <w:t xml:space="preser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keepNext/>
      </w:pPr>
      <w:r>
        <w:t>5.9.1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 xml:space="preserve">Automated tests. Two tests cover consent creation. The test test_patient_form_checks_the_doctor_and_the_guardians drives the patient form itself: it submits </w:t>
      </w:r>
      <w:r>
        <w:t xml:space="preserve">a doctor DID without a valid doctor credential</w:t>
      </w:r>
      <w:r>
        <w:t xml:space="preserve">,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w:t>
      </w:r>
      <w:r>
        <w:t xml:space="preserve">the stored approval is unchanged</w:t>
      </w:r>
      <w:r>
        <w:t xml:space="preserve">. </w:t>
      </w:r>
      <w:r>
        <w:t xml:space="preserve">Both tests pass</w:t>
      </w:r>
      <w:r>
        <w:t xml:space="preserve"> in the suite of 46 reported in Chapter 10.</w:t>
      </w:r>
    </w:p>
    <w:p>
      <w:pPr>
        <w:jc w:val="center"/>
      </w:pPr>
      <w:r>
        <w:drawing>
          <wp:inline xmlns:a="http://schemas.openxmlformats.org/drawingml/2006/main" xmlns:pic="http://schemas.openxmlformats.org/drawingml/2006/picture">
            <wp:extent cx="4860000" cy="2930294"/>
            <wp:docPr id="2086885385" name="Picture 2086885385"/>
            <wp:cNvGraphicFramePr>
              <a:graphicFrameLocks noChangeAspect="1"/>
            </wp:cNvGraphicFramePr>
            <a:graphic>
              <a:graphicData uri="http://schemas.openxmlformats.org/drawingml/2006/picture">
                <pic:pic>
                  <pic:nvPicPr>
                    <pic:cNvPr id="0" name="ch5_duplicate_guardian.png"/>
                    <pic:cNvPicPr/>
                  </pic:nvPicPr>
                  <pic:blipFill>
                    <a:blip r:embed="rId40"/>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Component</w:t>
            </w:r>
          </w:p>
        </w:tc>
        <w:tc>
          <w:tcPr>
            <w:tcW w:type="dxa" w:w="238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Check at creation (Algorithm 1)</w:t>
            </w:r>
          </w:p>
        </w:tc>
        <w:tc>
          <w:tcPr>
            <w:tcW w:type="dxa" w:w="2835"/>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Evidence</w:t>
            </w:r>
          </w:p>
        </w:tc>
        <w:tc>
          <w:tcPr>
            <w:tcW w:type="dxa" w:w="1757"/>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Result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  Identity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1 to 3: the patient identity, the authorised doctor DID holding a valid doctor credential, and each guardian DID holding a valid guardian credential.</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Identifiers without a valid credential rejected before anything is stored</w:t>
            </w:r>
            <w:r>
              <w:rPr>
                <w:rFonts w:ascii="Palatino Linotype" w:hAnsi="Palatino Linotype" w:cs="Palatino Linotype"/>
                <w:color w:val="000000"/>
                <w:sz w:val="20"/>
              </w:rPr>
              <w:t xml:space="preserve">. Valid</w:t>
            </w:r>
            <w:r>
              <w:rPr>
                <w:rFonts w:ascii="Palatino Linotype" w:hAnsi="Palatino Linotype" w:cs="Palatino Linotype"/>
                <w:color w:val="000000"/>
                <w:sz w:val="20"/>
              </w:rPr>
              <w:t xml:space="preserve"> identifiers holding valid credentials accepted.</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Authorisation</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Steps 3 and 7: the guardian set G, and the threshold N derived from it as |G|</w:t>
            </w:r>
            <w:r>
              <w:rPr>
                <w:rFonts w:ascii="Palatino Linotype" w:hAnsi="Palatino Linotype" w:cs="Palatino Linotype"/>
                <w:color w:val="000000"/>
                <w:sz w:val="20"/>
              </w:rPr>
              <w:t xml:space="preserve">. No guardian</w:t>
            </w:r>
            <w:r>
              <w:rPr>
                <w:rFonts w:ascii="Palatino Linotype" w:hAnsi="Palatino Linotype" w:cs="Palatino Linotype"/>
                <w:color w:val="000000"/>
                <w:sz w:val="20"/>
              </w:rPr>
              <w:t xml:space="preserve"> may appear twice.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 specification naming the same guardian twice was rejected (Figure 5.8). Scenario 1 of 24 September 2026 created consent f050c29a with the two guardians did:parent:A and did:parent:B.</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Duplicate guardian rejected</w:t>
            </w:r>
            <w:r>
              <w:rPr>
                <w:rFonts w:ascii="Palatino Linotype" w:hAnsi="Palatino Linotype" w:cs="Palatino Linotype"/>
                <w:color w:val="000000"/>
                <w:sz w:val="20"/>
              </w:rPr>
              <w:t xml:space="preserve">. Consent created</w:t>
            </w:r>
            <w:r>
              <w:rPr>
                <w:rFonts w:ascii="Palatino Linotype" w:hAnsi="Palatino Linotype" w:cs="Palatino Linotype"/>
                <w:color w:val="000000"/>
                <w:sz w:val="20"/>
              </w:rPr>
              <w:t xml:space="preserve"> with N set to the number of guardians.</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  Policy</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Steps 4 and 5: the purpose and the data scope</w:t>
            </w:r>
            <w:r>
              <w:rPr>
                <w:rFonts w:ascii="Palatino Linotype" w:hAnsi="Palatino Linotype" w:cs="Palatino Linotype"/>
                <w:color w:val="000000"/>
                <w:sz w:val="20"/>
              </w:rPr>
              <w:t xml:space="preserve">. The data scope must</w:t>
            </w:r>
            <w:r>
              <w:rPr>
                <w:rFonts w:ascii="Palatino Linotype" w:hAnsi="Palatino Linotype" w:cs="Palatino Linotype"/>
                <w:color w:val="000000"/>
                <w:sz w:val="20"/>
              </w:rPr>
              <w:t xml:space="preserve"> not be empty.</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Scenario 1 recorded the four data modules and the purpose Treatment</w:t>
            </w:r>
            <w:r>
              <w:rPr>
                <w:rFonts w:ascii="Palatino Linotype" w:hAnsi="Palatino Linotype" w:cs="Palatino Linotype"/>
                <w:color w:val="000000"/>
                <w:sz w:val="20"/>
              </w:rPr>
              <w:t xml:space="preserve">. The purpose vocabulary</w:t>
            </w:r>
            <w:r>
              <w:rPr>
                <w:rFonts w:ascii="Palatino Linotype" w:hAnsi="Palatino Linotype" w:cs="Palatino Linotype"/>
                <w:color w:val="000000"/>
                <w:sz w:val="20"/>
              </w:rPr>
              <w:t xml:space="preserve"> check is exercised by the automated tests.</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Empty scope rejected</w:t>
            </w:r>
            <w:r>
              <w:rPr>
                <w:rFonts w:ascii="Palatino Linotype" w:hAnsi="Palatino Linotype" w:cs="Palatino Linotype"/>
                <w:color w:val="000000"/>
                <w:sz w:val="20"/>
              </w:rPr>
              <w:t xml:space="preserve">. Purpose and scope</w:t>
            </w:r>
            <w:r>
              <w:rPr>
                <w:rFonts w:ascii="Palatino Linotype" w:hAnsi="Palatino Linotype" w:cs="Palatino Linotype"/>
                <w:color w:val="000000"/>
                <w:sz w:val="20"/>
              </w:rPr>
              <w:t xml:space="preserve"> recorded in the consent object.</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  Time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Step 6: the validity interval T = (ts, te)</w:t>
            </w:r>
            <w:r>
              <w:rPr>
                <w:rFonts w:ascii="Palatino Linotype" w:hAnsi="Palatino Linotype" w:cs="Palatino Linotype"/>
                <w:color w:val="000000"/>
                <w:sz w:val="20"/>
              </w:rPr>
              <w:t xml:space="preserve">. The expiry time</w:t>
            </w:r>
            <w:r>
              <w:rPr>
                <w:rFonts w:ascii="Palatino Linotype" w:hAnsi="Palatino Linotype" w:cs="Palatino Linotype"/>
                <w:color w:val="000000"/>
                <w:sz w:val="20"/>
              </w:rPr>
              <w:t xml:space="preserve"> must be later than the start time.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Scenario 1 recorded a validity window ending on 31 December 2026</w:t>
            </w:r>
            <w:r>
              <w:rPr>
                <w:rFonts w:ascii="Palatino Linotype" w:hAnsi="Palatino Linotype" w:cs="Palatino Linotype"/>
                <w:color w:val="000000"/>
                <w:sz w:val="20"/>
              </w:rPr>
              <w:t xml:space="preserve">. The prototype refuses</w:t>
            </w:r>
            <w:r>
              <w:rPr>
                <w:rFonts w:ascii="Palatino Linotype" w:hAnsi="Palatino Linotype" w:cs="Palatino Linotype"/>
                <w:color w:val="000000"/>
                <w:sz w:val="20"/>
              </w:rPr>
              <w:t xml:space="preserve"> an expiry time that is not later than the start time (Section 5.8).</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Validity interval recorded</w:t>
            </w:r>
            <w:r>
              <w:rPr>
                <w:rFonts w:ascii="Palatino Linotype" w:hAnsi="Palatino Linotype" w:cs="Palatino Linotype"/>
                <w:color w:val="000000"/>
                <w:sz w:val="20"/>
              </w:rPr>
              <w:t xml:space="preserve">. The interval</w:t>
            </w:r>
            <w:r>
              <w:rPr>
                <w:rFonts w:ascii="Palatino Linotype" w:hAnsi="Palatino Linotype" w:cs="Palatino Linotype"/>
                <w:color w:val="000000"/>
                <w:sz w:val="20"/>
              </w:rPr>
              <w:t xml:space="preserve"> is enforced at every request by VT (Chapter 9).</w:t>
            </w:r>
          </w:p>
        </w:tc>
      </w:tr>
      <w:tr>
        <w:trPr>
          <w:cantSplit/>
        </w:trPr>
        <w:tc>
          <w:tcPr>
            <w:tcW w:type="dxa" w:w="153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  Lifecycle</w:t>
            </w:r>
          </w:p>
        </w:tc>
        <w:tc>
          <w:tcPr>
            <w:tcW w:type="dxa" w:w="238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Steps 8 to 10: the consent identifier is generated, the object is constructed and persisted, and its state becomes PENDING_SIGNATURE.</w:t>
            </w:r>
          </w:p>
        </w:tc>
        <w:tc>
          <w:tcPr>
            <w:tcW w:type="dxa" w:w="2835"/>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Consents f050c29a, 04da25f5 and 18ab9b62 were created in PENDING_SIGNATURE. Test test_consent_persists_across_reload: </w:t>
            </w:r>
            <w:r>
              <w:rPr>
                <w:rFonts w:ascii="Palatino Linotype" w:hAnsi="Palatino Linotype" w:cs="Palatino Linotype"/>
                <w:color w:val="000000"/>
                <w:sz w:val="20"/>
              </w:rPr>
              <w:t xml:space="preserve">the stored approval is unchanged</w:t>
            </w:r>
            <w:r>
              <w:rPr>
                <w:rFonts w:ascii="Palatino Linotype" w:hAnsi="Palatino Linotype" w:cs="Palatino Linotype"/>
                <w:color w:val="000000"/>
                <w:sz w:val="20"/>
              </w:rPr>
              <w:t xml:space="preserve"> after a reload from disk.</w:t>
            </w:r>
          </w:p>
        </w:tc>
        <w:tc>
          <w:tcPr>
            <w:tcW w:type="dxa" w:w="1757"/>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Created in PENDING_SIGNATURE</w:t>
            </w:r>
            <w:r>
              <w:rPr>
                <w:rFonts w:ascii="Palatino Linotype" w:hAnsi="Palatino Linotype" w:cs="Palatino Linotype"/>
                <w:color w:val="000000"/>
                <w:sz w:val="20"/>
              </w:rPr>
              <w:t xml:space="preserve">. No access</w:t>
            </w:r>
            <w:r>
              <w:rPr>
                <w:rFonts w:ascii="Palatino Linotype" w:hAnsi="Palatino Linotype" w:cs="Palatino Linotype"/>
                <w:color w:val="000000"/>
                <w:sz w:val="20"/>
              </w:rPr>
              <w:t xml:space="preserve"> is possible until the state is ACTIVE (Chapter 9).</w:t>
            </w:r>
          </w:p>
        </w:tc>
      </w:tr>
      <w:tr>
        <w:trPr>
          <w:cantSplit/>
        </w:trPr>
        <w:tc>
          <w:tcPr>
            <w:tcW w:type="dxa" w:w="153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  Evidence</w:t>
            </w:r>
          </w:p>
        </w:tc>
        <w:tc>
          <w:tcPr>
            <w:tcW w:type="dxa" w:w="238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Step 11: the CREATE_CONSENT event is written to the audit ledger </w:t>
            </w:r>
            <w:r>
              <w:rPr>
                <w:rFonts w:ascii="Palatino Linotype" w:hAnsi="Palatino Linotype" w:cs="Palatino Linotype"/>
                <w:color w:val="000000"/>
                <w:sz w:val="20"/>
              </w:rPr>
              <w:t xml:space="preserve">with the consent identifier and timestamp.</w:t>
            </w:r>
          </w:p>
        </w:tc>
        <w:tc>
          <w:tcPr>
            <w:tcW w:type="dxa" w:w="2835"/>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 xml:space="preserve">Every creation is logged</w:t>
            </w:r>
            <w:r>
              <w:rPr>
                <w:rFonts w:ascii="Palatino Linotype" w:hAnsi="Palatino Linotype" w:cs="Palatino Linotype"/>
                <w:color w:val="000000"/>
                <w:sz w:val="20"/>
              </w:rPr>
              <w:t xml:space="preserve">. A rejected</w:t>
            </w:r>
            <w:r>
              <w:rPr>
                <w:rFonts w:ascii="Palatino Linotype" w:hAnsi="Palatino Linotype" w:cs="Palatino Linotype"/>
                <w:color w:val="000000"/>
                <w:sz w:val="20"/>
              </w:rPr>
              <w:t xml:space="preserve"> specification stores and logs nothing.</w:t>
            </w:r>
          </w:p>
        </w:tc>
      </w:tr>
    </w:tbl>
    <w:p>
      <w:pPr>
        <w:pStyle w:val="3"/>
        <w:keepNext/>
      </w:pPr>
      <w:r>
        <w:t>5.9.2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CellMar>
          <w:top w:w="50" w:type="dxa"/>
          <w:left w:w="70" w:type="dxa"/>
          <w:bottom w:w="50" w:type="dxa"/>
          <w:right w:w="70" w:type="dxa"/>
        </w:tblCellMar>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property</w:t>
            </w:r>
          </w:p>
        </w:tc>
        <w:tc>
          <w:tcPr>
            <w:tcW w:type="dxa" w:w="3061"/>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Architectural mechanism</w:t>
            </w:r>
          </w:p>
        </w:tc>
        <w:tc>
          <w:tcPr>
            <w:tcW w:type="dxa" w:w="3402"/>
            <w:tcBorders>
              <w:top w:val="nil"/>
              <w:left w:val="nil"/>
              <w:bottom w:val="single" w:sz="6" w:color="000000" w:space="0"/>
              <w:right w:val="nil"/>
              <w:insideH w:val="nil"/>
              <w:insideV w:val="nil"/>
            </w:tcBorders>
            <w:vAlign w:val="top"/>
          </w:tcPr>
          <w:p>
            <w:pPr>
              <w:keepNext/>
              <w:spacing w:before="40" w:after="40" w:line="240" w:lineRule="auto"/>
              <w:jc w:val="left"/>
            </w:pPr>
            <w:r>
              <w:rPr>
                <w:rFonts w:ascii="Palatino Linotype" w:hAnsi="Palatino Linotype" w:cs="Palatino Linotype"/>
                <w:b/>
                <w:color w:val="000000"/>
                <w:sz w:val="20"/>
              </w:rPr>
            </w:r>
            <w:r>
              <w:rPr>
                <w:rFonts w:ascii="Palatino Linotype" w:hAnsi="Palatino Linotype" w:cs="Palatino Linotype"/>
                <w:b/>
                <w:color w:val="000000"/>
                <w:sz w:val="20"/>
              </w:rPr>
              <w:t>Security significance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Identity-dependent participation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DID and credential verification before a participant can contribute to the authorisation process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unverified entities from being treated as legitimate participants.</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Authority separation</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Independent evaluation of identity and role or authority evidence</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successful authentication from being interpreted as unrestricted authorisation.</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Multi-party authorisation integrity</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Threshold evaluation over independently verified approval participants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a single participant from unilaterally activating sensitive healthcare data access when collective approval is required.</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Policy-bounded access</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Evaluation of purpose and requested data scope against consent policy</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otherwise valid identities and approvals from being used to obtain data beyond the authorised scope.</w:t>
            </w:r>
          </w:p>
        </w:tc>
      </w:tr>
      <w:tr>
        <w:trPr>
          <w:cantSplit/>
        </w:trPr>
        <w:tc>
          <w:tcPr>
            <w:tcW w:type="dxa" w:w="204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Authorisation evidence</w:t>
            </w:r>
          </w:p>
        </w:tc>
        <w:tc>
          <w:tcPr>
            <w:tcW w:type="dxa" w:w="3061"/>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Recording of verification results, approval evidence, policy evaluation, and final decisions</w:t>
            </w:r>
          </w:p>
        </w:tc>
        <w:tc>
          <w:tcPr>
            <w:tcW w:type="dxa" w:w="3402"/>
            <w:tcBorders>
              <w:top w:val="nil"/>
              <w:left w:val="nil"/>
              <w:bottom w:val="single" w:sz="4" w:color="BFBFBF" w:space="0"/>
              <w:right w:val="nil"/>
              <w:insideH w:val="nil"/>
              <w:insideV w:val="nil"/>
            </w:tcBorders>
            <w:vAlign w:val="top"/>
          </w:tcPr>
          <w:p>
            <w:pPr>
              <w:keepNext/>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Separation of interaction and enforcement</w:t>
            </w:r>
          </w:p>
        </w:tc>
        <w:tc>
          <w:tcPr>
            <w:tcW w:type="dxa" w:w="3061"/>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The View submits requests while the Controller independently determines the security decision</w:t>
            </w:r>
          </w:p>
        </w:tc>
        <w:tc>
          <w:tcPr>
            <w:tcW w:type="dxa" w:w="3402"/>
            <w:tcBorders>
              <w:top w:val="nil"/>
              <w:left w:val="nil"/>
              <w:bottom w:val="nil"/>
              <w:right w:val="nil"/>
              <w:insideH w:val="nil"/>
              <w:insideV w:val="nil"/>
            </w:tcBorders>
            <w:vAlign w:val="top"/>
          </w:tcPr>
          <w:p>
            <w:pPr>
              <w:spacing w:before="40" w:after="40" w:line="240" w:lineRule="auto"/>
              <w:jc w:val="left"/>
            </w:pPr>
            <w:r>
              <w:rPr>
                <w:rFonts w:ascii="Palatino Linotype" w:hAnsi="Palatino Linotype" w:cs="Palatino Linotype"/>
                <w:color w:val="000000"/>
                <w:sz w:val="20"/>
              </w:rPr>
            </w:r>
            <w:r>
              <w:rPr>
                <w:rFonts w:ascii="Palatino Linotype" w:hAnsi="Palatino Linotype" w:cs="Palatino Linotype"/>
                <w:color w:val="000000"/>
                <w:sz w:val="20"/>
              </w:rPr>
              <w:t>Designed to prevent user-interface actions from being interpreted directly as trusted authorisation outcomes.</w:t>
            </w:r>
          </w:p>
        </w:tc>
      </w:tr>
    </w:tbl>
    <w:p>
      <w:pPr/>
      <w:r/>
    </w:p>
    <w:p>
      <w:pPr/>
      <w:r>
        <w:t xml:space="preserve">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w:t>
      </w:r>
      <w:r>
        <w:t xml:space="preserve">. It claims</w:t>
      </w:r>
      <w:r>
        <w:t xml:space="preserve"> it from the placement of every trust-sensitive check inside the Controller, and the tests of the following chapters are the evidence for that claim.</w:t>
      </w:r>
    </w:p>
    <w:p>
      <w:pPr>
        <w:pStyle w:val="3"/>
        <w:keepNext/>
      </w:pPr>
      <w:r>
        <w:t>5.9.3 Discussion</w:t>
      </w:r>
    </w:p>
    <w:p>
      <w:pPr/>
      <w:r>
        <w:t xml:space="preserve">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t>
      </w:r>
      <w:r>
        <w:t xml:space="preserve">with its identifier and its time</w:t>
      </w:r>
      <w:r>
        <w:t xml:space="preserve">, so the later decisions can be traced back to the consent they were taken on.</w:t>
      </w:r>
    </w:p>
    <w:p>
      <w:pPr/>
      <w: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keepNext/>
      </w:pPr>
      <w:r>
        <w:t>5.10 Conclusion</w:t>
      </w:r>
    </w:p>
    <w:p>
      <w:pPr/>
      <w: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t xml:space="preserve">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w:t>
      </w:r>
      <w:r>
        <w:t xml:space="preserve">. The users</w:t>
      </w:r>
      <w:r>
        <w:t xml:space="preserve"> of HALAH will have to create a new consent when its terms change.</w:t>
      </w:r>
    </w:p>
    <w:p>
      <w:pPr/>
      <w:r>
        <w:t>The next chapter will discuss in a methodological manner the steps involved in verifying who the participants are and what authority they hold, which is the solution for research objective 2.</w:t>
      </w:r>
    </w:p>
    <w:sectPr w:rsidR="009262C4">
      <w:headerReference w:type="default" r:id="rId48"/>
      <w:headerReference w:type="even" r:id="rId49"/>
      <w:footerReference w:type="default" r:id="rId50"/>
      <w:footerReference w:type="even" r:id="rId51"/>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header" Target="header1.xml"/><Relationship Id="rId42" Type="http://schemas.openxmlformats.org/officeDocument/2006/relationships/header" Target="header2.xml"/><Relationship Id="rId43" Type="http://schemas.openxmlformats.org/officeDocument/2006/relationships/footer" Target="footer2.xml"/><Relationship Id="rId44" Type="http://schemas.openxmlformats.org/officeDocument/2006/relationships/header" Target="header3.xml"/><Relationship Id="rId45" Type="http://schemas.openxmlformats.org/officeDocument/2006/relationships/header" Target="header4.xml"/><Relationship Id="rId46" Type="http://schemas.openxmlformats.org/officeDocument/2006/relationships/footer" Target="footer3.xml"/><Relationship Id="rId47" Type="http://schemas.openxmlformats.org/officeDocument/2006/relationships/footer" Target="footer4.xml"/><Relationship Id="rId48" Type="http://schemas.openxmlformats.org/officeDocument/2006/relationships/header" Target="header5.xml"/><Relationship Id="rId49" Type="http://schemas.openxmlformats.org/officeDocument/2006/relationships/header" Target="header6.xml"/><Relationship Id="rId50" Type="http://schemas.openxmlformats.org/officeDocument/2006/relationships/footer" Target="footer5.xml"/><Relationship Id="rId51"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2026-10-23T09:38:58Z</dcterms:created>
  <dcterms:modified xsi:type="dcterms:W3CDTF">2026-10-23T09:38:58Z</dcterms:modified>
</cp:coreProperties>
</file>