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5 Research Architecture and Trust-Centric Consent Model</w:t>
        <w:tab/>
        <w:t>50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Layered Architecture and Component Decomposition</w:t>
        <w:tab/>
        <w:t>51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Evaluation and Architectural Boundaries</w:t>
        <w:tab/>
        <w:t>52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MVC Architecture and the Research Objectives</w:t>
        <w:tab/>
        <w:t>55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Trust-Centric Consent Model</w:t>
        <w:tab/>
        <w:t>57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5.5.1 Consent Creation Workflow</w:t>
        <w:tab/>
        <w:t>58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5.5.2 Structure of the Consent Object</w:t>
        <w:tab/>
        <w:t>59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5.5.3 Trust-Aware Consent Creation Procedure and Algorithm</w:t>
        <w:tab/>
        <w:t>60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Prototype Implementation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Validation and Evaluation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5.7.1 Validation of Consent Creation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5.7.2 Evaluation of the Architecture against the Security Properties</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Conclusion</w:t>
        <w:tab/>
        <w:t>66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Functional decomposition of the MVC components.</w:t>
        <w:tab/>
        <w:t>51</w:t>
      </w:r>
    </w:p>
    <w:p xmlns:ns1="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RO1 workflow for trust-centric consent creation.</w:t>
        <w:tab/>
        <w:t>59</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64</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Mapping between research objectives and MVC components</w:t>
        <w:tab/>
        <w:t>56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r>
        <w:t>Figure 5.7 shows the patient interface of the prototype at the moment a consent is created. The patient selects their own DID from the loaded record set, enters the DID of the authorised doctor and the DIDs of the guardians, chooses the data modules from the four EMR modules, and sets the start and expiry times. When the patient submits the form, the interface runs the checks of Algorithm 1 and, if they pass, shows the identifier of the new consent and confirms that the creation was logged. The consent then appears in the patient's list in the state PENDING_SIGNATURE with no approvals, which is the state defined in Section 5.5.1. The guardians, the doctor and the auditor each use their own interface, presented in the chapters that follow.</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