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these conditions individually, and several combine three or four of them, but no reviewed system evaluates in every access decision who the participants are, whether they hold the authority to approve, whether the required collective approval has been obtained, whether the requested purpose and data scope match the consent, and whether the consent is still valid at the time of the request,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38</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48</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51</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55</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59</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63</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66</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69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74</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75</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75</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79</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80</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83</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86</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89</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89</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91</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95</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96</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99</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109</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109</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111</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114</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114</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118</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119</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123</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124</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127</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130</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131</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134</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135</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136</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141</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142</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144</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144</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148</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150</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154</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159</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164</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166</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168</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169</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171</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174</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176</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177</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181</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182</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000000"/>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w:t>
      </w:r>
      <w:r>
        <w:rPr>
          <w:rFonts w:ascii="Cambria" w:cs="Cambria" w:eastAsia="Cambria" w:hAnsi="Cambria"/>
          <w:color w:val="000000"/>
          <w:sz w:val="24"/>
          <w:szCs w:val="24"/>
        </w:rPr>
        <w:t xml:space="preserve">but in most systems consent remains a passive artefact indicating that a permission or approval has been created,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000000"/>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000000"/>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(the Patient Consent Management Platform for History Access by Authorised Healthcare Providers described in Section 6.8), encompassing per-dimension denial scenarios, guardian signature-rejection tests, and tests of tampered and expired zero-knowledge proofs,</w:t>
      </w:r>
      <w:r>
        <w:rPr>
          <w:rFonts w:ascii="Cambria" w:cs="Cambria" w:eastAsia="Cambria" w:hAnsi="Cambria"/>
          <w:color w:val="000000"/>
          <w:sz w:val="24"/>
          <w:szCs w:val="24"/>
        </w:rPr>
        <w:t xml:space="preserve"> together with </w:t>
      </w:r>
      <w:r>
        <w:rPr>
          <w:rFonts w:ascii="Cambria" w:cs="Cambria" w:eastAsia="Cambria" w:hAnsi="Cambria"/>
          <w:color w:val="000000"/>
          <w:sz w:val="24"/>
          <w:szCs w:val="24"/>
        </w:rPr>
        <w:t xml:space="preserve">a live negative evaluation on the Ethereum Sepolia testnet</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Formal security analysis, by contrast,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and it should be distinguished from trusted computing in the hardware sense, such as trusted execution environments and attestation, which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defined by the patient in the consent object, has jointly established the authorisation condition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research questions, Chapter 4 states the research objectives, Chapter 5 describes the MVC-based research architecture, Chapter 6 presents the proposed solution, its algorithms and the live HALAH demonstration, and Chapters 7 to 9 report the current progress, publications and the research plan for the next stage.</w:t>
      </w:r>
    </w:p>
    <w:p>
      <w:pPr>
        <w:spacing w:after="140" w:line="300"/>
        <w:jc w:val="both"/>
      </w:pPr>
      <w:r>
        <w:rPr>
          <w:rFonts w:ascii="Cambria" w:cs="Cambria" w:eastAsia="Cambria" w:hAnsi="Cambria"/>
          <w:color w:val="000000"/>
          <w:sz w:val="24"/>
          <w:szCs w:val="24"/>
        </w:rPr>
        <w:t xml:space="preserve">It should be noted that the scope of the current stage is bounded. The HALAH prototype is deployed on the Ethereum Sepolia testnet with synthetic healthcare records, the guardian approval rule is currently implemented as N-of-N over the guardian set G,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w:t>
      </w:r>
      <w:r>
        <w:rPr>
          <w:rFonts w:ascii="Cambria" w:cs="Cambria" w:eastAsia="Cambria" w:hAnsi="Cambria"/>
          <w:color w:val="000000"/>
          <w:sz w:val="24"/>
          <w:szCs w:val="24"/>
        </w:rPr>
        <w:t xml:space="preserve">blockchain-based consent governance, decentralised identity and authority, multi-party authorisation, policy- and context-aware access control, temporal validity and consent lifecycle, and formal security assurance and empirical validation</w:t>
      </w:r>
      <w:r>
        <w:rPr>
          <w:rFonts w:ascii="Cambria" w:cs="Cambria" w:eastAsia="Cambria" w:hAnsi="Cambria"/>
          <w:sz w:val="24"/>
          <w:szCs w:val="24"/>
        </w:rPr>
        <w:t xml:space="preserve">.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This is important because the same consent may be valid for one request and invalid for another, depending on who is asking, for what purpose and at what time.</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This requirement goes beyond a workflow in which several people click an approval button.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Even when the identities are valid and the required approvals have been obtained, an access request should be granted only if it conforms to the purpose and the data scope that the patient authorised, and to the contextual constraints that apply to the request, such as the jurisdiction in which the data may be used.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caused not by unknown requesters but by legitimate requesters who exceed the scope of what was permitted, which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In particular, the review considered not only whether a study addresses consent representation, identity, multi-party approval, policy enforcement, temporal validity or security assurance, but also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performed by a review panel of six members, each of whom was responsible for one perspective of the review,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This question is not a review question in its own right, because it operationalises the research gap rather than a separate objective, and it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It should also be noted that the review protocol originally listed eight family-specific sensitivity queries for IEEE Xplore; these were superseded by the single master query and were never executed, and this is declared as a documented deviation from the protocol rather than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fall outside this period by design and are considered only as background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and on 5 September 2026 for the ACM Digital Library, </w:t>
      </w:r>
      <w:r>
        <w:rPr>
          <w:rFonts w:ascii="Cambria" w:cs="Cambria" w:eastAsia="Cambria" w:hAnsi="Cambria"/>
          <w:color w:val="000000"/>
          <w:sz w:val="24"/>
          <w:szCs w:val="24"/>
        </w:rPr>
        <w:t xml:space="preserve">which was added as a late arm after the six other database searches had been frozen, and this late addition is declared as a limitation of the search strategy</w:t>
      </w:r>
      <w:r>
        <w:rPr>
          <w:rFonts w:ascii="Cambria" w:cs="Cambria" w:eastAsia="Cambria" w:hAnsi="Cambria"/>
          <w:color w:val="000000"/>
          <w:sz w:val="24"/>
          <w:szCs w:val="24"/>
        </w:rPr>
        <w:t xml:space="preserve">. Each query was frozen with a search identifier and a version number (IEEE-M v2, SCOPUS-M v3, WOS-M v2, PROQ-M v2, SD-M v2, SPR-M v3, GS-M v2 and ACM-M v1) before its export was accepted, and a changed query was always recorded as a new version rather than overwriting the previous one. Superseded versions were archived with their cause; for example, the first two Scopus versions were rejected because a subject-area limit had removed the medical-venue records, and an initial ProQuest run over the full text was rejected because its scope was inconsistent with the title, abstract and keyword scope of the other databases.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ProQuest returned 1,180 records, ScienceDirect 65 records (23 after within-source deduplication), Scopus 2,133 records, Web of Science 1,137 records, which had to be exported by e-mail because the direct download was blocked by the library proxy, and the ACM Digital Library 40 records.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each representing one trust dimension, were defined in advance, and the frozen query was tested for whether it retrieved each of them. The four healthcare-scoped sentinels, namely Madine et al. [53], Jaiman and Urovi [49], Tith et al. [71] and Albalwy et al. [37], were retrieved by the master query, the first two through IEEE Xplore and all four through Scopus, Web of Science and ProQuest, and all four were present in the merged register. The sentinels that were not retrieved were diagnosed individually: </w:t>
      </w:r>
      <w:r>
        <w:rPr>
          <w:rFonts w:ascii="Cambria" w:cs="Cambria" w:eastAsia="Cambria" w:hAnsi="Cambria"/>
          <w:color w:val="000000"/>
          <w:sz w:val="24"/>
          <w:szCs w:val="24"/>
        </w:rPr>
        <w:t xml:space="preserve">in five of the eight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is the 2016 MedRec proposal, which lies outside the date range by design; and for one sentinel the cause of the miss had not been established at the checkpoint and is recorded as an open item</w:t>
      </w:r>
      <w:r>
        <w:rPr>
          <w:rFonts w:ascii="Cambria" w:cs="Cambria" w:eastAsia="Cambria" w:hAnsi="Cambria"/>
          <w:color w:val="000000"/>
          <w:sz w:val="24"/>
          <w:szCs w:val="24"/>
        </w:rPr>
        <w:t xml:space="preserve">. These misses were therefore attributed to venue or scope and not to a defect of the query, and the protocol rule that no query is tuned to rescue a single paper was observed; such papers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and a study whose findings contradict or weaken the gap was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00"/>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All 39 Tier A records were assessed at full text. Tier B and Tier C records were then read in a targeted order under a dimension-level saturation rule, under which saturation of a dimension is declared when eight consecutively coded studies carrying a positive signal for that dimension yield no new mechanism class for it; saturation is declared per dimension and never for the corpus as a whole.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which summarises the identification, screening, eligibility and inclusion stages described above, including the records identified through the Google Scholar discovery arm, the pending-abstract records that were not advanced, the full text that could not be retrieved, and the reasons for exclusion at the full-text stage. The chain of counts in the diagram is internally consistent: 9,256 minus 2,794 minus 423 gives the 6,039 titles screened; 6,039 minus 2,910 gives the 3,129 records advanced to the abstract stage; 3,129 minus 741 minus 588 gives the 1,800 full texts sought; 39 plus 1,066 plus 695 gives the same 1,800; and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For every study, the extracted information included the bibliographic record, the document type, the coding of the seven trust dimensions and the seven requirements defined below, the page reference and evidence note on which each positive coding rests, technology flags (blockchain, decentralised identifier, verifiable credential, threshold mechanism, policy model, revocation mechanism, formal method, prototype and dataset), the eight quality assessment items, the evidence tier, the gap-impact verdict, the reviewer and any recorded dissent.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with Partial awarded for a threat discussion only; the statement that a system is secure is not evidence.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and QA4 asks whether the proposed methodology is validated by a proof of concept or an implementation. A study was included when the sum of QA1 to QA4 was at least 3.0. The remaining four items, QA5 to QA8, do not affect inclusion but inform the evidence tier assigned to each study, </w:t>
      </w:r>
      <w:r>
        <w:rPr>
          <w:rFonts w:ascii="Cambria" w:cs="Cambria" w:eastAsia="Cambria" w:hAnsi="Cambria"/>
          <w:color w:val="000000"/>
          <w:sz w:val="24"/>
          <w:szCs w:val="24"/>
        </w:rPr>
        <w:t xml:space="preserve">namely evidence Tier A for strong direct evidence, evidence Tier B for direct evidence with limitations, evidence Tier C for a supporting mechanism and Background for the secondary studies.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It should be noted that a low quality score was never treated as evidence for or against the research gap; studies with low scores were retained and their influence was tested in a sensitivity analysis. Quality items were scored for every included study and for exclusions in which the relevance gate corroborated the decision, </w:t>
      </w:r>
      <w:r>
        <w:rPr>
          <w:rFonts w:ascii="Cambria" w:cs="Cambria" w:eastAsia="Cambria" w:hAnsi="Cambria"/>
          <w:color w:val="000000"/>
          <w:sz w:val="24"/>
          <w:szCs w:val="24"/>
        </w:rPr>
        <w:t xml:space="preserve">but not for studies excluded as outside healthcare (EC1) or on document type, duplication, secondary status or unavailability (EC5 to EC8), because these criteria precede quality assessment in the protocol</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The distinction does not affect the PRISMA inclusion counts; supporting studies are reviewed in Section 2.4 and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were performed by the six-member review panel described in Section 2.3.1. For each full text, the panel executed a fixed review template in which the first member verified the completeness of the full text and the bibliographic identity of the record and applied the eligibility and quality gates, the second member coded consent representation and trust modelling, the third member coded identity, authority and multi-party authorisation, the fourth member coded policy, temporal and lifecycle enforcement, the fifth member coded formal assurance and empirical validation, and the chair issued the final decision and the gap-impact verdict.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A study was placed in the stream in which its principal contribution lies, even though most studies touch on more than one requirement,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00"/>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3640"/>
        <w:gridCol w:w="1600"/>
        <w:gridCol w:w="8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6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8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6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8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Following the synthesis rule ratified by the coding panel (D-166), 23 studies were classified as core, because their full-text evidence contradicts, weakens or narrows the research gap or because they involve more than one authorising party (T3 graded Yes or Partial), and the remaining 21 were classified as supporting.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reviews the analysed studies that were assigned to that stream, states their issues and limitations with respect to the requirement in question, and ends with a table that summarises the analysed studies and records their commitment to all six requirements, where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analysed studies whose main contribution is the representation and governance of patient consent, both of which are deployed platforms rather than research prototypes; the ten supporting studies assigned to this stream, most of which govern consent on a blockchain, are cited at the end of the section.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In this context, three situations recur across the stream: consent that is represented but absent from the decision, consent that is present in the decision but reduced to a boolean flag, and consent that is held in a registry whose status is displayed or queried but never enforced. The two analysed studies illustrate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The consent object is the richest in this stream, yet the paper specifies no check semantics, no term list and no allow or deny protocol, so that the way in which a directive is evaluated at the time of a request cannot be established from the publication.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Taken together, the two analysed studies show that the representation of consent and the evaluation of consent have been developed apart even in production systems. In both, the consent object is comparatively rich, a preference matrix of data category by recipient type in iAgree [67] and FHIR consent directives scoped by use type in Mainzelliste [72], yet in neither case does the paper specify the semantics by which an access decision evaluates that object: enforcement is out of scope in the first and unspecified in the second. In addition, neither study verifies its own authorisation decisions, since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found not here but in Section 2.4.2, in the on-chain consent object of Phuyal et al. [58], and in the patient-driven policy of Al Amin et al. [38] in Section 2.4.3. Therefore, Req 1 is partially addressed in this stream, but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Ten further studies were assigned to this stream and coded but are not discussed individually [36], [39], [41], [42], [60], [65], [68], [70], [74], [78]. They corroborate the pattern described above rather than alter it: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and the two conceptual designs [39], [41] remain unimplemented.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included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00"/>
          <w:sz w:val="24"/>
          <w:szCs w:val="24"/>
        </w:rPr>
        <w:t xml:space="preserve">Phuyal et al. [58] present the most integrated system in the corpus, a simulated Norwegian cross-institution exchange in which patients and professionals hold EUDI-compatible wallets with W3C decentralised identifiers and verifiable credentials, consent is an executable on-chain object carrying the patient identifier, the requester identifier, the data scope and an expiry together with an ACTIVE or REVOKED state on a Hyperledger Besu ledger, and access proofs are generated with Groth16 circuits. Identity verification checks the issuer registry, the signature and the credential expiry, and, importantly for Req 2, a licensing-body credential asserts the professional's role, specialisation and scope of practice, which the system verifies separately from authentication. This is the strongest Req 2 evidence in the corpus. Revocation is enforced at run time in 1.45 seconds and subsequent access returns an error, and allow and deny cases are tested over 100 runs per workflow. The limitations are equally precise: a single patient grants a bilateral data-sharing agreement and there is no multi-party approval, the expiry field is stored on the ledger but the access algorithm checks only state and proof, purpose exists only at the user-interface level, and there is no threat model, formal verification or adversarial test. The companion architecture of Phuyal et al. [59]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and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Its limitations with respect to the later requirements are that the patient and requester co-signature on a request is bilateral authentication rather than independent approval, purpose is logged in the transaction record but never evaluated, scope is at the hospital level, the token expiry enforced at the validator is a session bound rather than a consent validity window, revocation of the access list does not invalidate tokens already issued, and the security discussion is narrative.</w:t>
      </w:r>
    </w:p>
    <w:p>
      <w:pPr>
        <w:spacing w:after="140" w:line="300"/>
        <w:jc w:val="both"/>
      </w:pPr>
      <w:r>
        <w:rPr>
          <w:rFonts w:ascii="Cambria" w:cs="Cambria" w:eastAsia="Cambria" w:hAnsi="Cambria"/>
          <w:color w:val="000000"/>
          <w:sz w:val="24"/>
          <w:szCs w:val="24"/>
        </w:rPr>
        <w:t xml:space="preserve">In summary, identity is the strongest dimension of this stream, with T1 graded Yes in two of the three analysed studies and Partial in the design-only architecture of Phuyal et al. [59], and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it is not formally assured, and it is the only one of the three analysed studies that verifies allow and deny outcomes. Therefore, the literature provides mature mechanisms for decentralised identity and increasingly for credential-based authority, but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Two further studies were assigned to this stream and corroborate these findings without altering them [45], [66]. Ferreira et al. [45] design the widest authorisation predicate in the corpus, in which a single call conjoins the subject, the purpose, the scope and the time over the current consent state, and Shanmugham and Senthilkumar [66] propose a consent token carrying an identifier, a role, a scope, a validity interval and a three-state lifecycle that is the closest single-party structural analogue of the consent object required by the proposed framework. In both, however, case-specific authority reduces to a credential together with the consent state, the guardians named in [45] are a key-recovery mechanism rather than co-authorisers, no denial after revocation or expiry is tested, and neither study is formally assured, so that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analysed studies of stream 3,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[35] present Nexa, a public-blockchain record system in which a Shamir (5, 3) threshold protects each record key; a clinical access combines the requester's own share with two automated oracle shares released on the basis of the current on-chain role, so there is a single authorisation locus and no human co-approval, the patient's share is not required, and the institutional multi-signature for bulk access is proposed but outside the prototype.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half of them, whereas the consent grant itself is submitted unilaterally by the patient. Moreover, each investigator's vote consists of recomputing and confirming the hash of the message, so the threshold is a threshold of integrity verifiers rather than of authorisers, and the voters act for the institution rather than for the patient. The third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among the 44 included studies in which multi-party approval and an enforced policy predicate co-occur. Even so, the threshold is scoped, since ordinary access is token-only, it is defeasible, since a single emergency officer can bypass it, and it sits outside the grant predicate as a separate orchestration layer; the patient enters the predicate as a boolean consent attribute rather than as an authoriser;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and the security argument is a STRIDE and LINDDUN enumeration with no proof over the authorisation protocol.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[43] report the implementation of electronic informed consent in rare disease genomics on a commercial platform used by three genomic medicine centres in Sweden: the consent of a minor is valid only when all legal guardians, one or two, have signed, and guardianship is verified in real time against the national Population Register, with 61 paediatric trio consents obtained under this rule.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The only multi-party element is a two-of-two multi-signature wallet in the experimental harness in which every member must sign to store a consent; the members are not named, the mechanism gates registration rather than access, it is absent from the model, no purpose term exists, and the Goerli deployment reports no measured result or allow or deny case.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What exists is multi-party authorisation in six forms: joint approval on a contingency path when the principal is absent [53, 69]; guardian or bilateral co-consent at the time of consent registration [43, 47, 38]; institution-side thresholds over record admission and consent revocation [75]; custodial M-of-N approval around, but not inside, a policy predicate [61]; a patient-appointed witness threshold welded to key release [69]; and threshold key custody or delegation among custodians, relatives or clinicians [35, 54, 50]. In this context, the sentence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that is, one evaluated on every access request, in a decentralised exchange, as a conjunct of the same predicate that evaluates the policy conditions of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The evaluation is a rigid exact-match of hashes rather than a policy engine,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44 included studies, T4 is coded Yes in 16, Partial in 22 and No in 6, so a policy or attribute condition influences the access decision in a substantial share of the reviewed systems and the requirement cannot be described as unaddressed. The nature of the policy is, however, narrower than Req 4 demands. In most of the T4-positive studies the evaluated policy is bound to the requester, namely to a role, a department, an institution or an attribute set, as in Punia et al. [61], Li et al. [51], the attribute-based access control of Ghosh et al. [46] and the attribute-based encryption schemes of stream 6. Purpose-of-use enters the evaluated decision in only seven of the 44 included studies [37, 44, 45, 49, 57, 63, 71], and purpose and data scope are jointly present in the decision by design in fewer still, namely Albalwy et al. [37], Eneh et al. [44], Tith et al. [71] and the supporting study [45].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and that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4 was coded but is not discussed individually. The quantum-safe attribute-based access control scheme of Ghosh et al. [46] corroborates the finding that an attribute policy can operate inside the access decision and be enforced cryptographically, with attribute revocation checked at every access; it also confirms the residual deficit, since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The lifecycle is nevertheless limited to an active flag and the temporal bounds, without pending, suspended or renewed states; identity is a wallet address with an attribute registry whose issuance governance is unspecified; a single patient authors the rules; there is no threat model; and the evaluation is a two-page demonstration on a local network with gas measurements and an integration test suite. Hema et al. [64] took a different route in a patient-centric cryptographic protection scheme for cloud EHRs, in which the patient's signed consent token, the requester role and the expiry time are inputs to the key derivation function, so that once the expiry has passed the decryption key cannot be reconstructed and revocation likewise causes derivation to fail without re-encryption. Temporal validity is thus not merely evaluated but made cryptographically unreachable, and authority is separated from identity through role-scoped keys.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analysed study illustrates a pattern that the coding panel describes as displacement, in which time is enforced on an artefact issued to the requester rather than on the consent itself. Li et al. [51] presented a hybrid role-based and smart-contract scheme with attribute-based authorisation for IoMT records, in which the expiry of a signed credential is compared with the current time at every sharing interaction and a grant ledger records authorisations; the credential window is enforced, but the consent or authorisation object itself carries no enforced validity window and there is no consent state machine.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44 included studies, T5 is coded Yes in 10 and T6 in 11, while Req 5, which requires enforcement in the decision, is Yes in 8; among the 25 analysed studies the corresponding counts are 8, 7 and 8, so that every study coded Yes on Req 5 belongs to the analysed set.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It is the absence of verified temporal and lifecycle enforcement at the level of the consent object in a deployed multi-institution exchange, together with the fact that the three stream-5 systems which enforce time inside the decision are all single-party, and that of the eight analysed studies coded Yes on Req 5, including the multi-party designs of Madine et al. [53] and Punia et al. [61], only the encryption scheme of Mei et al. [55] carries a formal proof, and that proof concerns the static encryption predicate rather than the consent decision. Table 7 presents a summary of the analysed stream-5 studies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5 was coded but is not discussed individually. The revocable attribute-based encryption scheme of Xu et al. [77], organised in key epochs for hospital-to-hospital sharing, corroborates the displacement pattern, since revocation is realised by key rollover so that a revoked user retains access until the epoch ends, the word consent does not appear and keyword matching is a discovery mechanism rather than an approval. The distinction between recorded and enforced time is likewise corroborated by supporting studies of the other streams in which a timestamp is stored, logged or used only as a replay window without being read by the decision [46], [60], [62], [78], or in which automatic expiry is claimed without specifying where the clock is read [68], [70]; a post-revocation denial is reported outside the analysed set only in results captioned as illustrative [45] or in a single narrated scenario [68], and named consent states gating the decision appear in one further supporting study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There is no theorem of the form that access is granted only under stated conditions, and the proofs cannot cover policy, temporal or lifecycle conjuncts because the system has none: access is all-or-nothing per authorising owner, the only time values are index and document fields that no algorithm reads, and there is no revocation, withdrawal or state.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Zhao and Su [50] proposed a threshold traceable delegation authorisation scheme in which the data owner delegates to l of d already-authorised users, each of whom must run an authorisation algorithm bound to a private key before an out-of-policy requester can restore the data; unforgeability below the threshold rests on the bilinear Diffie-Hellman assumption and confidentiality is proven under an IND-CPA game with reduction. The proof covers the threshold gate in isolation, the delegates are consumer-side clinicians rather than patient-side stakeholders, there is no time, expiry, revocation or state, and the Java benchmark measures performance only. Maruthi and Singh [54] addressed the unconscious patient with a threshold proxy re-encryption scheme in which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 The collective mechanism is genuine and decision-time, but policy and temporal conditions are both absent, so the proof again covers a narrow predicate. Mei et al. [55] proposed a dual-revocation ciphertext-policy attribute-based encryption scheme for IoMT in which a direct mode terminates access immediately through a ciphertext update, a construction the authors motivate by patient consent withdrawal, with user-level and attribute-level granularity and an IND-CPA reduction under the q-BDHE assumption; the scheme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First, formal assurance in the sense of the workbook's Req6 is coded Yes in only 4 of the 25 analysed studies, all of them in this stream, and in 6 of the 44 included studies, the remaining two being supporting encryption schemes of this stream. In every case the proven property attaches to a narrow predicate: an identity-and-authority fragment in HealthDID [76], a threshold gate in Zhao and Su [50] and Maruthi and Singh [54], or a static attribute policy in the encryption scheme of Mei et al. [55]. Conversely,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and Panagoulias et al. [57], whose decision is the best verified in the corpus, self-declare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valuable but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Second, empirical validation in the sense of the workbook's Req7 is coded Yes in only 5 of the 44 included studies, Partial in 35 and No in 4; all five Yes codes fall within the analysed set, where the distribution is Yes in 5 of the 25, Partial in 19 and No in 1. The meaning of evaluation in the corpus is instructive. In the large majority of the Partial cases, evaluation means throughput, latency, gas cost, block time or encryption timing. Abbasi et al. [35] measure hundreds to a thousand transactions per operation on a public test network with a published repository and a Synthea-generated dataset, yet execute no allow-or-deny test. Punia et al. [61] instrument 100 transactions and narrate, but do not run, the single denial scenario. The four cryptographic studies of this stream report benchmarks of their primitives without exercising a single denial. The pattern, described by the panel as built and measured but never validated as an authorisation decision, is the dominant form of evidence.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00"/>
          <w:sz w:val="24"/>
          <w:szCs w:val="24"/>
        </w:rPr>
        <w:t xml:space="preserve">Supporting evidence. Five further included studies of stream 6 were coded but are not discussed individually. The revocable attribute-based searchable encryption scheme of Gao et al. [48] and the bilateral proxy re-encryption scheme of Luo et al. [52] are the two remaining studies coded Yes on formal assurance among the 44 included studies, and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and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from the guardian and agency approvals of Madine et al. [53] and the patient-appointed verifiers of Tan et al. [69] to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and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prove nothing; the systems that provide multi-party approval carry no purpose or data-scope condition and no formal argument; and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namely that the identity, authority, multi-party, policy and temporal conditions hold together and that this conjunction is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analysed studies against the six key requirements and positions the proposed framework relative to the existing literature. The analysed studies are the 23 core studies ratified by the coding panel, that is, the studies whose coding narrows, weakens or contradicts one of the deficits of the gap statement or which carry a multi-party signal (T3 Yes or Partial), together with the two highest-quality supporting studies, Albalwy et al. [37] and Li et al. [51].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First, counting only full satisfaction, Req 1 is met by 12 of the 25 analysed studies, Req 2 by 7, Req 3 by 6, Req 4 by 10, Req 5 by 8 and Req 6 by 9; no requirement is unaddressed, but none is met by a majority of the analysed studies, and Req 1, at 12 of 25, comes closest.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and five studies (Abbasi, Phuyal et al. [59], Soohoo, Tremper and Wu et al. [75]) fully satisfy no requirement at all. Third, the pairs of requirements that co-occur most often are Req 1 with Req 4 (seven studies: Albalwy, Eneh, Jaiman and Urovi, Panagoulias, Román-Martínez, Hema and Tith) and Req 4 with Req 5 (six studies: Eneh, Li, Mei, Panagoulias, Punia and Hema),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Two triples are the most frequent, each found in three studies: Req 1 with Req 4 and Req 5, in Eneh et al. [44], Panagoulias et al. [57] and Hema et al. [64], all of them single-party systems, and Req 1 with Req 4 and Req 6, in Albalwy et al. [37], Jaiman and Urovi [49] and Panagoulias et al. [57], all of them single-party systems whose Req 6 tick rests on empirical validation rather than a formal proof. The triples that include Req 3 are Req 1, Req 2 and Req 3 in Madine et al. [53] and Tan et al. [69], neither of which enforces purpose or data scope or provides a formal argument, and Req 3, Req 4 and Req 5 in Punia et al. [61], where the threshold lies outside the policy predicate and no purpose term exists. Fourth, the two quadruples among the analysed studies are disjoint in exactly the way the gap predicts: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Rather, it lies in establishing an explicit and verifiable relationship among them, so that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It is this integrated position, represented by the final row of Table 9, that no reviewed study occupies, and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The synthesis below draws on the coding of all 44 included studies, whereas the in-depth discussion of Section 2.4 concentrated on the 25 analysed studies; the corpus-level counts are therefore reported over 44 unless stated otherwise. </w:t>
      </w:r>
      <w:r>
        <w:rPr>
          <w:rFonts w:ascii="Cambria" w:cs="Cambria" w:eastAsia="Cambria" w:hAnsi="Cambria"/>
          <w:color w:val="000000"/>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the signal prevalence in the </w:t>
      </w:r>
      <w:r>
        <w:rPr>
          <w:rFonts w:ascii="Cambria" w:cs="Cambria" w:eastAsia="Cambria" w:hAnsi="Cambria"/>
          <w:color w:val="000000"/>
          <w:sz w:val="24"/>
          <w:szCs w:val="24"/>
        </w:rPr>
        <w:t xml:space="preserve">wider full-text pool of 1,800 records described in Section 2.3.6</w:t>
      </w:r>
      <w:r>
        <w:rPr>
          <w:rFonts w:ascii="Cambria" w:cs="Cambria" w:eastAsia="Cambria" w:hAnsi="Cambria"/>
          <w:color w:val="000000"/>
          <w:sz w:val="24"/>
          <w:szCs w:val="24"/>
        </w:rPr>
        <w:t xml:space="preserve">, in which only 8% of the records carry a multi-party signal,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The most important correction that the review imposes on the framing of this research concerns multi-party authorisation.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[47] </w:t>
      </w:r>
      <w:r>
        <w:rPr>
          <w:rFonts w:ascii="Cambria" w:cs="Cambria" w:eastAsia="Cambria" w:hAnsi="Cambria"/>
          <w:color w:val="000000"/>
          <w:sz w:val="24"/>
          <w:szCs w:val="24"/>
        </w:rPr>
        <w:t xml:space="preserve">report deployed platforms in which all legal guardians must</w:t>
      </w:r>
      <w:r>
        <w:rPr>
          <w:rFonts w:ascii="Cambria" w:cs="Cambria" w:eastAsia="Cambria" w:hAnsi="Cambria"/>
          <w:color w:val="000000"/>
          <w:sz w:val="24"/>
          <w:szCs w:val="24"/>
        </w:rPr>
        <w:t xml:space="preserve"> co-</w:t>
      </w:r>
      <w:r>
        <w:rPr>
          <w:rFonts w:ascii="Cambria" w:cs="Cambria" w:eastAsia="Cambria" w:hAnsi="Cambria"/>
          <w:color w:val="000000"/>
          <w:sz w:val="24"/>
          <w:szCs w:val="24"/>
        </w:rPr>
        <w:t xml:space="preserve">sign at consent registration, on a commercial research platform in [43] and, in [47], as a condition of guardian proxy access in national patient portals that is gated also by a professional's capacity assessment and the minor's own consent, and guardianship is verified against a population register</w:t>
      </w:r>
      <w:r>
        <w:rPr>
          <w:rFonts w:ascii="Cambria" w:cs="Cambria" w:eastAsia="Cambria" w:hAnsi="Cambria"/>
          <w:color w:val="000000"/>
          <w:sz w:val="24"/>
          <w:szCs w:val="24"/>
        </w:rPr>
        <w:t xml:space="preserve">; the co-consent is a validity condition of the registered consent and not a predicate evaluated on each subsequent access request. In addition, Maruthi and Singh [54] distribute a threshold key among patient-designated relatives, and Abbasi et al. [35] among automated oracles, so that the threshold protects key custody rather than expressing an authorisation judgement. Therefore, multi-party approval exists in the reviewed literature as a contingency path, a registration-time co-consent, an institution-side admission gate, a custodial M-of-N, a witness or notary threshold, or a key-share reconstruction.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eleven studies reach a tick in the combined column of the tables of Section 2.4,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Taken together,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No study, however, conjoins identity, authority, threshold, policy, temporal and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but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As set out above, the joint approval in these studies is contingent on the absence of the patient [53, 69, 54], reserved for particular request classes and bypassable in an emergency [61], placed among consumer-side delegates or institution-side investigators rather than patient-side parties [50, 75], or applied at consent registration rather than at each access decision [43, 47, 38].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However, the enforced window is usually attached to a token, a key or a credential rather than to the consent [73, 51, 77], the stored expiry of the consent is not read by the decision [58], revocation does not invalidate tokens already issued [73], and no study verifies expiry, revocation and state transition together at the consent level in a multi-institution exchange.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w:t>
      </w:r>
      <w:r>
        <w:rPr>
          <w:rFonts w:ascii="Cambria" w:cs="Cambria" w:eastAsia="Cambria" w:hAnsi="Cambria"/>
          <w:color w:val="000000"/>
          <w:sz w:val="24"/>
          <w:szCs w:val="24"/>
        </w:rPr>
        <w:t xml:space="preserve">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w:t>
      </w:r>
      <w:r>
        <w:rPr>
          <w:rFonts w:ascii="Cambria" w:cs="Cambria" w:eastAsia="Cambria" w:hAnsi="Cambria"/>
          <w:color w:val="000000"/>
          <w:sz w:val="24"/>
          <w:szCs w:val="24"/>
        </w:rPr>
        <w:t xml:space="preserve">both predicates are enforced in the implemented Consent Engine and are evaluated empirically in the later chapters of this report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The present research therefore establishes the relationship between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w:t>
      </w:r>
      <w:r>
        <w:rPr>
          <w:rFonts w:ascii="Cambria" w:cs="Cambria" w:eastAsia="Cambria" w:hAnsi="Cambria"/>
          <w:color w:val="000000"/>
          <w:sz w:val="24"/>
          <w:szCs w:val="24"/>
        </w:rPr>
        <w:t xml:space="preserve">according to whether the combined identity, authority, collective authorisation, policy, temporal and jurisdictional conditions required for access have been satisfied</w:t>
      </w:r>
      <w:r>
        <w:rPr>
          <w:rFonts w:ascii="Cambria" w:cs="Cambria" w:eastAsia="Cambria" w:hAnsi="Cambria"/>
          <w:sz w:val="24"/>
          <w:szCs w:val="24"/>
        </w:rPr>
        <w:t xml:space="preserve">.</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temporal validity and revocation are enforced at decision time in a few, identity and authority are separated most clearly where guardianship or professional licensing is verified against an external register or credential, and multi-party approval exists in six mechanism classes. The review also found that these conditions are not conjoined. Multi-party approval appears as a contingency path, a registration-time co-consent, an institution-side gate, a custodial threshold, a witness threshold or a key-share reconstruction rather than as a standing condition of every access decision; the purpose and data-scope policy is never conjoined with multi-party approval; temporal and lifecycle enforcement at the consent level is rarely verified; and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[1, 13, 20, 25, 32,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w:t>
      </w:r>
      <w:r>
        <w:rPr>
          <w:rFonts w:ascii="Cambria" w:cs="Cambria" w:eastAsia="Cambria" w:hAnsi="Cambria"/>
          <w:color w:val="000000"/>
          <w:sz w:val="24"/>
          <w:szCs w:val="24"/>
        </w:rPr>
        <w:t xml:space="preserve">there remains a need for an authorisation framework in which the consent object carries identity, authority, threshold, policy, temporal, jurisdictional and lifecycle conditions, in which multi-party approval is a standing condition of every access decision, and in which the conjunction of these conditions is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It should be noted that the approving set must be defined by the patient rather than by an institution, since in the reviewed studies the approving parties are contingent, institutional or custodial rather than patient-designated [53, 61, 50].</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Consequently, formal security assurance forms the subsequent research scope and is developed further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are referred to as RQ1 to RQ6 in Chapter 4 and in the remaining chapters.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spacing w:after="140" w:line="300"/>
        <w:jc w:val="both"/>
      </w:pPr>
      <w:r>
        <w:rPr>
          <w:rFonts w:ascii="Cambria" w:cs="Cambria" w:eastAsia="Cambria" w:hAnsi="Cambria"/>
          <w:color w:val="000000"/>
          <w:sz w:val="24"/>
          <w:szCs w:val="24"/>
        </w:rPr>
        <w:t xml:space="preserve">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names four dimensions, namely identity, authority requirements, policy constraints and authorisation evidence, whereas the consent object contains six components.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w:t>
      </w:r>
      <w:r>
        <w:rPr>
          <w:rFonts w:ascii="Cambria" w:cs="Cambria" w:eastAsia="Cambria" w:hAnsi="Cambria"/>
          <w:color w:val="000000"/>
          <w:sz w:val="24"/>
          <w:szCs w:val="24"/>
        </w:rPr>
        <w:t xml:space="preserve">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Consequently,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t>
      </w:r>
      <w:r>
        <w:rPr>
          <w:rFonts w:ascii="Cambria" w:cs="Cambria" w:eastAsia="Cambria" w:hAnsi="Cambria"/>
          <w:color w:val="000000"/>
          <w:sz w:val="24"/>
          <w:szCs w:val="24"/>
        </w:rPr>
        <w:t xml:space="preserve">work therefore concerns hardening these controls and extending them to consent modification, delegation and guardian-set changes (Section 9.2), rather than introducing</w:t>
      </w:r>
      <w:r>
        <w:rPr>
          <w:rFonts w:ascii="Cambria" w:cs="Cambria" w:eastAsia="Cambria" w:hAnsi="Cambria"/>
          <w:color w:val="000000"/>
          <w:sz w:val="24"/>
          <w:szCs w:val="24"/>
        </w:rPr>
        <w:t xml:space="preserve">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the tables also trace each objective to the gap that motivates it, so that RO1 addresses Gap 1,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and practical effectiveness can be formally and empirically demonstrated.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sz w:val="24"/>
          <w:szCs w:val="24"/>
        </w:rP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because the authorisation decision must combine identity, threshold, policy, temporal and jurisdictional evaluation performed by the Controller with the anchoring of consent state on the blockchain,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w:t>
      </w:r>
      <w:r>
        <w:rPr>
          <w:rFonts w:ascii="Cambria" w:cs="Cambria" w:eastAsia="Cambria" w:hAnsi="Cambria"/>
          <w:color w:val="000000"/>
          <w:sz w:val="24"/>
          <w:szCs w:val="24"/>
        </w:rPr>
        <w:t xml:space="preserve">deployed on Sepolia alongside the application audit ledger,</w:t>
      </w:r>
      <w:r>
        <w:rPr>
          <w:rFonts w:ascii="Cambria" w:cs="Cambria" w:eastAsia="Cambria" w:hAnsi="Cambria"/>
          <w:color w:val="000000"/>
          <w:sz w:val="24"/>
          <w:szCs w:val="24"/>
        </w:rPr>
        <w:t xml:space="preserve"> a revocation path flows from the Patient interface through the Controller to both the ledger and the contract, </w:t>
      </w:r>
      <w:r>
        <w:rPr>
          <w:rFonts w:ascii="Cambria" w:cs="Cambria" w:eastAsia="Cambria" w:hAnsi="Cambria"/>
          <w:color w:val="000000"/>
          <w:sz w:val="24"/>
          <w:szCs w:val="24"/>
        </w:rPr>
        <w:t xml:space="preserve">and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 </w:t>
      </w:r>
      <w:r>
        <w:rPr>
          <w:rFonts w:ascii="Cambria" w:cs="Cambria" w:eastAsia="Cambria" w:hAnsi="Cambria"/>
          <w:color w:val="000000"/>
          <w:sz w:val="24"/>
          <w:szCs w:val="24"/>
        </w:rPr>
        <w:t xml:space="preserve">Guardian approvals are nevertheless verified cryptographically in the prototype through EIP-712 typed-data signatures bound to the consent identifier, so that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of the conceptual model described below, the two additional functions being</w:t>
      </w:r>
      <w:r>
        <w:rPr>
          <w:rFonts w:ascii="Cambria" w:cs="Cambria" w:eastAsia="Cambria" w:hAnsi="Cambria"/>
          <w:color w:val="000000"/>
          <w:sz w:val="24"/>
          <w:szCs w:val="24"/>
        </w:rPr>
        <w:t xml:space="preserve">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w:t>
      </w:r>
      <w:r>
        <w:rPr>
          <w:rFonts w:ascii="Cambria" w:cs="Cambria" w:eastAsia="Cambria" w:hAnsi="Cambria"/>
          <w:color w:val="000000"/>
          <w:sz w:val="24"/>
          <w:szCs w:val="24"/>
        </w:rPr>
        <w:t xml:space="preserve">introduced by RQ1–RQ5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Figure 9 further shows that, once all |G| guardians have signed and the N-of-N condition of Eq. (28) is satisfied, the consent token is minted in the local ledger</w:t>
      </w:r>
      <w:r>
        <w:rPr>
          <w:rFonts w:ascii="Cambria" w:cs="Cambria" w:eastAsia="Cambria" w:hAnsi="Cambria"/>
          <w:color w:val="000000"/>
          <w:sz w:val="24"/>
          <w:szCs w:val="24"/>
        </w:rPr>
        <w:t xml:space="preserve">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w:t>
      </w:r>
      <w:r>
        <w:rPr>
          <w:rFonts w:ascii="Cambria" w:cs="Cambria" w:eastAsia="Cambria" w:hAnsi="Cambria"/>
          <w:color w:val="000000"/>
          <w:sz w:val="24"/>
          <w:szCs w:val="24"/>
        </w:rPr>
        <w:t xml:space="preserve">a Groth16 proof is generated and verified before access is granted,</w:t>
      </w:r>
      <w:r>
        <w:rPr>
          <w:rFonts w:ascii="Cambria" w:cs="Cambria" w:eastAsia="Cambria" w:hAnsi="Cambria"/>
          <w:color w:val="000000"/>
          <w:sz w:val="24"/>
          <w:szCs w:val="24"/>
        </w:rPr>
        <w:t xml:space="preserve"> and after the audit evidence is recorded the flow continues through patient-initiated revocation, the corresponding on-chain revoke transaction, </w:t>
      </w:r>
      <w:r>
        <w:rPr>
          <w:rFonts w:ascii="Cambria" w:cs="Cambria" w:eastAsia="Cambria" w:hAnsi="Cambria"/>
          <w:color w:val="000000"/>
          <w:sz w:val="24"/>
          <w:szCs w:val="24"/>
        </w:rPr>
        <w:t xml:space="preserve">and finally auditor review together with independent verification by the verification tool of Section 6.8.9.</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w:t>
      </w:r>
      <w:r>
        <w:rPr>
          <w:rFonts w:ascii="Cambria" w:cs="Cambria" w:eastAsia="Cambria" w:hAnsi="Cambria"/>
          <w:color w:val="000000"/>
          <w:sz w:val="24"/>
          <w:szCs w:val="24"/>
        </w:rPr>
        <w:t xml:space="preserv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which joint approval is either a contingency path [53], a witness or notary threshold [69], a registration-time co-consent [43, 47], an institution-side admission gate [75], a custodial M-of-N signature [61] or a key-share reconstruction [35, 54]; in a single-owner model, compromise, error, or misuse of one privileged account may be sufficient to produce an authorisation decision.</w:t>
      </w:r>
      <w:r>
        <w:rPr>
          <w:rFonts w:ascii="Cambria" w:cs="Cambria" w:eastAsia="Cambria" w:hAnsi="Cambria"/>
          <w:sz w:val="24"/>
          <w:szCs w:val="24"/>
        </w:rPr>
        <w:t xml:space="preserve">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and in the implementation it corresponds to the event rows of the audit ledger, which for on-chain events additionally carry the Sepolia transaction hash and block number, as described in Section 6.8.8.</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together with the separation of interaction and enforcement established in Section 5.1.4, are summarised in Table 12, in which collective authorisation integrity and decision accountability appear as multi-party authorisation integrity and authorisation evidence respectively.</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000000"/>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The declared jurisdiction L is then validated as a well-formed ISO alpha-2 territory code and bound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w:t>
      </w:r>
      <w:r>
        <w:rPr>
          <w:rFonts w:ascii="Cambria" w:cs="Cambria" w:eastAsia="Cambria" w:hAnsi="Cambria"/>
          <w:color w:val="000000"/>
          <w:sz w:val="24"/>
          <w:szCs w:val="24"/>
        </w:rPr>
        <w:t xml:space="preserve">The N-of-N configuration was adopted for the prototype because it is the most conservative instantiation of the threshold condition, in which no designated guardian can be bypassed, and because it allows the mechanism to be demonstrated without the quorum-selection and key-management questions that a general k-of-n threshold introduces. A configurable k-of-n threshold, while a direct generalisation of the implemented mechanism,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w:t>
      </w:r>
      <w:r>
        <w:rPr>
          <w:rFonts w:ascii="Cambria" w:cs="Cambria" w:eastAsia="Cambria" w:hAnsi="Cambria"/>
          <w:color w:val="000000"/>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color w:val="000000"/>
          <w:sz w:val="24"/>
          <w:szCs w:val="24"/>
        </w:rPr>
        <w:t xml:space="preserve">In the HALAH implementation, this step is realised by generating and verifying a Groth16 zero-knowledge proof that the requester holds the consent secret committed on-chain through a Poseidon hash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sz w:val="24"/>
          <w:szCs w:val="24"/>
        </w:rPr>
        <w:t xml:space="preserve">The final access decision can be formally expressed as </w:t>
      </w:r>
      <w:r>
        <w:rPr>
          <w:rFonts w:ascii="Cambria" w:cs="Cambria" w:eastAsia="Cambria" w:hAnsi="Cambria"/>
          <w:color w:val="000000"/>
          <w:sz w:val="24"/>
          <w:szCs w:val="24"/>
        </w:rPr>
        <w:t xml:space="preserve">ALLOW ⟺ Identity ∧ Consent ∧ Authority ∧ Threshold ∧ Purpose ∧ Scope ∧ Time ∧ Jurisdiction ∧ Evidence</w:t>
      </w:r>
      <w:r>
        <w:rPr>
          <w:rFonts w:ascii="Cambria" w:cs="Cambria" w:eastAsia="Cambria" w:hAnsi="Cambria"/>
          <w:sz w:val="24"/>
          <w:szCs w:val="24"/>
        </w:rPr>
        <w:t xml:space="preserve"> where the individual conditions represent verified participant identity, active consent, sufficient authority, satisfied multi-party approval, </w:t>
      </w:r>
      <w:r>
        <w:rPr>
          <w:rFonts w:ascii="Cambria" w:cs="Cambria" w:eastAsia="Cambria" w:hAnsi="Cambria"/>
          <w:color w:val="000000"/>
          <w:sz w:val="24"/>
          <w:szCs w:val="24"/>
        </w:rPr>
        <w:t xml:space="preserve">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Although this objective was originally planned for the next stage (CA3), it has been realised in the current prototype; it investigates how an authorisation remains trustworthy as time passes and as the consent state changes.</w:t>
      </w:r>
      <w:r>
        <w:rPr>
          <w:rFonts w:ascii="Cambria" w:cs="Cambria" w:eastAsia="Cambria" w:hAnsi="Cambria"/>
          <w:sz w:val="24"/>
          <w:szCs w:val="24"/>
        </w:rPr>
        <w:t xml:space="preserve"> The current stage model evaluates identity, collective authorisation, and policy compliance. </w:t>
      </w:r>
      <w:r>
        <w:rPr>
          <w:rFonts w:ascii="Cambria" w:cs="Cambria" w:eastAsia="Cambria" w:hAnsi="Cambria"/>
          <w:color w:val="000000"/>
          <w:sz w:val="24"/>
          <w:szCs w:val="24"/>
        </w:rPr>
        <w:t xml:space="preserve">RO5 extends this model by introducing temporal and lifecycle conditions.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written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here and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 </w:t>
      </w:r>
      <w:r>
        <w:rPr>
          <w:rFonts w:ascii="Cambria" w:cs="Cambria" w:eastAsia="Cambria" w:hAnsi="Cambria"/>
          <w:color w:val="000000"/>
          <w:sz w:val="24"/>
          <w:szCs w:val="24"/>
        </w:rPr>
        <w:t xml:space="preserve">It should be noted that, because the jurisdiction L is validated and bound at consent creation (Section 6.1.1), the disjunct Jur(C) = ∅ is not reached for any consent created through the current interface, so that in the demonstrated system the predicate reduces to strict equality, as Section 6.8.5 confirms.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extended here with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which the implementation evaluates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that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00"/>
          <w:sz w:val="24"/>
          <w:szCs w:val="24"/>
        </w:rPr>
        <w:t xml:space="preserve">The empirical evidence comprises the 23 automated tests that exercise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actually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of which Equations (62) and (63) give the foundational three-predicate form; and each conjunct of the five-predicate rule is exercised by a dedicated per-dimension failure test</w:t>
      </w:r>
      <w:r>
        <w:rPr>
          <w:rFonts w:ascii="Cambria" w:cs="Cambria" w:eastAsia="Cambria" w:hAnsi="Cambria"/>
          <w:color w:val="000000"/>
          <w:sz w:val="24"/>
          <w:szCs w:val="24"/>
        </w:rPr>
        <w:t xml:space="preserve">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000000"/>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The implemented system enforces the complete rule of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(64)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w:t>
      </w:r>
      <w:r>
        <w:rPr>
          <w:rFonts w:ascii="Cambria" w:cs="Cambria" w:eastAsia="Cambria" w:hAnsi="Cambria"/>
          <w:color w:val="000000"/>
          <w:sz w:val="24"/>
          <w:szCs w:val="24"/>
        </w:rPr>
        <w:t xml:space="preserve">electronic medical record (EMR) modules,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w:t>
      </w:r>
      <w:r>
        <w:rPr>
          <w:rFonts w:ascii="Cambria" w:cs="Cambria" w:eastAsia="Cambria" w:hAnsi="Cambria"/>
          <w:color w:val="000000"/>
          <w:sz w:val="24"/>
          <w:szCs w:val="24"/>
        </w:rPr>
        <w:t xml:space="preserve">are each exercised in this workflow, and the resulting activation and revocation are anchored by real transactions on the Ethereum Sepolia test network, so the conceptual model and the running system can be verified against one another</w:t>
      </w:r>
      <w:r>
        <w:rPr>
          <w:rFonts w:ascii="Cambria" w:cs="Cambria" w:eastAsia="Cambria" w:hAnsi="Cambria"/>
          <w:color w:val="000000"/>
          <w:sz w:val="24"/>
          <w:szCs w:val="24"/>
        </w:rPr>
        <w:t xml:space="preserve">.</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w:t>
      </w:r>
      <w:r>
        <w:rPr>
          <w:rFonts w:ascii="Cambria" w:cs="Cambria" w:eastAsia="Cambria" w:hAnsi="Cambria"/>
          <w:color w:val="000000"/>
          <w:sz w:val="24"/>
          <w:szCs w:val="24"/>
        </w:rPr>
        <w:t xml:space="preserve">The contract stores the purpose only as a keccak256 hash and no medical content is written to the chain; it should be noted, however, that the plaintext purpose is passed as a parameter of the mint transaction and is therefore visible in the public transaction input, whereas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w:t>
      </w:r>
      <w:r>
        <w:rPr>
          <w:rFonts w:ascii="Cambria" w:cs="Cambria" w:eastAsia="Cambria" w:hAnsi="Cambria"/>
          <w:color w:val="000000"/>
          <w:sz w:val="24"/>
          <w:szCs w:val="24"/>
        </w:rPr>
        <w:t xml:space="preserve">and the evidence component E records the authorisation evidence, including whether the consent remains active or has been revoked</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w:t>
      </w:r>
      <w:r>
        <w:rPr>
          <w:rFonts w:ascii="Cambria" w:cs="Cambria" w:eastAsia="Cambria" w:hAnsi="Cambria"/>
          <w:color w:val="000000"/>
          <w:sz w:val="24"/>
          <w:szCs w:val="24"/>
        </w:rPr>
        <w:t xml:space="preserve">complete lifecycle (activation as token #1, granted access, refused access and final revocation), and all transaction evidence in this chapter follows it</w:t>
      </w:r>
      <w:r>
        <w:rPr>
          <w:rFonts w:ascii="Cambria" w:cs="Cambria" w:eastAsia="Cambria" w:hAnsi="Cambria"/>
          <w:color w:val="000000"/>
          <w:sz w:val="24"/>
          <w:szCs w:val="24"/>
        </w:rPr>
        <w:t xml:space="preserve">. Because a revoked consent cannot be photographed in its earlier states, the screenshots of consent creation, guardian approval and granted access were captured from a second lifecycle </w:t>
      </w:r>
      <w:r>
        <w:rPr>
          <w:rFonts w:ascii="Cambria" w:cs="Cambria" w:eastAsia="Cambria" w:hAnsi="Cambria"/>
          <w:color w:val="000000"/>
          <w:sz w:val="24"/>
          <w:szCs w:val="24"/>
        </w:rPr>
        <w:t xml:space="preserve">with the same configuration (the same four-module scope, the same guardians, jurisdiction, purpose and doctor), executed for a different demonstration patient</w:t>
      </w:r>
      <w:r>
        <w:rPr>
          <w:rFonts w:ascii="Cambria" w:cs="Cambria" w:eastAsia="Cambria" w:hAnsi="Cambria"/>
          <w:color w:val="000000"/>
          <w:sz w:val="24"/>
          <w:szCs w:val="24"/>
        </w:rPr>
        <w:t xml:space="preserve">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w:t>
      </w:r>
      <w:r>
        <w:rPr>
          <w:rFonts w:ascii="Cambria" w:cs="Cambria" w:eastAsia="Cambria" w:hAnsi="Cambria"/>
          <w:color w:val="000000"/>
          <w:sz w:val="24"/>
          <w:szCs w:val="24"/>
        </w:rPr>
        <w:t xml:space="preserve">the consent progresses through the controlled states PENDING_SIGNATURE, PENDING_TOKEN, NOT_STARTED, ACTIVE and REVOKED of the six-state lifecycle defined in Section 6.5, the EXPIRED state not being reached in the demonstration</w:t>
      </w:r>
      <w:r>
        <w:rPr>
          <w:rFonts w:ascii="Cambria" w:cs="Cambria" w:eastAsia="Cambria" w:hAnsi="Cambria"/>
          <w:color w:val="000000"/>
          <w:sz w:val="24"/>
          <w:szCs w:val="24"/>
        </w:rPr>
        <w:t xml:space="preserve">,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spacing w:after="140" w:line="300"/>
        <w:jc w:val="both"/>
      </w:pPr>
      <w:r>
        <w:rPr>
          <w:rFonts w:ascii="Cambria" w:cs="Cambria" w:eastAsia="Cambria" w:hAnsi="Cambria"/>
          <w:color w:val="000000"/>
          <w:sz w:val="24"/>
          <w:szCs w:val="24"/>
        </w:rPr>
        <w:t xml:space="preserve">It should be noted that the expiry path, in which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is exercised by the automated tests reported in Section 6.8.9 rather than by the live demonstration, because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w:t>
      </w:r>
      <w:r>
        <w:rPr>
          <w:rFonts w:ascii="Cambria" w:cs="Cambria" w:eastAsia="Cambria" w:hAnsi="Cambria"/>
          <w:color w:val="000000"/>
          <w:sz w:val="24"/>
          <w:szCs w:val="24"/>
        </w:rPr>
        <w:t xml:space="preserve">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w:t>
      </w:r>
      <w:r>
        <w:rPr>
          <w:rFonts w:ascii="Cambria" w:cs="Cambria" w:eastAsia="Cambria" w:hAnsi="Cambria"/>
          <w:color w:val="000000"/>
          <w:sz w:val="24"/>
          <w:szCs w:val="24"/>
        </w:rPr>
        <w:t xml:space="preserve">The formal component, namely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00"/>
          <w:sz w:val="24"/>
          <w:szCs w:val="24"/>
        </w:rPr>
        <w:t xml:space="preserve">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With respect to the multi-party authorisation of RO3, which is discussed further in Section 7.3,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so the prototype currently enforces an N-of-N instantiation of Eq. (69) and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w:t>
      </w:r>
      <w:r>
        <w:rPr>
          <w:rFonts w:ascii="Cambria" w:cs="Cambria" w:eastAsia="Cambria" w:hAnsi="Cambria"/>
          <w:color w:val="000000"/>
          <w:sz w:val="24"/>
          <w:szCs w:val="24"/>
        </w:rPr>
        <w:t xml:space="preserve">the request exceeds the authorised scope,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while Section 6.8.4 shows the requested-subset rule enforced on the live system.</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w:t>
      </w:r>
      <w:r>
        <w:rPr>
          <w:rFonts w:ascii="Cambria" w:cs="Cambria" w:eastAsia="Cambria" w:hAnsi="Cambria"/>
          <w:color w:val="000000"/>
          <w:sz w:val="24"/>
          <w:szCs w:val="24"/>
        </w:rPr>
        <w:t xml:space="preserve">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Empirical validation now covers all five trust predicates of the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together with on-chain revocation.</w:t>
      </w: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w:t>
      </w:r>
      <w:r>
        <w:rPr>
          <w:rFonts w:ascii="Cambria" w:cs="Cambria" w:eastAsia="Cambria" w:hAnsi="Cambria"/>
          <w:color w:val="000000"/>
          <w:sz w:val="24"/>
          <w:szCs w:val="24"/>
        </w:rPr>
        <w:t xml:space="preserve">have now been demonstrated empirically: jurisdiction violation and revocation followed by denial in the live Sepolia deployment, and policy violation, temporal expiration and invalid lifecycle transitions in the automated test suite.</w:t>
      </w:r>
      <w:r>
        <w:rPr>
          <w:rFonts w:ascii="Cambria" w:cs="Cambria" w:eastAsia="Cambria" w:hAnsi="Cambria"/>
          <w:color w:val="000000"/>
          <w:sz w:val="24"/>
          <w:szCs w:val="24"/>
        </w:rPr>
        <w:t xml:space="preserve">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 </w:t>
      </w:r>
      <w:r>
        <w:rPr>
          <w:rFonts w:ascii="Cambria" w:cs="Cambria" w:eastAsia="Cambria" w:hAnsi="Cambria"/>
          <w:color w:val="000000"/>
          <w:sz w:val="24"/>
          <w:szCs w:val="24"/>
        </w:rPr>
        <w:t xml:space="preserve">In summary,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 </w:t>
      </w:r>
      <w:r>
        <w:rPr>
          <w:rFonts w:ascii="Cambria" w:cs="Cambria" w:eastAsia="Cambria" w:hAnsi="Cambria"/>
          <w:color w:val="000000"/>
          <w:sz w:val="24"/>
          <w:szCs w:val="24"/>
        </w:rPr>
        <w:t xml:space="preserve">The plan for the next stage therefore follows directly from the progress status reported in Chapter 7: </w:t>
      </w:r>
      <w:r>
        <w:rPr>
          <w:rFonts w:ascii="Cambria" w:cs="Cambria" w:eastAsia="Cambria" w:hAnsi="Cambria"/>
          <w:color w:val="000000"/>
          <w:sz w:val="24"/>
          <w:szCs w:val="24"/>
        </w:rPr>
        <w:t xml:space="preserve">the objectives marked as completed require no further conceptual development, whereas the formal component of RO6, the systematic performance and overhead study, and the identified prototype limitations, namely the N-of-N approval rule, the server-derived guardian keys, the unauthenticated requester and the absence of cryptographic DID resolution, define the remaining work.</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w:t>
      </w:r>
      <w:r>
        <w:rPr>
          <w:rFonts w:ascii="Cambria" w:cs="Cambria" w:eastAsia="Cambria" w:hAnsi="Cambria"/>
          <w:color w:val="000000"/>
          <w:sz w:val="24"/>
          <w:szCs w:val="24"/>
        </w:rPr>
        <w:t xml:space="preserve">the next stage concentrates on formal security assurance and comprehensive empirical validation, including performance measurement, together with the dynamic consent governance extensions of RO5, namely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w:t>
      </w:r>
      <w:r>
        <w:rPr>
          <w:rFonts w:ascii="Cambria" w:cs="Cambria" w:eastAsia="Cambria" w:hAnsi="Cambria"/>
          <w:color w:val="000000"/>
          <w:sz w:val="24"/>
          <w:szCs w:val="24"/>
        </w:rPr>
        <w:t xml:space="preserve">extend the research towards dynamic consent governance [13, 24], formal security assurance,</w:t>
      </w:r>
      <w:r>
        <w:rPr>
          <w:rFonts w:ascii="Cambria" w:cs="Cambria" w:eastAsia="Cambria" w:hAnsi="Cambria"/>
          <w:sz w:val="24"/>
          <w:szCs w:val="24"/>
        </w:rPr>
        <w:t xml:space="preserv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and will report enforcement accuracy as the proportion of adversarial requests correctly denied.</w:t>
      </w:r>
    </w:p>
    <w:p>
      <w:pPr>
        <w:spacing w:after="140" w:line="300"/>
        <w:jc w:val="both"/>
      </w:pPr>
      <w:r>
        <w:rPr>
          <w:rFonts w:ascii="Cambria" w:cs="Cambria" w:eastAsia="Cambria" w:hAnsi="Cambria"/>
          <w:color w:val="000000"/>
          <w:sz w:val="24"/>
          <w:szCs w:val="24"/>
        </w:rPr>
        <w:t xml:space="preserve">The formal component will state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the lifecycle invariant that no REVOKED or EXPIRED consent can re-enter ACTIVE, and will verify them by model checking of the state machine or by proof over the predicate definitions of Chapter 6.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w:t>
      </w:r>
      <w:r>
        <w:rPr>
          <w:rFonts w:ascii="Cambria" w:cs="Cambria" w:eastAsia="Cambria" w:hAnsi="Cambria"/>
          <w:color w:val="000000"/>
          <w:sz w:val="24"/>
          <w:szCs w:val="24"/>
        </w:rPr>
        <w:t xml:space="preserve"> The temporal and lifecycle foundation of the first activity, Consent Modification, Delegation and Lifecycle Extensions, is largely completed (on-chain notBefore and expiry fields; revoke transaction confirmed in block 11,771,307; explicit lifecycle state machine), whereas the modification, delegation and guardian-set extensions themselves have not been started.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Comprehensive Empirical Validation is partially delivered (23 automated tests; live jurisdiction denial and revocation-then-denial on Sepolia; independent chain verification reporting ALL CHECKS PASSED), with performance and overhead measurement remaining. Formal Security Assurance and the Integrated Framework Evaluation have not been started and constitute the next stage in full.</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Advancements and Applications of Computational Intelligence Tech, 2026.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6ced11ccfd209f2b169059f007bfc6c558821a7a.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2026-09-29T09:48:48.299Z</dcterms:created>
  <dcterms:modified xsi:type="dcterms:W3CDTF">2026-09-29T09:48:48.299Z</dcterms:modified>
</cp:coreProperties>
</file>

<file path=docProps/custom.xml><?xml version="1.0" encoding="utf-8"?>
<Properties xmlns="http://schemas.openxmlformats.org/officeDocument/2006/custom-properties" xmlns:vt="http://schemas.openxmlformats.org/officeDocument/2006/docPropsVTypes"/>
</file>