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11</w:t>
      </w:r>
    </w:p>
    <w:p>
      <w:pPr>
        <w:tabs>
          <w:tab w:val="right" w:pos="9128" w:leader="dot"/>
        </w:tabs>
        <w:spacing w:after="100"/>
      </w:pPr>
      <w:r>
        <w:rPr>
          <w:rFonts w:ascii="Times New Roman" w:cs="Times New Roman" w:eastAsia="Times New Roman" w:hAnsi="Times New Roman"/>
          <w:sz w:val="22"/>
          <w:szCs w:val="22"/>
        </w:rPr>
        <w:t xml:space="preserve">4. Research Objectives	13</w:t>
      </w:r>
    </w:p>
    <w:p>
      <w:pPr>
        <w:tabs>
          <w:tab w:val="right" w:pos="9128" w:leader="dot"/>
        </w:tabs>
        <w:spacing w:after="100"/>
      </w:pPr>
      <w:r>
        <w:rPr>
          <w:rFonts w:ascii="Times New Roman" w:cs="Times New Roman" w:eastAsia="Times New Roman" w:hAnsi="Times New Roman"/>
          <w:sz w:val="22"/>
          <w:szCs w:val="22"/>
        </w:rPr>
        <w:t xml:space="preserve">5. Research Architecture: MVC	15</w:t>
      </w:r>
    </w:p>
    <w:p>
      <w:pPr>
        <w:tabs>
          <w:tab w:val="right" w:pos="9128" w:leader="dot"/>
        </w:tabs>
        <w:spacing w:after="100"/>
      </w:pPr>
      <w:r>
        <w:rPr>
          <w:rFonts w:ascii="Times New Roman" w:cs="Times New Roman" w:eastAsia="Times New Roman" w:hAnsi="Times New Roman"/>
          <w:sz w:val="22"/>
          <w:szCs w:val="22"/>
        </w:rPr>
        <w:t xml:space="preserve">6. The Proposed Solution for RQ1	20</w:t>
      </w:r>
    </w:p>
    <w:p>
      <w:pPr>
        <w:tabs>
          <w:tab w:val="right" w:pos="9128" w:leader="dot"/>
        </w:tabs>
        <w:spacing w:after="100"/>
      </w:pPr>
      <w:r>
        <w:rPr>
          <w:rFonts w:ascii="Times New Roman" w:cs="Times New Roman" w:eastAsia="Times New Roman" w:hAnsi="Times New Roman"/>
          <w:sz w:val="22"/>
          <w:szCs w:val="22"/>
        </w:rPr>
        <w:t xml:space="preserve">7. The Proposed Solution for RQ2	24</w:t>
      </w:r>
    </w:p>
    <w:p>
      <w:pPr>
        <w:tabs>
          <w:tab w:val="right" w:pos="9128" w:leader="dot"/>
        </w:tabs>
        <w:spacing w:after="100"/>
      </w:pPr>
      <w:r>
        <w:rPr>
          <w:rFonts w:ascii="Times New Roman" w:cs="Times New Roman" w:eastAsia="Times New Roman" w:hAnsi="Times New Roman"/>
          <w:sz w:val="22"/>
          <w:szCs w:val="22"/>
        </w:rPr>
        <w:t xml:space="preserve">8. The Proposed Solution for RQ3	27</w:t>
      </w:r>
    </w:p>
    <w:p>
      <w:pPr>
        <w:tabs>
          <w:tab w:val="right" w:pos="9128" w:leader="dot"/>
        </w:tabs>
        <w:spacing w:after="100"/>
      </w:pPr>
      <w:r>
        <w:rPr>
          <w:rFonts w:ascii="Times New Roman" w:cs="Times New Roman" w:eastAsia="Times New Roman" w:hAnsi="Times New Roman"/>
          <w:sz w:val="22"/>
          <w:szCs w:val="22"/>
        </w:rPr>
        <w:t xml:space="preserve">9. The Proposed Solution for RQ4	31</w:t>
      </w:r>
    </w:p>
    <w:p>
      <w:pPr>
        <w:tabs>
          <w:tab w:val="right" w:pos="9128" w:leader="dot"/>
        </w:tabs>
        <w:spacing w:after="100"/>
      </w:pPr>
      <w:r>
        <w:rPr>
          <w:rFonts w:ascii="Times New Roman" w:cs="Times New Roman" w:eastAsia="Times New Roman" w:hAnsi="Times New Roman"/>
          <w:sz w:val="22"/>
          <w:szCs w:val="22"/>
        </w:rPr>
        <w:t xml:space="preserve">10. The Proposed Solution for RQ5	35</w:t>
      </w:r>
    </w:p>
    <w:p>
      <w:pPr>
        <w:tabs>
          <w:tab w:val="right" w:pos="9128" w:leader="dot"/>
        </w:tabs>
        <w:spacing w:after="100"/>
      </w:pPr>
      <w:r>
        <w:rPr>
          <w:rFonts w:ascii="Times New Roman" w:cs="Times New Roman" w:eastAsia="Times New Roman" w:hAnsi="Times New Roman"/>
          <w:sz w:val="22"/>
          <w:szCs w:val="22"/>
        </w:rPr>
        <w:t xml:space="preserve">11. The Proposed Solution for RQ6	38</w:t>
      </w:r>
    </w:p>
    <w:p>
      <w:pPr>
        <w:tabs>
          <w:tab w:val="right" w:pos="9128" w:leader="dot"/>
        </w:tabs>
        <w:spacing w:after="100"/>
      </w:pPr>
      <w:r>
        <w:rPr>
          <w:rFonts w:ascii="Times New Roman" w:cs="Times New Roman" w:eastAsia="Times New Roman" w:hAnsi="Times New Roman"/>
          <w:sz w:val="22"/>
          <w:szCs w:val="22"/>
        </w:rPr>
        <w:t xml:space="preserve">12. Publications Summary	50</w:t>
      </w:r>
    </w:p>
    <w:p>
      <w:pPr>
        <w:tabs>
          <w:tab w:val="right" w:pos="9128" w:leader="dot"/>
        </w:tabs>
        <w:spacing w:after="100"/>
      </w:pPr>
      <w:r>
        <w:rPr>
          <w:rFonts w:ascii="Times New Roman" w:cs="Times New Roman" w:eastAsia="Times New Roman" w:hAnsi="Times New Roman"/>
          <w:sz w:val="22"/>
          <w:szCs w:val="22"/>
        </w:rPr>
        <w:t xml:space="preserve">13. Research Plan	51</w:t>
      </w:r>
    </w:p>
    <w:p>
      <w:pPr>
        <w:tabs>
          <w:tab w:val="right" w:pos="9128" w:leader="dot"/>
        </w:tabs>
        <w:spacing w:after="100"/>
      </w:pPr>
      <w:r>
        <w:rPr>
          <w:rFonts w:ascii="Times New Roman" w:cs="Times New Roman" w:eastAsia="Times New Roman" w:hAnsi="Times New Roman"/>
          <w:sz w:val="22"/>
          <w:szCs w:val="22"/>
        </w:rPr>
        <w:t xml:space="preserve">References	53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The increasing digitisation of healthcare information enables patients, healthcare professionals, guardians, researchers, and healthcare organisations to participate in data-sharing processes [4, 5]. Healthcare data is highly sensitive and subject to strict privacy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integrity, traceability, and auditability, but consent often remains a passive artefact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conjoins identity, authority, multi-party approval, policy, temporal, and lifecycle conditions in every access decision, and that conjunction must also be assured both formally and empirically. Section 2 shows that existing approaches provide important technological components, including decentralised identity and verifiable credentials [21, 22], blockchain-based records [23, 24], multi-party approval mechanisms [23, 25–27], policy-based access control [28–31], and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provided by blockchain or any other individual technology. Trust Computing denotes the evaluation of trust as a computable outcome of explicitly verified conditions on identity, authority, collective approval, policy, and lifecycle. Within this perspective, Trusted Computing is treated as a complementary component, since Trusted Execution Environments (TEEs) provide hardware-supported isolation for security-sensitive computation, and remote attestation can provide evidence of the integrity of the execution environment [33, 34]. Nevertheless, Trusted Computing does not by itself determine the correctness of an authorisation policy. Consequently, the current stage concentrates on the authorisation conditions themselves, and hardware-assisted trusted execution is left for future work.</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threshold of independently verified participants has jointly established the authorisation condition. Policy compliance concerns whether the requested access is consistent with the authorised purpose and data scope.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RO1 to RO4 collectively define the foundational scope of Multi-Party Patient Consent,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In particular, the temporal and revocation controls of RO5 and the scenario-based empirical validation of RO6 have been realised in the HALAH (History Access Link for Authorised Healthcare) prototype, whereas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derived from the Synthea dataset [35],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to examine how existing approaches address conditions required for a trustworthy authorisation decision and where gaps remain. Healthcare research has emphasised informed consent [4, 6–8, 36]. Multi-party trust research has investigated decentralised consent management [3, 18, 37–39]. Research on decentralised identity has developed mechanisms for credential verification [16, 17, 40–43]. Access-control research has investigated role-based approaches [9, 10, 44, 45]. However, these mechanisms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represented as an evaluable authorisation object rather than as a database entry or blockchain transaction. Its identities, authority requirements, purpose and data scope, temporal validity, jurisdiction, and evidence should each be evaluable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Identity verification establishes who is participating, while authority verification determines whether that entity satisfies the requirements associated with a particular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The access decision must be evaluated against the purpose and data-scope constraints explicitly associated with the consent. Every request should also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A system may execute valid authorisation scenarios without demonstrating that invalid identities, insufficient approvals, or policy violations cannot produce an unintended access decision.</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PRISMA 2020 statement [46] and a written protocol (Protocol v1.1), which fixed the review questions, databases, master query, eligibility criteria, codebook, and quality items before screening. Six review roles covered five perspectives and a chair who issued the final decision on each record, and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literature search was conducted using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and all four healthcare-scoped sentinels [23, 24, 47, 48]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although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and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Figure 1 presents the PRISMA 2020 flow diagram for this review which summarizes the identification, screening, eligibility, and inclusion stages of the SLR, and its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Neither study involves more than one authorising party, and the supporting references treat consent as a boolean grant [52, 53] or as conditions fixed at encryption time [54, 55].</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[28] present EdgeConsent, the first study to enforce temporal validity inside the decision predicate, although its lifecycle is only an active flag.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so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in the reviewed studies it is never conjoined with a purpose or data-scope condition [23, 25, 26]. From a Trust Computing perspective, trustworthy access should be understood as an outcome of the coordinated satisfaction of multiple independently verifiable conditions.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while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namely the guardian set G and the threshold N, P represents policy and data-scope constraints, T the temporal validity window, L the jurisdictional constraint, and E represents authorisation evidence, including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introduces the dynamic dimension of trust, and RQ6 establishes the assurance layer. The integrated authorisation condition can therefore be expressed as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Formal security assurance does not constitute another authorisation condition to be evaluated at runtime.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The objective is to ensure that a valid identity and sufficient multi-party approval cannot be used to obtain healthcare information outside the authorised scope. In the implemented framework, the policy mechanism evaluates whether the requested purpose is consistent with the consent, and it rejects any request whose data scope is not a non-empty subset of the authorised EMR modules.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RO5 addresses RQ5 and extends the foundational authorisation model into a dynamic consent environment.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while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Within the proposed framework, MVC is extended to support a more fundamental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into the patient, guardian, healthcare professional, and auditor interfaces, which share the same architectural principle: none of them independently determines whether access should be granted. The Controller is decomposed into six principal security functions: Identity Verification, Authority Verification, Approval Aggregation, Policy Enforcement, Decision Engine, and Audit Coordination.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recorded jurisdictional constraint of the consent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Both successful and unsuccessful decisions are subsequently associated with authorisation evidence, which supports accountability and subsequent verification. The layered architecture also establishes four explicit trust boundaries. The View is considered an interaction boundary and therefore cannot be treated as a trusted source of authorisation decisions. The Controller is responsible for preventing direct access to protected healthcare data when the required trust conditions are not satisfied.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and the structured representation of security state within the Model.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The next stage performs decentralised identity and authority verification using DIDs and VCs [16]. A successfully verified DID or VC does not, by itself, grant permission to access patient data. The framework then collects independent approvals and evaluates whether the predefined authorisation threshold has been satisfied, as in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successfully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the verified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contributes to the threshold condition, as defined in Equation (4). Consequently, an arbitrary number of unverified or unauthorised approvals cannot satisfy the multi-party authorisation requirement.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When the authorisation threshold is satisfied, the requested access is evaluated against the purpose and data-scope constraints defined in the consent object. For example, if a consent permits access to Observation and Medication, a request additionally containing Procedure should not be authorised because it exceeds the authorised data scope.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[21, 24, 28, 48]. The key innovation is that the effectiveness of the consent depends on the joint satisfaction of identity, authority, collective approval, policy, temporal, and jurisdictional conditions on every access decision.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T the temporal validity window, L the jurisdiction in which the consent may be exercised, and E represents authorisation evidence.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process begins with a patient request and ends with a structured consent record that can be verified by subsequent authorisation services.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whereas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while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represents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represents the expiration time.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validated, the procedure terminates and returns REJECT. The system validates the designated doctor D and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which healthcare resources may be accessed under the consent.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After all input elements have been validated, the system defines the authorisation requirement A.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the creation process.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can later be evaluated by the authorisation mechanism.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verification condition can be expressed as Equation (7), where u is the requesting participant.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and returns INVALID at the first failed mandatory verification condition.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system records the evidence. The evidence may include the resolved DID, verification status, credential identifier, issuer information, relevant authority claims, and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However, it does not independently establish collective consent or policy compliance. Those conditions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 is given in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It follows the threshold-committee principle of decentralised identity systems [40, 41]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threshold N must satisfy 1 ≤ N ≤ |G|.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associated with consent object C and generates activation evidence.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A valid identity and sufficient approval do not necessarily imply that every requested operation is permitted, since,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and these predicates are evaluated at every access request. In the current version, each request against an ACTIVE consent has its decision matrix recorded in the audit ledger with the GRANTED or DENIED outcome, although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As shown in Figure 11, the Doctor interface retrieves a consent, evaluates its state, allows a requested scope to be selected from the consent scope,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and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The decision is based on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and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whereas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It investigates how an authorisation remains trustworthy as time passes and as the consent state changes.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and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and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although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which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The scenario-based empirical half has been carried out on the HALAH prototype for RQ1 to RQ4, together with the temporal and revocation controls of RQ5, whereas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whereas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(History Access Link for Authorised Healthcare) prototype is a role-based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although the plaintext purpose is passed as a parameter of the mint transaction and is therefore visible in the public transaction input. All medical records used in the demonstration are synthetic and derived from the Synthea dataset.</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and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and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and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and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and the first publication was submitted to BWCCA 2026 in September 2026. The coming stage concentrates on RQ5 and RQ6.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2026-10-02T14:49:18.022Z</dcterms:created>
  <dcterms:modified xsi:type="dcterms:W3CDTF">2026-10-02T14:49:18.022Z</dcterms:modified>
</cp:coreProperties>
</file>

<file path=docProps/custom.xml><?xml version="1.0" encoding="utf-8"?>
<Properties xmlns="http://schemas.openxmlformats.org/officeDocument/2006/custom-properties" xmlns:vt="http://schemas.openxmlformats.org/officeDocument/2006/docPropsVTypes"/>
</file>