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11</w:t>
      </w:r>
    </w:p>
    <w:p>
      <w:pPr>
        <w:tabs>
          <w:tab w:val="right" w:pos="9128" w:leader="dot"/>
        </w:tabs>
        <w:spacing w:after="100"/>
      </w:pPr>
      <w:r>
        <w:rPr>
          <w:rFonts w:ascii="Times New Roman" w:cs="Times New Roman" w:eastAsia="Times New Roman" w:hAnsi="Times New Roman"/>
          <w:sz w:val="22"/>
          <w:szCs w:val="22"/>
        </w:rPr>
        <w:t xml:space="preserve">4. Research Objectives	13</w:t>
      </w:r>
    </w:p>
    <w:p>
      <w:pPr>
        <w:tabs>
          <w:tab w:val="right" w:pos="9128" w:leader="dot"/>
        </w:tabs>
        <w:spacing w:after="100"/>
      </w:pPr>
      <w:r>
        <w:rPr>
          <w:rFonts w:ascii="Times New Roman" w:cs="Times New Roman" w:eastAsia="Times New Roman" w:hAnsi="Times New Roman"/>
          <w:sz w:val="22"/>
          <w:szCs w:val="22"/>
        </w:rPr>
        <w:t xml:space="preserve">5. Research Architecture: MVC	15</w:t>
      </w:r>
    </w:p>
    <w:p>
      <w:pPr>
        <w:tabs>
          <w:tab w:val="right" w:pos="9128" w:leader="dot"/>
        </w:tabs>
        <w:spacing w:after="100"/>
      </w:pPr>
      <w:r>
        <w:rPr>
          <w:rFonts w:ascii="Times New Roman" w:cs="Times New Roman" w:eastAsia="Times New Roman" w:hAnsi="Times New Roman"/>
          <w:sz w:val="22"/>
          <w:szCs w:val="22"/>
        </w:rPr>
        <w:t xml:space="preserve">6. The Proposed Solution for RQ1	20</w:t>
      </w:r>
    </w:p>
    <w:p>
      <w:pPr>
        <w:tabs>
          <w:tab w:val="right" w:pos="9128" w:leader="dot"/>
        </w:tabs>
        <w:spacing w:after="100"/>
      </w:pPr>
      <w:r>
        <w:rPr>
          <w:rFonts w:ascii="Times New Roman" w:cs="Times New Roman" w:eastAsia="Times New Roman" w:hAnsi="Times New Roman"/>
          <w:sz w:val="22"/>
          <w:szCs w:val="22"/>
        </w:rPr>
        <w:t xml:space="preserve">7. The Proposed Solution for RQ2	24</w:t>
      </w:r>
    </w:p>
    <w:p>
      <w:pPr>
        <w:tabs>
          <w:tab w:val="right" w:pos="9128" w:leader="dot"/>
        </w:tabs>
        <w:spacing w:after="100"/>
      </w:pPr>
      <w:r>
        <w:rPr>
          <w:rFonts w:ascii="Times New Roman" w:cs="Times New Roman" w:eastAsia="Times New Roman" w:hAnsi="Times New Roman"/>
          <w:sz w:val="22"/>
          <w:szCs w:val="22"/>
        </w:rPr>
        <w:t xml:space="preserve">8. The Proposed Solution for RQ3	27</w:t>
      </w:r>
    </w:p>
    <w:p>
      <w:pPr>
        <w:tabs>
          <w:tab w:val="right" w:pos="9128" w:leader="dot"/>
        </w:tabs>
        <w:spacing w:after="100"/>
      </w:pPr>
      <w:r>
        <w:rPr>
          <w:rFonts w:ascii="Times New Roman" w:cs="Times New Roman" w:eastAsia="Times New Roman" w:hAnsi="Times New Roman"/>
          <w:sz w:val="22"/>
          <w:szCs w:val="22"/>
        </w:rPr>
        <w:t xml:space="preserve">9. The Proposed Solution for RQ4	31</w:t>
      </w:r>
    </w:p>
    <w:p>
      <w:pPr>
        <w:tabs>
          <w:tab w:val="right" w:pos="9128" w:leader="dot"/>
        </w:tabs>
        <w:spacing w:after="100"/>
      </w:pPr>
      <w:r>
        <w:rPr>
          <w:rFonts w:ascii="Times New Roman" w:cs="Times New Roman" w:eastAsia="Times New Roman" w:hAnsi="Times New Roman"/>
          <w:sz w:val="22"/>
          <w:szCs w:val="22"/>
        </w:rPr>
        <w:t xml:space="preserve">10. The Proposed Solution for RQ5	35</w:t>
      </w:r>
    </w:p>
    <w:p>
      <w:pPr>
        <w:tabs>
          <w:tab w:val="right" w:pos="9128" w:leader="dot"/>
        </w:tabs>
        <w:spacing w:after="100"/>
      </w:pPr>
      <w:r>
        <w:rPr>
          <w:rFonts w:ascii="Times New Roman" w:cs="Times New Roman" w:eastAsia="Times New Roman" w:hAnsi="Times New Roman"/>
          <w:sz w:val="22"/>
          <w:szCs w:val="22"/>
        </w:rPr>
        <w:t xml:space="preserve">11. The Proposed Solution for RQ6	38</w:t>
      </w:r>
    </w:p>
    <w:p>
      <w:pPr>
        <w:tabs>
          <w:tab w:val="right" w:pos="9128" w:leader="dot"/>
        </w:tabs>
        <w:spacing w:after="100"/>
      </w:pPr>
      <w:r>
        <w:rPr>
          <w:rFonts w:ascii="Times New Roman" w:cs="Times New Roman" w:eastAsia="Times New Roman" w:hAnsi="Times New Roman"/>
          <w:sz w:val="22"/>
          <w:szCs w:val="22"/>
        </w:rPr>
        <w:t xml:space="preserve">12. Publications Summary	50</w:t>
      </w:r>
    </w:p>
    <w:p>
      <w:pPr>
        <w:tabs>
          <w:tab w:val="right" w:pos="9128" w:leader="dot"/>
        </w:tabs>
        <w:spacing w:after="100"/>
      </w:pPr>
      <w:r>
        <w:rPr>
          <w:rFonts w:ascii="Times New Roman" w:cs="Times New Roman" w:eastAsia="Times New Roman" w:hAnsi="Times New Roman"/>
          <w:sz w:val="22"/>
          <w:szCs w:val="22"/>
        </w:rPr>
        <w:t xml:space="preserve">13. Research Plan	51</w:t>
      </w:r>
    </w:p>
    <w:p>
      <w:pPr>
        <w:tabs>
          <w:tab w:val="right" w:pos="9128" w:leader="dot"/>
        </w:tabs>
        <w:spacing w:after="100"/>
      </w:pPr>
      <w:r>
        <w:rPr>
          <w:rFonts w:ascii="Times New Roman" w:cs="Times New Roman" w:eastAsia="Times New Roman" w:hAnsi="Times New Roman"/>
          <w:sz w:val="22"/>
          <w:szCs w:val="22"/>
        </w:rPr>
        <w:t xml:space="preserve">References	53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color w:val="00A000"/>
          <w:sz w:val="22"/>
          <w:szCs w:val="22"/>
        </w:rPr>
        <w:t xml:space="preserve"> Healthcare data is highly sensitive and subject to strict privacy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color w:val="00A000"/>
          <w:sz w:val="22"/>
          <w:szCs w:val="22"/>
        </w:rPr>
        <w:t xml:space="preserve"> These mechanisms can improve integrity, traceability, and auditability, but consent often remains a passive artefact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p>
    <w:p>
      <w:pPr>
        <w:spacing w:after="110" w:line="264"/>
        <w:jc w:val="both"/>
      </w:pPr>
      <w:r>
        <w:rPr>
          <w:rFonts w:ascii="Times New Roman" w:cs="Times New Roman" w:eastAsia="Times New Roman" w:hAnsi="Times New Roman"/>
          <w:color w:val="00A000"/>
          <w:sz w:val="22"/>
          <w:szCs w:val="22"/>
        </w:rPr>
        <w:t xml:space="preserve">The central problem addressed by this research is therefore the absence of an integrated trust-oriented mechanism that conjoins identity, authority, multi-party approval, policy, temporal, and lifecycle conditions in every access decision, and that conjunction must also be assured both formally and empirically.</w:t>
      </w:r>
      <w:r>
        <w:rPr>
          <w:rFonts w:ascii="Times New Roman" w:cs="Times New Roman" w:eastAsia="Times New Roman" w:hAnsi="Times New Roman"/>
          <w:color w:val="00A000"/>
          <w:sz w:val="22"/>
          <w:szCs w:val="22"/>
        </w:rPr>
        <w:t xml:space="preserve"> Section 2 shows that existing approaches provide important technological components, including decentralised identity and verifiable credentials [21, 22], blockchain-based records [23, 24], multi-party approval mechanisms [23, 25–27], policy-based access control [28–31], and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color w:val="00A000"/>
          <w:sz w:val="22"/>
          <w:szCs w:val="22"/>
        </w:rPr>
        <w:t xml:space="preserve">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color w:val="00A000"/>
          <w:sz w:val="22"/>
          <w:szCs w:val="22"/>
        </w:rPr>
        <w:t xml:space="preserve"> Under this perspective, trust is not treated as a property provided by blockchain or any other individual technology.</w:t>
      </w:r>
      <w:r>
        <w:rPr>
          <w:rFonts w:ascii="Times New Roman" w:cs="Times New Roman" w:eastAsia="Times New Roman" w:hAnsi="Times New Roman"/>
          <w:color w:val="00A000"/>
          <w:sz w:val="22"/>
          <w:szCs w:val="22"/>
        </w:rPr>
        <w:t xml:space="preserve"> Trust Computing denotes the evaluation of trust as a computable outcome of explicitly verified conditions on identity, authority, collective approval, policy, and lifecycle.</w:t>
      </w:r>
      <w:r>
        <w:rPr>
          <w:rFonts w:ascii="Times New Roman" w:cs="Times New Roman" w:eastAsia="Times New Roman" w:hAnsi="Times New Roman"/>
          <w:color w:val="00A000"/>
          <w:sz w:val="22"/>
          <w:szCs w:val="22"/>
        </w:rPr>
        <w:t xml:space="preserve"> Within this perspective, Trusted Computing is treated as a complementary component, since Trusted Execution Environments (TEEs) provide hardware-supported isolation for security-sensitive computation, and remote attestation can provide evidence of the integrity of the execution environment [33, 34].</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color w:val="00A000"/>
          <w:sz w:val="22"/>
          <w:szCs w:val="22"/>
        </w:rPr>
        <w:t xml:space="preserve">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color w:val="00A000"/>
          <w:sz w:val="22"/>
          <w:szCs w:val="22"/>
        </w:rPr>
        <w:t xml:space="preserve"> Multi-party authorisation concerns whether the required threshold of independently verified participants has jointly established the authorisation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color w:val="00A000"/>
          <w:sz w:val="22"/>
          <w:szCs w:val="22"/>
        </w:rPr>
        <w:t xml:space="preserve">RO1 to RO4 collectively define the foundational scope of Multi-Party Patient Consent, namely the trust-centric consent model, decentralised identity and authority trust, trustworthy multi-party authorisation, and policy- and context-aware access control, and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color w:val="00A000"/>
          <w:sz w:val="22"/>
          <w:szCs w:val="22"/>
        </w:rPr>
        <w:t xml:space="preserve"> In particular, the temporal and revocation controls of RO5 and the scenario-based empirical validation of RO6 have been realised in the HALAH (History Access Link for Authorised Healthcare) prototype, whereas formal security analysis has not yet been undertaken and remains the subject of the next research stage.</w:t>
      </w:r>
    </w:p>
    <w:p>
      <w:pPr>
        <w:spacing w:after="110" w:line="264"/>
        <w:jc w:val="both"/>
      </w:pPr>
      <w:r>
        <w:rPr>
          <w:rFonts w:ascii="Times New Roman" w:cs="Times New Roman" w:eastAsia="Times New Roman" w:hAnsi="Times New Roman"/>
          <w:color w:val="00A000"/>
          <w:sz w:val="22"/>
          <w:szCs w:val="22"/>
        </w:rPr>
        <w:t xml:space="preserve">The scope of the current stage is bounded.</w:t>
      </w:r>
      <w:r>
        <w:rPr>
          <w:rFonts w:ascii="Times New Roman" w:cs="Times New Roman" w:eastAsia="Times New Roman" w:hAnsi="Times New Roman"/>
          <w:color w:val="00A000"/>
          <w:sz w:val="22"/>
          <w:szCs w:val="22"/>
        </w:rPr>
        <w:t xml:space="preserve"> HALAH runs on the Ethereum Sepolia testnet with synthetic healthcare records derived from the Synthea dataset [35], and the guardian approval rule is currently implemented as N-of-N over the guardian set G.</w:t>
      </w:r>
      <w:r>
        <w:rPr>
          <w:rFonts w:ascii="Times New Roman" w:cs="Times New Roman" w:eastAsia="Times New Roman" w:hAnsi="Times New Roman"/>
          <w:color w:val="00A000"/>
          <w:sz w:val="22"/>
          <w:szCs w:val="22"/>
        </w:rPr>
        <w:t xml:space="preserve"> Security properties are demonstrated through scenario-based, negative, and adversarial testing rather than formal proof.</w:t>
      </w:r>
      <w:r>
        <w:rPr>
          <w:rFonts w:ascii="Times New Roman" w:cs="Times New Roman" w:eastAsia="Times New Roman" w:hAnsi="Times New Roman"/>
          <w:color w:val="00A000"/>
          <w:sz w:val="22"/>
          <w:szCs w:val="22"/>
        </w:rPr>
        <w:t xml:space="preserve">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to examine how existing approaches address conditions required for a trustworthy authorisation decision and where gaps remain.</w:t>
      </w:r>
      <w:r>
        <w:rPr>
          <w:rFonts w:ascii="Times New Roman" w:cs="Times New Roman" w:eastAsia="Times New Roman" w:hAnsi="Times New Roman"/>
          <w:color w:val="00A000"/>
          <w:sz w:val="22"/>
          <w:szCs w:val="22"/>
        </w:rPr>
        <w:t xml:space="preserve"> Healthcare research has emphasised informed consent [4, 6–8, 36].</w:t>
      </w:r>
      <w:r>
        <w:rPr>
          <w:rFonts w:ascii="Times New Roman" w:cs="Times New Roman" w:eastAsia="Times New Roman" w:hAnsi="Times New Roman"/>
          <w:sz w:val="22"/>
          <w:szCs w:val="22"/>
        </w:rPr>
        <w:t xml:space="preserve"> Multi-party trust research has investigated decentralised consent management [3, 18, 37–39].</w:t>
      </w:r>
      <w:r>
        <w:rPr>
          <w:rFonts w:ascii="Times New Roman" w:cs="Times New Roman" w:eastAsia="Times New Roman" w:hAnsi="Times New Roman"/>
          <w:color w:val="00A000"/>
          <w:sz w:val="22"/>
          <w:szCs w:val="22"/>
        </w:rPr>
        <w:t xml:space="preserve"> Research on decentralised identity has developed mechanisms for credential verification [16, 17, 40–43].</w:t>
      </w:r>
      <w:r>
        <w:rPr>
          <w:rFonts w:ascii="Times New Roman" w:cs="Times New Roman" w:eastAsia="Times New Roman" w:hAnsi="Times New Roman"/>
          <w:color w:val="00A000"/>
          <w:sz w:val="22"/>
          <w:szCs w:val="22"/>
        </w:rPr>
        <w:t xml:space="preserve"> Access-control research has investigated role-based approaches [9, 10, 44, 45].</w:t>
      </w:r>
      <w:r>
        <w:rPr>
          <w:rFonts w:ascii="Times New Roman" w:cs="Times New Roman" w:eastAsia="Times New Roman" w:hAnsi="Times New Roman"/>
          <w:sz w:val="22"/>
          <w:szCs w:val="22"/>
        </w:rPr>
        <w:t xml:space="preserve"> However, these mechanisms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color w:val="00A000"/>
          <w:sz w:val="22"/>
          <w:szCs w:val="22"/>
        </w:rPr>
        <w:t xml:space="preserve">A healthcare consent decision passes through specification and approval, enforcement at each data-access request, and maintenance or withdrawal over time.</w:t>
      </w:r>
      <w:r>
        <w:rPr>
          <w:rFonts w:ascii="Times New Roman" w:cs="Times New Roman" w:eastAsia="Times New Roman" w:hAnsi="Times New Roman"/>
          <w:color w:val="00A000"/>
          <w:sz w:val="22"/>
          <w:szCs w:val="22"/>
        </w:rPr>
        <w:t xml:space="preserv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1: Representation of consent as an evaluable authorisation object.</w:t>
      </w:r>
      <w:r>
        <w:rPr>
          <w:rFonts w:ascii="Times New Roman" w:cs="Times New Roman" w:eastAsia="Times New Roman" w:hAnsi="Times New Roman"/>
          <w:color w:val="00A000"/>
          <w:sz w:val="22"/>
          <w:szCs w:val="22"/>
        </w:rPr>
        <w:t xml:space="preserve"> Consent should be represented as an evaluable authorisation object rather than as a database entry or blockchain transaction.</w:t>
      </w:r>
      <w:r>
        <w:rPr>
          <w:rFonts w:ascii="Times New Roman" w:cs="Times New Roman" w:eastAsia="Times New Roman" w:hAnsi="Times New Roman"/>
          <w:color w:val="00A000"/>
          <w:sz w:val="22"/>
          <w:szCs w:val="22"/>
        </w:rPr>
        <w:t xml:space="preserve"> Its identities, authority requirements, purpose and data scope, temporal validity, jurisdiction, and evidence should each be evaluable at every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2: Decentralised verification of identity and authority.</w:t>
      </w:r>
      <w:r>
        <w:rPr>
          <w:rFonts w:ascii="Times New Roman" w:cs="Times New Roman" w:eastAsia="Times New Roman" w:hAnsi="Times New Roman"/>
          <w:color w:val="00A000"/>
          <w:sz w:val="22"/>
          <w:szCs w:val="22"/>
        </w:rPr>
        <w:t xml:space="preserve"> Participants should be identifiable without a central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3: Multi-party authorisation through a verifiable threshold.</w:t>
      </w:r>
      <w:r>
        <w:rPr>
          <w:rFonts w:ascii="Times New Roman" w:cs="Times New Roman" w:eastAsia="Times New Roman" w:hAnsi="Times New Roman"/>
          <w:color w:val="00A000"/>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4: Policy- and context-aware enforcement at the time of access.</w:t>
      </w:r>
      <w:r>
        <w:rPr>
          <w:rFonts w:ascii="Times New Roman" w:cs="Times New Roman" w:eastAsia="Times New Roman" w:hAnsi="Times New Roman"/>
          <w:color w:val="00A000"/>
          <w:sz w:val="22"/>
          <w:szCs w:val="22"/>
        </w:rPr>
        <w:t xml:space="preserve"> The access decision must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also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5: Temporal validity and lifecycle control of consent.</w:t>
      </w:r>
      <w:r>
        <w:rPr>
          <w:rFonts w:ascii="Times New Roman" w:cs="Times New Roman" w:eastAsia="Times New Roman" w:hAnsi="Times New Roman"/>
          <w:color w:val="00A000"/>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Req 6: Verifiable auditability and security assurance.</w:t>
      </w:r>
      <w:r>
        <w:rPr>
          <w:rFonts w:ascii="Times New Roman" w:cs="Times New Roman" w:eastAsia="Times New Roman" w:hAnsi="Times New Roman"/>
          <w:color w:val="00A000"/>
          <w:sz w:val="22"/>
          <w:szCs w:val="22"/>
        </w:rPr>
        <w:t xml:space="preserve"> Every decision should leave independently verifiable evidence, and security properties should be validated formally or through systematic adversarial testing.</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color w:val="00A000"/>
          <w:sz w:val="22"/>
          <w:szCs w:val="22"/>
        </w:rPr>
        <w:t xml:space="preserve">The review process was structured according to the PRISMA 2020 statement [46] and a written protocol (Protocol v1.1), which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issued the final decision on each record, and the counts reported here are those of the decision-log checkpoint of 10 September 2026 (decision D-166).</w:t>
      </w:r>
      <w:r>
        <w:rPr>
          <w:rFonts w:ascii="Times New Roman" w:cs="Times New Roman" w:eastAsia="Times New Roman" w:hAnsi="Times New Roman"/>
          <w:color w:val="00A000"/>
          <w:sz w:val="22"/>
          <w:szCs w:val="22"/>
        </w:rPr>
        <w:t xml:space="preserve">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color w:val="00A000"/>
          <w:sz w:val="22"/>
          <w:szCs w:val="22"/>
        </w:rPr>
        <w:t xml:space="preserve">The literature search was conducted using IEEE Xplore, SpringerLink, ProQuest Science and Technology, ScienceDirect, Scopus, Web of Science, and the ACM Digital Library, with Google Scholar as a discovery arm reported separately.</w:t>
      </w:r>
      <w:r>
        <w:rPr>
          <w:rFonts w:ascii="Times New Roman" w:cs="Times New Roman" w:eastAsia="Times New Roman" w:hAnsi="Times New Roman"/>
          <w:color w:val="00A000"/>
          <w:sz w:val="22"/>
          <w:szCs w:val="22"/>
        </w:rPr>
        <w:t xml:space="preserve"> One master query of three concept blocks joined by AND, covering healthcare data, consent and authorisation, and trust and multi-party concepts, was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were executed on 24 and 25 August 2026, and the ACM Digital Library was searched on 5 September 2026 as a late arm, which is declared as a limitation.</w:t>
      </w:r>
      <w:r>
        <w:rPr>
          <w:rFonts w:ascii="Times New Roman" w:cs="Times New Roman" w:eastAsia="Times New Roman" w:hAnsi="Times New Roman"/>
          <w:color w:val="00A000"/>
          <w:sz w:val="22"/>
          <w:szCs w:val="22"/>
        </w:rPr>
        <w:t xml:space="preserve"> A sentinel test of twelve papers defined in advance was used to check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color w:val="00A000"/>
          <w:sz w:val="22"/>
          <w:szCs w:val="22"/>
        </w:rPr>
        <w:t xml:space="preserve">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published from January 2020 to the 2026 search date (IC4 to IC7).</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p>
    <w:p>
      <w:pPr>
        <w:spacing w:after="110" w:line="264"/>
        <w:jc w:val="both"/>
      </w:pPr>
      <w:r>
        <w:rPr>
          <w:rFonts w:ascii="Times New Roman" w:cs="Times New Roman" w:eastAsia="Times New Roman" w:hAnsi="Times New Roman"/>
          <w:color w:val="00A000"/>
          <w:sz w:val="22"/>
          <w:szCs w:val="22"/>
        </w:rPr>
        <w:t xml:space="preserve">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color w:val="00A000"/>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Figure 1 presents the PRISMA 2020 flow diagram for this review which summarizes the identification, screening, eligibility, and inclusion stages of the SLR, and its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color w:val="00A000"/>
          <w:sz w:val="22"/>
          <w:szCs w:val="22"/>
        </w:rPr>
        <w:t xml:space="preserve">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Neither study involves more than one authorising party, and the supporting references treat consent as a boolean grant [52, 53] or as conditions fixed at encryption time [54, 55].</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p>
    <w:p>
      <w:pPr>
        <w:spacing w:after="110" w:line="264"/>
        <w:jc w:val="both"/>
      </w:pPr>
      <w:r>
        <w:rPr>
          <w:rFonts w:ascii="Times New Roman" w:cs="Times New Roman" w:eastAsia="Times New Roman" w:hAnsi="Times New Roman"/>
          <w:b/>
          <w:bCs/>
          <w:color w:val="00A000"/>
          <w:sz w:val="22"/>
          <w:szCs w:val="22"/>
        </w:rPr>
        <w:t xml:space="preserve">Policy- and context-aware access control (Req 4).</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color w:val="00A000"/>
          <w:sz w:val="22"/>
          <w:szCs w:val="22"/>
        </w:rPr>
        <w:t xml:space="preserve">Temporal validity and consent lifecycle (Req 5).</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color w:val="00A000"/>
          <w:sz w:val="22"/>
          <w:szCs w:val="22"/>
        </w:rPr>
        <w:t xml:space="preserve">Formal security assurance and empirical validation (Req 6).</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color w:val="00A000"/>
          <w:sz w:val="22"/>
          <w:szCs w:val="22"/>
        </w:rPr>
        <w:t xml:space="preserve"> Rather, it lies in establishing an explicit and verifiable relationship among them, in which the consent object C carries the identity, authority, threshold, policy, temporal, and lifecycle conditions together.</w:t>
      </w:r>
      <w:r>
        <w:rPr>
          <w:rFonts w:ascii="Times New Roman" w:cs="Times New Roman" w:eastAsia="Times New Roman" w:hAnsi="Times New Roman"/>
          <w:color w:val="00A000"/>
          <w:sz w:val="22"/>
          <w:szCs w:val="22"/>
        </w:rPr>
        <w:t xml:space="preserve"> The final row of Table 1 states the position targeted by the framework.</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color w:val="00A000"/>
          <w:sz w:val="22"/>
          <w:szCs w:val="22"/>
        </w:rPr>
        <w:t xml:space="preserve">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 of this research.</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color w:val="00A000"/>
          <w:sz w:val="22"/>
          <w:szCs w:val="22"/>
        </w:rPr>
        <w:t xml:space="preserve"> As shown in Figure 2, the proposed research addresses both gaps by developing a trusted multi-party consent governance framework.</w:t>
      </w:r>
      <w:r>
        <w:rPr>
          <w:rFonts w:ascii="Times New Roman" w:cs="Times New Roman" w:eastAsia="Times New Roman" w:hAnsi="Times New Roman"/>
          <w:color w:val="00A000"/>
          <w:sz w:val="22"/>
          <w:szCs w:val="22"/>
        </w:rPr>
        <w:t xml:space="preserve">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1,800 full-text records were read in a prioritised order under the saturation rule, and a single panel performed the coding, so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color w:val="00A000"/>
          <w:sz w:val="22"/>
          <w:szCs w:val="22"/>
        </w:rPr>
        <w:t xml:space="preserve"> Multi-party approval can strengthen collective decision-making, but in the reviewed studies it is never conjoined with a purpose or data-scope condition [23, 25, 26].</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following terms are used throughout the remaining sections.</w:t>
      </w:r>
      <w:r>
        <w:rPr>
          <w:rFonts w:ascii="Times New Roman" w:cs="Times New Roman" w:eastAsia="Times New Roman" w:hAnsi="Times New Roman"/>
          <w:color w:val="00A000"/>
          <w:sz w:val="22"/>
          <w:szCs w:val="22"/>
        </w:rPr>
        <w:t xml:space="preserve"> The patient is the data subject who creates the consent object C, while the guardian set G is the set of designated participants whose independent approval is required, and the threshold N is the number of valid guardian approvals needed for activation.</w:t>
      </w:r>
      <w:r>
        <w:rPr>
          <w:rFonts w:ascii="Times New Roman" w:cs="Times New Roman" w:eastAsia="Times New Roman" w:hAnsi="Times New Roman"/>
          <w:color w:val="00A000"/>
          <w:sz w:val="22"/>
          <w:szCs w:val="22"/>
        </w:rPr>
        <w:t xml:space="preserve">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color w:val="00A000"/>
          <w:sz w:val="22"/>
          <w:szCs w:val="22"/>
        </w:rPr>
        <w:t xml:space="preserve">The consent object against which these questions are evaluated is defined in Equation (1), where I represents identity information, A represents authority and authorisation requirements, namely the guardian set G and the threshold N, P represents policy and data-scope constraints, T the temporal validity window, L the jurisdictional constraint, and E represents authorisation evidence,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color w:val="00A000"/>
          <w:sz w:val="22"/>
          <w:szCs w:val="22"/>
        </w:rPr>
        <w:t xml:space="preserve"> RQ5 introduces the dynamic dimension of trust, and RQ6 establishes the assurance layer.</w:t>
      </w:r>
      <w:r>
        <w:rPr>
          <w:rFonts w:ascii="Times New Roman" w:cs="Times New Roman" w:eastAsia="Times New Roman" w:hAnsi="Times New Roman"/>
          <w:color w:val="00A000"/>
          <w:sz w:val="22"/>
          <w:szCs w:val="22"/>
        </w:rPr>
        <w:t xml:space="preserve"> The integrated authorisation condition can therefore be expressed as Equation (2), where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lifecycle validity is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color w:val="00A000"/>
          <w:sz w:val="22"/>
          <w:szCs w:val="22"/>
        </w:rPr>
        <w:t xml:space="preserve"> In the implemented framework, the designated guardians are defined at consent creation and each EIP-712 approval is verified through signature recovery.</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color w:val="00A000"/>
          <w:sz w:val="22"/>
          <w:szCs w:val="22"/>
        </w:rPr>
        <w:t xml:space="preserve">The fourth research objective is to enforce purpose and healthcare data-scope constraints as explicit and evaluable conditions of access.</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color w:val="00A000"/>
          <w:sz w:val="22"/>
          <w:szCs w:val="22"/>
        </w:rPr>
        <w:t xml:space="preserve"> In the implemented framework, the policy mechanism evaluates whether the requested purpose is consistent with the consent, and it rejects any request whose data scope is not a non-empty subset of the authorised EMR modules.</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color w:val="00A000"/>
          <w:sz w:val="22"/>
          <w:szCs w:val="22"/>
        </w:rPr>
        <w:t xml:space="preserve"> Part of this objective is already implemented in the current prototype.</w:t>
      </w:r>
      <w:r>
        <w:rPr>
          <w:rFonts w:ascii="Times New Roman" w:cs="Times New Roman" w:eastAsia="Times New Roman" w:hAnsi="Times New Roman"/>
          <w:color w:val="00A000"/>
          <w:sz w:val="22"/>
          <w:szCs w:val="22"/>
        </w:rPr>
        <w:t xml:space="preserve"> The prototype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records notBefore and expiry on-chain within the consent token, while it also implements end-to-end revocation, including an on-chain revoke transaction, and manages the consent through an explicit lifecycle state machine.</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color w:val="00A000"/>
          <w:sz w:val="22"/>
          <w:szCs w:val="22"/>
        </w:rPr>
        <w:t xml:space="preserve"> The empirical component has been partially delivered.</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color w:val="00A000"/>
          <w:sz w:val="22"/>
          <w:szCs w:val="22"/>
        </w:rPr>
        <w:t xml:space="preserve">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color w:val="00A000"/>
          <w:sz w:val="22"/>
          <w:szCs w:val="22"/>
        </w:rPr>
        <w:t xml:space="preserve">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color w:val="00A000"/>
          <w:sz w:val="22"/>
          <w:szCs w:val="22"/>
        </w:rPr>
        <w:t xml:space="preserve"> The View is decomposed into the patient, guardian, healthcare professional, and auditor interfaces, which share the same architectural principle: none of them independently determines whether access should be granted.</w:t>
      </w:r>
      <w:r>
        <w:rPr>
          <w:rFonts w:ascii="Times New Roman" w:cs="Times New Roman" w:eastAsia="Times New Roman" w:hAnsi="Times New Roman"/>
          <w:color w:val="00A000"/>
          <w:sz w:val="22"/>
          <w:szCs w:val="22"/>
        </w:rPr>
        <w:t xml:space="preserve"> The Controller is decomposed into six principal security functions: Identity Verification, Authority Verification, Approval Aggregation, Policy Enforcement, Decision Engine, and Audit Coordination.</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Lifecycle validity and revocation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color w:val="00A000"/>
          <w:sz w:val="22"/>
          <w:szCs w:val="22"/>
        </w:rPr>
        <w:t xml:space="preserve"> The layered architecture also establishes four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is responsible for preventing direct access to protected healthcare data when the required trust conditions are not satisfied.</w:t>
      </w:r>
      <w:r>
        <w:rPr>
          <w:rFonts w:ascii="Times New Roman" w:cs="Times New Roman" w:eastAsia="Times New Roman" w:hAnsi="Times New Roman"/>
          <w:sz w:val="22"/>
          <w:szCs w:val="22"/>
        </w:rPr>
        <w:t xml:space="preserve">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and the structured representation of security state within the Model.</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color w:val="00A000"/>
          <w:sz w:val="22"/>
          <w:szCs w:val="22"/>
        </w:rPr>
        <w:t xml:space="preserve"> The next stage performs decentralised identity and authority verification using DIDs and VCs [16].</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color w:val="00A000"/>
          <w:sz w:val="22"/>
          <w:szCs w:val="22"/>
        </w:rPr>
        <w:t xml:space="preserve"> The framework then collects independent approvals and evaluates whether the predefined authorisation threshold has been satisfied, as in Equation (3), where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denotes the set of successfully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the verified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contributes to the threshold condition,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color w:val="00A000"/>
          <w:sz w:val="22"/>
          <w:szCs w:val="22"/>
        </w:rPr>
        <w:t xml:space="preserve"> For example, if a consent permits access to Observation and Medication, a request additionally containing Procedure should not be authorised because it exceeds the authorised data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color w:val="00A000"/>
          <w:sz w:val="22"/>
          <w:szCs w:val="22"/>
        </w:rPr>
        <w:t xml:space="preserve"> RO6 operates across the complete architecture rather than being confined to a single MVC layer,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evaluable consent object as such is already present in the literature [21, 24, 28, 48].</w:t>
      </w:r>
      <w:r>
        <w:rPr>
          <w:rFonts w:ascii="Times New Roman" w:cs="Times New Roman" w:eastAsia="Times New Roman" w:hAnsi="Times New Roman"/>
          <w:color w:val="00A000"/>
          <w:sz w:val="22"/>
          <w:szCs w:val="22"/>
        </w:rPr>
        <w:t xml:space="preserve"> The key innovation is that the effectiveness of the consent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color w:val="00A000"/>
          <w:sz w:val="22"/>
          <w:szCs w:val="22"/>
        </w:rPr>
        <w:t xml:space="preserve">In Equation (5), I represents patient and participant identity information, A represents authorisation requirements, P represents policy constraints, T the temporal validity window, L the jurisdiction in which the consent may be exercised, and E represents authorisation evidence.</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r>
        <w:rPr>
          <w:rFonts w:ascii="Times New Roman" w:cs="Times New Roman" w:eastAsia="Times New Roman" w:hAnsi="Times New Roman"/>
          <w:color w:val="00A000"/>
          <w:sz w:val="22"/>
          <w:szCs w:val="22"/>
        </w:rPr>
        <w:t xml:space="preserv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color w:val="00A000"/>
          <w:sz w:val="22"/>
          <w:szCs w:val="22"/>
        </w:rPr>
        <w:t xml:space="preserve">Figure 8 presents the structure of the resulting consent object, showing each of the six components of C = (I, A, P, T, L, E), its content in the HALAH system, and the party that supplies it.</w:t>
      </w:r>
      <w:r>
        <w:rPr>
          <w:rFonts w:ascii="Times New Roman" w:cs="Times New Roman" w:eastAsia="Times New Roman" w:hAnsi="Times New Roman"/>
          <w:color w:val="00A000"/>
          <w:sz w:val="22"/>
          <w:szCs w:val="22"/>
        </w:rPr>
        <w:t xml:space="preserve"> The patient supplies the identity, authority, data-scope, temporal, and jurisdictional components, whereas the purpose is presently fixed to Treatment by the interface.</w:t>
      </w:r>
      <w:r>
        <w:rPr>
          <w:rFonts w:ascii="Times New Roman" w:cs="Times New Roman" w:eastAsia="Times New Roman" w:hAnsi="Times New Roman"/>
          <w:color w:val="00A000"/>
          <w:sz w:val="22"/>
          <w:szCs w:val="22"/>
        </w:rPr>
        <w:t xml:space="preserve"> The system generates the threshold N = |G| and the consent identifier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while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color w:val="00A000"/>
          <w:sz w:val="22"/>
          <w:szCs w:val="22"/>
        </w:rPr>
        <w:t xml:space="preserve">The temporal component defines the validity interval T =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where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represents the consent start time and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represents the expiration time.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color w:val="00A000"/>
          <w:sz w:val="22"/>
          <w:szCs w:val="22"/>
        </w:rPr>
        <w:t xml:space="preserve"> If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cannot be validated, the procedure terminates and returns REJECT.</w:t>
      </w:r>
      <w:r>
        <w:rPr>
          <w:rFonts w:ascii="Times New Roman" w:cs="Times New Roman" w:eastAsia="Times New Roman" w:hAnsi="Times New Roman"/>
          <w:color w:val="00A000"/>
          <w:sz w:val="22"/>
          <w:szCs w:val="22"/>
        </w:rPr>
        <w:t xml:space="preserve"> The system validates the designated doctor D and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color w:val="00A000"/>
          <w:sz w:val="22"/>
          <w:szCs w:val="22"/>
        </w:rPr>
        <w:t xml:space="preserve"> The requested data scope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is validated to determine which healthcare resources may be accessed under the consent.</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color w:val="00A000"/>
          <w:sz w:val="22"/>
          <w:szCs w:val="22"/>
        </w:rPr>
        <w:t xml:space="preserve">The system requires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&gt;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and validates the jurisdiction L.</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color w:val="00A000"/>
          <w:sz w:val="22"/>
          <w:szCs w:val="22"/>
        </w:rPr>
        <w:t xml:space="preserve"> The Consent Service generates a universally unique consent identifier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when the patient submits the consent.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 Algorithm 1 formalises the creation process.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color w:val="00A000"/>
          <w:sz w:val="22"/>
          <w:szCs w:val="22"/>
        </w:rPr>
        <w:t xml:space="preserve"> The system first resolves the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 and returns INVALID at the first failed mandatory verification condition.</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color w:val="00A000"/>
          <w:sz w:val="22"/>
          <w:szCs w:val="22"/>
        </w:rPr>
        <w:t xml:space="preserve"> Those conditions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to RQ3, which is addressed by RO3.</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over the consent object C is given in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color w:val="00A000"/>
          <w:sz w:val="22"/>
          <w:szCs w:val="22"/>
        </w:rPr>
        <w:t xml:space="preserve"> It follows the threshold-committee principle of decentralised identity systems [40, 41] but applies it to consent approval rather than to credential issuance.</w:t>
      </w:r>
      <w:r>
        <w:rPr>
          <w:rFonts w:ascii="Times New Roman" w:cs="Times New Roman" w:eastAsia="Times New Roman" w:hAnsi="Times New Roman"/>
          <w:color w:val="00A000"/>
          <w:sz w:val="22"/>
          <w:szCs w:val="22"/>
        </w:rPr>
        <w:t xml:space="preserv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color w:val="00A000"/>
          <w:sz w:val="22"/>
          <w:szCs w:val="22"/>
        </w:rPr>
        <w:t xml:space="preserve"> The threshold N must satisfy 1 ≤ N ≤ |G|.</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color w:val="00A000"/>
          <w:sz w:val="22"/>
          <w:szCs w:val="22"/>
        </w:rPr>
        <w:t xml:space="preserve">If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 N, the system activates the authorisation associated with consent object C and generates activation evidence.</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sz w:val="22"/>
          <w:szCs w:val="22"/>
        </w:rPr>
        <w:t xml:space="preserve"> Activation is distinct from the access decision.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color w:val="00A000"/>
          <w:sz w:val="22"/>
          <w:szCs w:val="22"/>
        </w:rPr>
        <w:t xml:space="preserve"> If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to RQ4, which is addressed by RO4.</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color w:val="00A000"/>
          <w:sz w:val="22"/>
          <w:szCs w:val="22"/>
        </w:rPr>
        <w:t xml:space="preserve"> A valid identity and sufficient approval do not necessarily imply that every requested operation is permitted, since,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color w:val="00A000"/>
          <w:sz w:val="22"/>
          <w:szCs w:val="22"/>
        </w:rPr>
        <w:t xml:space="preserve">The policy condition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combines purpose compatibility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with data-scope compatibility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color w:val="00A000"/>
          <w:sz w:val="22"/>
          <w:szCs w:val="22"/>
        </w:rPr>
        <w:t xml:space="preserve">The complete authorisation decision enforced by the implemented system is the conjunction of the five verification predicates in Equation (16), and these predicates are evaluated at every access request.</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color w:val="00A000"/>
          <w:sz w:val="22"/>
          <w:szCs w:val="22"/>
        </w:rPr>
        <w:t xml:space="preserve">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color w:val="00A000"/>
          <w:sz w:val="22"/>
          <w:szCs w:val="22"/>
        </w:rPr>
        <w:t xml:space="preserve">Algorithm 4 defines the access decision for a request R = (u, P</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Jur(R)) at the current time t, and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color w:val="00A000"/>
          <w:sz w:val="22"/>
          <w:szCs w:val="22"/>
        </w:rPr>
        <w:t xml:space="preserve"> An empty request scope is also refused, because the scope condition requires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to be non-empty.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color w:val="00A000"/>
          <w:sz w:val="22"/>
          <w:szCs w:val="22"/>
        </w:rPr>
        <w:t xml:space="preserve">In the HALAH implementation, the access-evidence step is realised by generating and verifying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 and the consent purpose is checked against the supported vocabulary of Treatment, Research, and Emergency and is stored on-chain as keccak256(purpose).</w:t>
      </w:r>
      <w:r>
        <w:rPr>
          <w:rFonts w:ascii="Times New Roman" w:cs="Times New Roman" w:eastAsia="Times New Roman" w:hAnsi="Times New Roman"/>
          <w:color w:val="00A000"/>
          <w:sz w:val="22"/>
          <w:szCs w:val="22"/>
        </w:rPr>
        <w:t xml:space="preserve"> Consequently,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is presently evaluated over the consent purpose rather than over a requester-declared P</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and the refusal that follows revocation is therefore evidenced by the interface and the automated tests rather than by a ledger row.</w:t>
      </w:r>
      <w:r>
        <w:rPr>
          <w:rFonts w:ascii="Times New Roman" w:cs="Times New Roman" w:eastAsia="Times New Roman" w:hAnsi="Times New Roman"/>
          <w:color w:val="00A000"/>
          <w:sz w:val="22"/>
          <w:szCs w:val="22"/>
        </w:rPr>
        <w:t xml:space="preserve">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color w:val="00A000"/>
          <w:sz w:val="22"/>
          <w:szCs w:val="22"/>
        </w:rPr>
        <w:t xml:space="preserve">RO4 has been completed and represents the third layer of the foundational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whereas in the prototype, the scope condition is enforced by a separate scope check at request time rather than within the logged predicate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Accordingly, an over-scope request is refused with the scope named as the failed check, and the interface itself offers only the authorised modules.</w:t>
      </w:r>
      <w:r>
        <w:rPr>
          <w:rFonts w:ascii="Times New Roman" w:cs="Times New Roman" w:eastAsia="Times New Roman" w:hAnsi="Times New Roman"/>
          <w:color w:val="00A000"/>
          <w:sz w:val="22"/>
          <w:szCs w:val="22"/>
        </w:rPr>
        <w:t xml:space="preserve"> This refusal is exercised by the unit-level adversarial tests.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 and a denial against an ACTIVE consent is also recorded in the audit ledger with the complete decision matrix.</w:t>
      </w:r>
      <w:r>
        <w:rPr>
          <w:rFonts w:ascii="Times New Roman" w:cs="Times New Roman" w:eastAsia="Times New Roman" w:hAnsi="Times New Roman"/>
          <w:color w:val="00A000"/>
          <w:sz w:val="22"/>
          <w:szCs w:val="22"/>
        </w:rPr>
        <w:t xml:space="preserve"> Input validation on consent creation and access requests prevents malformed identifiers, scopes, and jurisdictions from reaching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color w:val="00A000"/>
          <w:sz w:val="22"/>
          <w:szCs w:val="22"/>
        </w:rPr>
        <w:t xml:space="preserve">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It investigates how an authorisation remains trustworthy as time passes and as the consent state changes.</w:t>
      </w:r>
      <w:r>
        <w:rPr>
          <w:rFonts w:ascii="Times New Roman" w:cs="Times New Roman" w:eastAsia="Times New Roman" w:hAnsi="Times New Roman"/>
          <w:color w:val="00A000"/>
          <w:sz w:val="22"/>
          <w:szCs w:val="22"/>
        </w:rPr>
        <w:t xml:space="preserve"> This objective was originally planned for CA3, but its temporal and revocation controls have been brought forward and realised in the current HALAH prototype.</w:t>
      </w:r>
      <w:r>
        <w:rPr>
          <w:rFonts w:ascii="Times New Roman" w:cs="Times New Roman" w:eastAsia="Times New Roman" w:hAnsi="Times New Roman"/>
          <w:color w:val="00A000"/>
          <w:sz w:val="22"/>
          <w:szCs w:val="22"/>
        </w:rPr>
        <w:t xml:space="preserv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color w:val="00A000"/>
          <w:sz w:val="22"/>
          <w:szCs w:val="22"/>
        </w:rPr>
        <w:t xml:space="preserve">The temporal condition requires that the current time t lies within the validity interval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of the consent object C = (I, A, P, T, L, E), and Equation (20) defines the temporal predicate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The jurisdictional condition compares the jurisdiction declared by the request R with the jurisdiction L recorded in the consent, and Equation (21) defines the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color w:val="00A000"/>
          <w:sz w:val="22"/>
          <w:szCs w:val="22"/>
        </w:rPr>
        <w:t xml:space="preserve">L is validated and bound at consent creation, and consequently the disjunct Jur(C) = ∅ is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color w:val="00A000"/>
          <w:sz w:val="22"/>
          <w:szCs w:val="22"/>
        </w:rPr>
        <w:t xml:space="preserve"> The access decision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color w:val="00A000"/>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Temporal validity.</w:t>
      </w:r>
      <w:r>
        <w:rPr>
          <w:rFonts w:ascii="Times New Roman" w:cs="Times New Roman" w:eastAsia="Times New Roman" w:hAnsi="Times New Roman"/>
          <w:color w:val="00A000"/>
          <w:sz w:val="22"/>
          <w:szCs w:val="22"/>
        </w:rPr>
        <w:t xml:space="preserve"> The Consent Engine evaluates t</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 t ≤ t</w:t>
      </w:r>
      <w:r>
        <w:rPr>
          <w:rFonts w:ascii="Times New Roman" w:cs="Times New Roman" w:eastAsia="Times New Roman" w:hAnsi="Times New Roman"/>
          <w:color w:val="00A000"/>
          <w:sz w:val="22"/>
          <w:szCs w:val="22"/>
          <w:vertAlign w:val="subscript"/>
        </w:rPr>
        <w:t xml:space="preserve">e</w:t>
      </w:r>
      <w:r>
        <w:rPr>
          <w:rFonts w:ascii="Times New Roman" w:cs="Times New Roman" w:eastAsia="Times New Roman" w:hAnsi="Times New Roman"/>
          <w:color w:val="00A000"/>
          <w:sz w:val="22"/>
          <w:szCs w:val="22"/>
        </w:rPr>
        <w:t xml:space="preserve"> at every access request.</w:t>
      </w:r>
      <w:r>
        <w:rPr>
          <w:rFonts w:ascii="Times New Roman" w:cs="Times New Roman" w:eastAsia="Times New Roman" w:hAnsi="Times New Roman"/>
          <w:color w:val="00A000"/>
          <w:sz w:val="22"/>
          <w:szCs w:val="22"/>
        </w:rPr>
        <w:t xml:space="preserve">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On-chain revocation.</w:t>
      </w:r>
      <w:r>
        <w:rPr>
          <w:rFonts w:ascii="Times New Roman" w:cs="Times New Roman" w:eastAsia="Times New Roman" w:hAnsi="Times New Roman"/>
          <w:color w:val="00A000"/>
          <w:sz w:val="22"/>
          <w:szCs w:val="22"/>
        </w:rPr>
        <w:t xml:space="preserve"> The patient's withdrawal updates the application state and is confirmed as a revoke transaction on Sepolia in block 11,771,307.</w:t>
      </w:r>
      <w:r>
        <w:rPr>
          <w:rFonts w:ascii="Times New Roman" w:cs="Times New Roman" w:eastAsia="Times New Roman" w:hAnsi="Times New Roman"/>
          <w:color w:val="00A000"/>
          <w:sz w:val="22"/>
          <w:szCs w:val="22"/>
        </w:rPr>
        <w:t xml:space="preserve"> From that point, the contract itself reports the token as no longer valid, so any verifier that reads the chain observes the withdrawal.</w:t>
      </w:r>
      <w:r>
        <w:rPr>
          <w:rFonts w:ascii="Times New Roman" w:cs="Times New Roman" w:eastAsia="Times New Roman" w:hAnsi="Times New Roman"/>
          <w:color w:val="00A000"/>
          <w:sz w:val="22"/>
          <w:szCs w:val="22"/>
        </w:rPr>
        <w:t xml:space="preserve">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the six states PENDING_SIGNATURE, PENDING_TOKEN, NOT_STARTED, ACTIVE, EXPIRED, and REVOKED.</w:t>
      </w:r>
      <w:r>
        <w:rPr>
          <w:rFonts w:ascii="Times New Roman" w:cs="Times New Roman" w:eastAsia="Times New Roman" w:hAnsi="Times New Roman"/>
          <w:color w:val="00A000"/>
          <w:sz w:val="22"/>
          <w:szCs w:val="22"/>
        </w:rPr>
        <w:t xml:space="preserve">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color w:val="00A000"/>
          <w:sz w:val="22"/>
          <w:szCs w:val="22"/>
        </w:rPr>
        <w:t xml:space="preserve">Figure 13 summarises the implemented lifecycle and its anchored transitions.</w:t>
      </w:r>
      <w:r>
        <w:rPr>
          <w:rFonts w:ascii="Times New Roman" w:cs="Times New Roman" w:eastAsia="Times New Roman" w:hAnsi="Times New Roman"/>
          <w:color w:val="00A000"/>
          <w:sz w:val="22"/>
          <w:szCs w:val="22"/>
        </w:rPr>
        <w:t xml:space="preserve"> Revocation is accepted from any state that is not already REVOKED, and validity is re-established at each evaluated access request and recorded as a STATE_CHECK event in the audit ledger.</w:t>
      </w:r>
      <w:r>
        <w:rPr>
          <w:rFonts w:ascii="Times New Roman" w:cs="Times New Roman" w:eastAsia="Times New Roman" w:hAnsi="Times New Roman"/>
          <w:color w:val="00A000"/>
          <w:sz w:val="22"/>
          <w:szCs w:val="22"/>
        </w:rPr>
        <w:t xml:space="preserve"> Expiration and revocation already condition the demonstrated access decisions.</w:t>
      </w:r>
      <w:r>
        <w:rPr>
          <w:rFonts w:ascii="Times New Roman" w:cs="Times New Roman" w:eastAsia="Times New Roman" w:hAnsi="Times New Roman"/>
          <w:color w:val="00A000"/>
          <w:sz w:val="22"/>
          <w:szCs w:val="22"/>
        </w:rPr>
        <w:t xml:space="preserve"> However, the expiry path is not shown in the live demonstration, because a validity window long enough to be captured in screenshots cannot expire within the demonstration period, although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color w:val="00A000"/>
          <w:sz w:val="22"/>
          <w:szCs w:val="22"/>
        </w:rPr>
        <w:t xml:space="preserve">What remains for CA3 is the dynamic and delegated dimension of lifecycle trust rather than temporal enforcement itself, which consists of the following elements.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Delegation.</w:t>
      </w:r>
      <w:r>
        <w:rPr>
          <w:rFonts w:ascii="Times New Roman" w:cs="Times New Roman" w:eastAsia="Times New Roman" w:hAnsi="Times New Roman"/>
          <w:color w:val="00A000"/>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Transition check.</w:t>
      </w:r>
      <w:r>
        <w:rPr>
          <w:rFonts w:ascii="Times New Roman" w:cs="Times New Roman" w:eastAsia="Times New Roman" w:hAnsi="Times New Roman"/>
          <w:color w:val="00A000"/>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Formal lifecycle model.</w:t>
      </w:r>
      <w:r>
        <w:rPr>
          <w:rFonts w:ascii="Times New Roman" w:cs="Times New Roman" w:eastAsia="Times New Roman" w:hAnsi="Times New Roman"/>
          <w:color w:val="00A000"/>
          <w:sz w:val="22"/>
          <w:szCs w:val="22"/>
        </w:rPr>
        <w:t xml:space="preserve"> The state-transition model will be formalised so that unauthorised transitions are excluded by construction.</w:t>
      </w:r>
      <w:r>
        <w:rPr>
          <w:rFonts w:ascii="Times New Roman" w:cs="Times New Roman" w:eastAsia="Times New Roman" w:hAnsi="Times New Roman"/>
          <w:color w:val="00A000"/>
          <w:sz w:val="22"/>
          <w:szCs w:val="22"/>
        </w:rPr>
        <w:t xml:space="preserve">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together with the formal component of RO6 described in Section 11.</w:t>
      </w:r>
      <w:r>
        <w:rPr>
          <w:rFonts w:ascii="Times New Roman" w:cs="Times New Roman" w:eastAsia="Times New Roman" w:hAnsi="Times New Roman"/>
          <w:color w:val="00A000"/>
          <w:sz w:val="22"/>
          <w:szCs w:val="22"/>
        </w:rPr>
        <w:t xml:space="preserve"> Consent validity will be treated as a function of time, lifecycle state, and revocation rather than as a permanent property of an approved consent.</w:t>
      </w:r>
      <w:r>
        <w:rPr>
          <w:rFonts w:ascii="Times New Roman" w:cs="Times New Roman" w:eastAsia="Times New Roman" w:hAnsi="Times New Roman"/>
          <w:color w:val="00A000"/>
          <w:sz w:val="22"/>
          <w:szCs w:val="22"/>
        </w:rPr>
        <w:t xml:space="preserve">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color w:val="00A000"/>
          <w:sz w:val="22"/>
          <w:szCs w:val="22"/>
        </w:rPr>
        <w:t xml:space="preserve"> The scenario-based empirical half has been carried out on the HALAH prototype for RQ1 to RQ4, together with the temporal and revocation controls of RQ5, whereas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color w:val="00A000"/>
          <w:sz w:val="22"/>
          <w:szCs w:val="22"/>
        </w:rPr>
        <w:t xml:space="preserve">Figure 14 presents the RO6 workflow for security assurance and empirical validation.</w:t>
      </w:r>
      <w:r>
        <w:rPr>
          <w:rFonts w:ascii="Times New Roman" w:cs="Times New Roman" w:eastAsia="Times New Roman" w:hAnsi="Times New Roman"/>
          <w:color w:val="00A000"/>
          <w:sz w:val="22"/>
          <w:szCs w:val="22"/>
        </w:rPr>
        <w:t xml:space="preserve">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color w:val="00A000"/>
          <w:sz w:val="22"/>
          <w:szCs w:val="22"/>
        </w:rPr>
        <w:t xml:space="preserve"> The fundamental scenario-level validation criterion is Pass(s) ⟺ D</w:t>
      </w:r>
      <w:r>
        <w:rPr>
          <w:rFonts w:ascii="Times New Roman" w:cs="Times New Roman" w:eastAsia="Times New Roman" w:hAnsi="Times New Roman"/>
          <w:color w:val="00A000"/>
          <w:sz w:val="22"/>
          <w:szCs w:val="22"/>
          <w:vertAlign w:val="subscript"/>
        </w:rPr>
        <w:t xml:space="preserve">obs</w:t>
      </w:r>
      <w:r>
        <w:rPr>
          <w:rFonts w:ascii="Times New Roman" w:cs="Times New Roman" w:eastAsia="Times New Roman" w:hAnsi="Times New Roman"/>
          <w:color w:val="00A000"/>
          <w:sz w:val="22"/>
          <w:szCs w:val="22"/>
        </w:rPr>
        <w:t xml:space="preserve">(s) = D</w:t>
      </w:r>
      <w:r>
        <w:rPr>
          <w:rFonts w:ascii="Times New Roman" w:cs="Times New Roman" w:eastAsia="Times New Roman" w:hAnsi="Times New Roman"/>
          <w:color w:val="00A000"/>
          <w:sz w:val="22"/>
          <w:szCs w:val="22"/>
          <w:vertAlign w:val="subscript"/>
        </w:rPr>
        <w:t xml:space="preserve">exp</w:t>
      </w:r>
      <w:r>
        <w:rPr>
          <w:rFonts w:ascii="Times New Roman" w:cs="Times New Roman" w:eastAsia="Times New Roman" w:hAnsi="Times New Roman"/>
          <w:color w:val="00A000"/>
          <w:sz w:val="22"/>
          <w:szCs w:val="22"/>
        </w:rPr>
        <w:t xml:space="preserve">(s).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color w:val="00A000"/>
          <w:sz w:val="22"/>
          <w:szCs w:val="22"/>
        </w:rPr>
        <w:t xml:space="preserve">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color w:val="00A000"/>
          <w:sz w:val="22"/>
          <w:szCs w:val="22"/>
        </w:rPr>
        <w:t xml:space="preserve">The empirical evidence consists of a suite of 36 automated tests, the live demonstration on the Sepolia test network on 24 September 2026, and the independent re-verification of every recorded transaction against the chain.</w:t>
      </w:r>
      <w:r>
        <w:rPr>
          <w:rFonts w:ascii="Times New Roman" w:cs="Times New Roman" w:eastAsia="Times New Roman" w:hAnsi="Times New Roman"/>
          <w:color w:val="00A000"/>
          <w:sz w:val="22"/>
          <w:szCs w:val="22"/>
        </w:rPr>
        <w:t xml:space="preserve"> The 23 functional and regression tests exercise per-dimension failures of the decision matrix, invalid EIP-712 guardian signatures, and tampered or expired zero-knowledge proofs, whereas the 13 adversarial tests cover a baseline and twelve attack scenarios.</w:t>
      </w:r>
      <w:r>
        <w:rPr>
          <w:rFonts w:ascii="Times New Roman" w:cs="Times New Roman" w:eastAsia="Times New Roman" w:hAnsi="Times New Roman"/>
          <w:color w:val="00A000"/>
          <w:sz w:val="22"/>
          <w:szCs w:val="22"/>
        </w:rPr>
        <w:t xml:space="preserve">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color w:val="00A000"/>
          <w:sz w:val="22"/>
          <w:szCs w:val="22"/>
        </w:rPr>
        <w:t xml:space="preserve">The HALAH (History Access Link for Authorised Healthcare) prototype is a role-based consent management platform with separate patient, guardian, doctor, and auditor interfaces.</w:t>
      </w:r>
      <w:r>
        <w:rPr>
          <w:rFonts w:ascii="Times New Roman" w:cs="Times New Roman" w:eastAsia="Times New Roman" w:hAnsi="Times New Roman"/>
          <w:color w:val="00A000"/>
          <w:sz w:val="22"/>
          <w:szCs w:val="22"/>
        </w:rPr>
        <w:t xml:space="preserve"> Its consent token contract, ConsentSBTv3, was compiled in Remix and deployed to Sepolia through MetaMask as a soulbound ERC-721 token, so transfers between accounts are blocked.</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color w:val="00A000"/>
          <w:sz w:val="22"/>
          <w:szCs w:val="22"/>
        </w:rPr>
        <w:t xml:space="preserve"> No medical content is written to the chain, although the plaintext purpose is passed as a parameter of the mint transaction and is therefore visible in the public transaction input.</w:t>
      </w:r>
      <w:r>
        <w:rPr>
          <w:rFonts w:ascii="Times New Roman" w:cs="Times New Roman" w:eastAsia="Times New Roman" w:hAnsi="Times New Roman"/>
          <w:color w:val="00A000"/>
          <w:sz w:val="22"/>
          <w:szCs w:val="22"/>
        </w:rPr>
        <w:t xml:space="preserve"> All medical records used in the demonstration are synthetic and derived from the Synthea dataset.</w:t>
      </w:r>
    </w:p>
    <w:p>
      <w:pPr>
        <w:spacing w:after="110" w:line="264"/>
        <w:jc w:val="both"/>
      </w:pPr>
      <w:r>
        <w:rPr>
          <w:rFonts w:ascii="Times New Roman" w:cs="Times New Roman" w:eastAsia="Times New Roman" w:hAnsi="Times New Roman"/>
          <w:color w:val="00A000"/>
          <w:sz w:val="22"/>
          <w:szCs w:val="22"/>
        </w:rPr>
        <w:t xml:space="preserve">Two consent lifecycles appear in the demonstration.</w:t>
      </w:r>
      <w:r>
        <w:rPr>
          <w:rFonts w:ascii="Times New Roman" w:cs="Times New Roman" w:eastAsia="Times New Roman" w:hAnsi="Times New Roman"/>
          <w:color w:val="00A000"/>
          <w:sz w:val="22"/>
          <w:szCs w:val="22"/>
        </w:rPr>
        <w:t xml:space="preserve"> 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 in block 11,771,581.</w:t>
      </w:r>
      <w:r>
        <w:rPr>
          <w:rFonts w:ascii="Times New Roman" w:cs="Times New Roman" w:eastAsia="Times New Roman" w:hAnsi="Times New Roman"/>
          <w:color w:val="00A000"/>
          <w:sz w:val="22"/>
          <w:szCs w:val="22"/>
        </w:rPr>
        <w:t xml:space="preserve">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color w:val="00A000"/>
          <w:sz w:val="22"/>
          <w:szCs w:val="22"/>
        </w:rPr>
        <w:t xml:space="preserve">Scenario 1: consent creation (validates RQ1).</w:t>
      </w:r>
      <w:r>
        <w:rPr>
          <w:rFonts w:ascii="Times New Roman" w:cs="Times New Roman" w:eastAsia="Times New Roman" w:hAnsi="Times New Roman"/>
          <w:color w:val="00A000"/>
          <w:sz w:val="22"/>
          <w:szCs w:val="22"/>
        </w:rPr>
        <w:t xml:space="preserve"> The patient specifies the Patient DID, the Authorised Doctor DID, the data access scope, the designated guardian DIDs, the jurisdiction, and the start and expiry times.</w:t>
      </w:r>
      <w:r>
        <w:rPr>
          <w:rFonts w:ascii="Times New Roman" w:cs="Times New Roman" w:eastAsia="Times New Roman" w:hAnsi="Times New Roman"/>
          <w:color w:val="00A000"/>
          <w:sz w:val="22"/>
          <w:szCs w:val="22"/>
        </w:rPr>
        <w:t xml:space="preserve"> These fields instantiate the consent object C = (I, A, P, T, L, E) of Section 6.</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color w:val="00A000"/>
          <w:sz w:val="22"/>
          <w:szCs w:val="22"/>
        </w:rPr>
        <w:t xml:space="preserve">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color w:val="00A000"/>
          <w:sz w:val="22"/>
          <w:szCs w:val="22"/>
        </w:rPr>
        <w:t xml:space="preserve">Scenario 2: guardian approval and activation (validates RQ2 and RQ3).</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 and a second signature from the same guardian is refused.</w:t>
      </w:r>
      <w:r>
        <w:rPr>
          <w:rFonts w:ascii="Times New Roman" w:cs="Times New Roman" w:eastAsia="Times New Roman" w:hAnsi="Times New Roman"/>
          <w:color w:val="00A000"/>
          <w:sz w:val="22"/>
          <w:szCs w:val="22"/>
        </w:rPr>
        <w:t xml:space="preserve"> As qualified in Section 7, cryptographic resolution of DIDs against a registry is reserved for CA3.</w:t>
      </w:r>
      <w:r>
        <w:rPr>
          <w:rFonts w:ascii="Times New Roman" w:cs="Times New Roman" w:eastAsia="Times New Roman" w:hAnsi="Times New Roman"/>
          <w:color w:val="00A000"/>
          <w:sz w:val="22"/>
          <w:szCs w:val="22"/>
        </w:rPr>
        <w:t xml:space="preserve"> In the implemented configuration, the threshold is N = |G|, so the demonstrated 2-of-2 approval is an N-of-N case of the threshold condition of Section 8.</w:t>
      </w:r>
      <w:r>
        <w:rPr>
          <w:rFonts w:ascii="Times New Roman" w:cs="Times New Roman" w:eastAsia="Times New Roman" w:hAnsi="Times New Roman"/>
          <w:color w:val="00A000"/>
          <w:sz w:val="22"/>
          <w:szCs w:val="22"/>
        </w:rPr>
        <w:t xml:space="preserve"> As shown in Figure 16, the second approval reaches the 2/2 threshold and the anchoring starts in the background.</w:t>
      </w:r>
      <w:r>
        <w:rPr>
          <w:rFonts w:ascii="Times New Roman" w:cs="Times New Roman" w:eastAsia="Times New Roman" w:hAnsi="Times New Roman"/>
          <w:color w:val="00A000"/>
          <w:sz w:val="22"/>
          <w:szCs w:val="22"/>
        </w:rPr>
        <w:t xml:space="preserve">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color w:val="00A000"/>
          <w:sz w:val="22"/>
          <w:szCs w:val="22"/>
        </w:rPr>
        <w:t xml:space="preserve">Scenario 3: authorised doctor access (validates RQ4).</w:t>
      </w:r>
      <w:r>
        <w:rPr>
          <w:rFonts w:ascii="Times New Roman" w:cs="Times New Roman" w:eastAsia="Times New Roman" w:hAnsi="Times New Roman"/>
          <w:color w:val="00A000"/>
          <w:sz w:val="22"/>
          <w:szCs w:val="22"/>
        </w:rPr>
        <w:t xml:space="preserve"> The doctor enters an authorised Consent ID, and the decision matrix reports the outcome of each predicate individually.</w:t>
      </w:r>
      <w:r>
        <w:rPr>
          <w:rFonts w:ascii="Times New Roman" w:cs="Times New Roman" w:eastAsia="Times New Roman" w:hAnsi="Times New Roman"/>
          <w:color w:val="00A000"/>
          <w:sz w:val="22"/>
          <w:szCs w:val="22"/>
        </w:rPr>
        <w:t xml:space="preserve"> As shown in Figure 17, the five checks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all report PASS for a requester jurisdiction of AU, and the request must then be a non-empty subset of the authorised scope.</w:t>
      </w:r>
      <w:r>
        <w:rPr>
          <w:rFonts w:ascii="Times New Roman" w:cs="Times New Roman" w:eastAsia="Times New Roman" w:hAnsi="Times New Roman"/>
          <w:color w:val="00A000"/>
          <w:sz w:val="22"/>
          <w:szCs w:val="22"/>
        </w:rPr>
        <w:t xml:space="preserve"> The verification also generates and verifies a Groth16 zero-knowledge proof, and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color w:val="00A000"/>
          <w:sz w:val="22"/>
          <w:szCs w:val="22"/>
        </w:rPr>
        <w:t xml:space="preserv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color w:val="00A000"/>
          <w:sz w:val="22"/>
          <w:szCs w:val="22"/>
        </w:rPr>
        <w:t xml:space="preserve">Scenario 4: jurisdiction violation (validates RQ4).</w:t>
      </w:r>
      <w:r>
        <w:rPr>
          <w:rFonts w:ascii="Times New Roman" w:cs="Times New Roman" w:eastAsia="Times New Roman" w:hAnsi="Times New Roman"/>
          <w:color w:val="00A000"/>
          <w:sz w:val="22"/>
          <w:szCs w:val="22"/>
        </w:rPr>
        <w:t xml:space="preserve"> The same doctor repeated the request for the evaluated consent while declaring the requester jurisdiction as SA, whereas the consent was issued for AU.</w:t>
      </w:r>
      <w:r>
        <w:rPr>
          <w:rFonts w:ascii="Times New Roman" w:cs="Times New Roman" w:eastAsia="Times New Roman" w:hAnsi="Times New Roman"/>
          <w:color w:val="00A000"/>
          <w:sz w:val="22"/>
          <w:szCs w:val="22"/>
        </w:rPr>
        <w:t xml:space="preserve"> The decision matrix reports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 FAIL and, consequently, ALLOW = FAIL, although the consent remains ACTIVE and all other checks pass.</w:t>
      </w:r>
      <w:r>
        <w:rPr>
          <w:rFonts w:ascii="Times New Roman" w:cs="Times New Roman" w:eastAsia="Times New Roman" w:hAnsi="Times New Roman"/>
          <w:color w:val="00A000"/>
          <w:sz w:val="22"/>
          <w:szCs w:val="22"/>
        </w:rPr>
        <w:t xml:space="preserve"> As shown in Figure 19, the request is refused with the failed check named explicitly, and the audit ledger records the result DENIED with the complete decision matrix.</w:t>
      </w:r>
      <w:r>
        <w:rPr>
          <w:rFonts w:ascii="Times New Roman" w:cs="Times New Roman" w:eastAsia="Times New Roman" w:hAnsi="Times New Roman"/>
          <w:color w:val="00A000"/>
          <w:sz w:val="22"/>
          <w:szCs w:val="22"/>
        </w:rPr>
        <w:t xml:space="preserve">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color w:val="00A000"/>
          <w:sz w:val="22"/>
          <w:szCs w:val="22"/>
        </w:rPr>
        <w:t xml:space="preserve">Scenario 5: revocation followed by refusal (validates the revocation control of RQ5).</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color w:val="00A000"/>
          <w:sz w:val="22"/>
          <w:szCs w:val="22"/>
        </w:rPr>
        <w:t xml:space="preserve"> A subsequent request by the doctor fails at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because the consent is no longer active.</w:t>
      </w:r>
      <w:r>
        <w:rPr>
          <w:rFonts w:ascii="Times New Roman" w:cs="Times New Roman" w:eastAsia="Times New Roman" w:hAnsi="Times New Roman"/>
          <w:color w:val="00A000"/>
          <w:sz w:val="22"/>
          <w:szCs w:val="22"/>
        </w:rPr>
        <w:t xml:space="preserve"> As shown in Figure 20, the revocation is a publicly verifiable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color w:val="00A000"/>
          <w:sz w:val="22"/>
          <w:szCs w:val="22"/>
        </w:rPr>
        <w:t xml:space="preserve">Scenario 6: audit and independent verification (supports RQ1 to RQ4).</w:t>
      </w:r>
      <w:r>
        <w:rPr>
          <w:rFonts w:ascii="Times New Roman" w:cs="Times New Roman" w:eastAsia="Times New Roman" w:hAnsi="Times New Roman"/>
          <w:color w:val="00A000"/>
          <w:sz w:val="22"/>
          <w:szCs w:val="22"/>
        </w:rPr>
        <w:t xml:space="preserve"> The auditor subsystem reconstructs the complete sequence of events of a consent, and as shown in Figure 21, the exported ledger held 60 events, of which five were anchored on Sepolia.</w:t>
      </w:r>
      <w:r>
        <w:rPr>
          <w:rFonts w:ascii="Times New Roman" w:cs="Times New Roman" w:eastAsia="Times New Roman" w:hAnsi="Times New Roman"/>
          <w:color w:val="00A000"/>
          <w:sz w:val="22"/>
          <w:szCs w:val="22"/>
        </w:rPr>
        <w:t xml:space="preserve"> The rows of the evaluated consent run from CREATE_CONSENT and the guardian signatures through the on-chain mint, the granted and denied access requests, and the revocation.</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w:t>
      </w:r>
      <w:r>
        <w:rPr>
          <w:rFonts w:ascii="Times New Roman" w:cs="Times New Roman" w:eastAsia="Times New Roman" w:hAnsi="Times New Roman"/>
          <w:color w:val="00A000"/>
          <w:sz w:val="22"/>
          <w:szCs w:val="22"/>
        </w:rPr>
        <w:t xml:space="preserv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color w:val="00A000"/>
          <w:sz w:val="22"/>
          <w:szCs w:val="22"/>
        </w:rPr>
        <w:t xml:space="preserve">Table 3 maps the components of the framework to the implemented subsystems.</w:t>
      </w:r>
      <w:r>
        <w:rPr>
          <w:rFonts w:ascii="Times New Roman" w:cs="Times New Roman" w:eastAsia="Times New Roman" w:hAnsi="Times New Roman"/>
          <w:color w:val="00A000"/>
          <w:sz w:val="22"/>
          <w:szCs w:val="22"/>
        </w:rPr>
        <w:t xml:space="preserve">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color w:val="00A000"/>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Two of them belong to an earlier trial consent on the previous contract deployment, and three belong to the current ConsentSBTv3 deployment.</w:t>
      </w:r>
      <w:r>
        <w:rPr>
          <w:rFonts w:ascii="Times New Roman" w:cs="Times New Roman" w:eastAsia="Times New Roman" w:hAnsi="Times New Roman"/>
          <w:color w:val="00A000"/>
          <w:sz w:val="22"/>
          <w:szCs w:val="22"/>
        </w:rPr>
        <w:t xml:space="preserve"> Gas used, gas price, and fee are read from the transaction receipts.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Figure 23 compares the gas used by the five transactions.</w:t>
      </w:r>
      <w:r>
        <w:rPr>
          <w:rFonts w:ascii="Times New Roman" w:cs="Times New Roman" w:eastAsia="Times New Roman" w:hAnsi="Times New Roman"/>
          <w:color w:val="00A000"/>
          <w:sz w:val="22"/>
          <w:szCs w:val="22"/>
        </w:rPr>
        <w:t xml:space="preserve"> On the current contract, the mint of token #1 used 196,406 gas, whereas its revocation used 32,980 gas, which is about one sixth of the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The gas price remained between 1.04 and 1.10 gwei, so no fee exceeded 0.00021 ETH.</w:t>
      </w:r>
      <w:r>
        <w:rPr>
          <w:rFonts w:ascii="Times New Roman" w:cs="Times New Roman" w:eastAsia="Times New Roman" w:hAnsi="Times New Roman"/>
          <w:color w:val="00A000"/>
          <w:sz w:val="22"/>
          <w:szCs w:val="22"/>
        </w:rPr>
        <w:t xml:space="preserve"> However, Sepolia ether has no monetary value, so the portable measure of cost is the gas used rather than the fee.</w:t>
      </w:r>
      <w:r>
        <w:rPr>
          <w:rFonts w:ascii="Times New Roman" w:cs="Times New Roman" w:eastAsia="Times New Roman" w:hAnsi="Times New Roman"/>
          <w:color w:val="00A000"/>
          <w:sz w:val="22"/>
          <w:szCs w:val="22"/>
        </w:rPr>
        <w:t xml:space="preserv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color w:val="00A000"/>
          <w:sz w:val="22"/>
          <w:szCs w:val="22"/>
        </w:rPr>
        <w:t xml:space="preserve">Table 5 presents the access decisions recorded in the audit ledger.</w:t>
      </w:r>
      <w:r>
        <w:rPr>
          <w:rFonts w:ascii="Times New Roman" w:cs="Times New Roman" w:eastAsia="Times New Roman" w:hAnsi="Times New Roman"/>
          <w:color w:val="00A000"/>
          <w:sz w:val="22"/>
          <w:szCs w:val="22"/>
        </w:rPr>
        <w:t xml:space="preserve"> Each of the five logged ALLOW decisions was followed by a GRANTED access, and all five record the proof mode groth16.</w:t>
      </w:r>
      <w:r>
        <w:rPr>
          <w:rFonts w:ascii="Times New Roman" w:cs="Times New Roman" w:eastAsia="Times New Roman" w:hAnsi="Times New Roman"/>
          <w:color w:val="00A000"/>
          <w:sz w:val="22"/>
          <w:szCs w:val="22"/>
        </w:rPr>
        <w:t xml:space="preserve"> The single logged DENY is the jurisdiction scenario, in which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failed while the other four predicates passed, and its ledger row records the proof check as passed and the scope as valid.</w:t>
      </w:r>
      <w:r>
        <w:rPr>
          <w:rFonts w:ascii="Times New Roman" w:cs="Times New Roman" w:eastAsia="Times New Roman" w:hAnsi="Times New Roman"/>
          <w:color w:val="00A000"/>
          <w:sz w:val="22"/>
          <w:szCs w:val="22"/>
        </w:rPr>
        <w:t xml:space="preserve"> Consequently, the refusal was produced by the decision matrix alone, and each of the six logged matrices agrees with the access result that followed it.</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and the decision rule was timed over 1,000 evaluations of the five predicates on a loaded consent object, without signature recovery.</w:t>
      </w:r>
      <w:r>
        <w:rPr>
          <w:rFonts w:ascii="Times New Roman" w:cs="Times New Roman" w:eastAsia="Times New Roman" w:hAnsi="Times New Roman"/>
          <w:color w:val="00A000"/>
          <w:sz w:val="22"/>
          <w:szCs w:val="22"/>
        </w:rPr>
        <w:t xml:space="preserve">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with a median of 2.37 µs, and signature recovery takes about 11 ms per guardian.</w:t>
      </w:r>
      <w:r>
        <w:rPr>
          <w:rFonts w:ascii="Times New Roman" w:cs="Times New Roman" w:eastAsia="Times New Roman" w:hAnsi="Times New Roman"/>
          <w:color w:val="00A000"/>
          <w:sz w:val="22"/>
          <w:szCs w:val="22"/>
        </w:rPr>
        <w:t xml:space="preserve"> The Groth16 proof dominates the interactive path of an access request, with medians of 1,401.1 ms for generation and 465.3 ms for verification, which include process start-up as well as cryptographic work.</w:t>
      </w:r>
      <w:r>
        <w:rPr>
          <w:rFonts w:ascii="Times New Roman" w:cs="Times New Roman" w:eastAsia="Times New Roman" w:hAnsi="Times New Roman"/>
          <w:color w:val="00A000"/>
          <w:sz w:val="22"/>
          <w:szCs w:val="22"/>
        </w:rPr>
        <w:t xml:space="preserve"> At the median, one access request takes about 1.9 s in total, and more than 98 per cent of this time is spent on the proof.</w:t>
      </w:r>
      <w:r>
        <w:rPr>
          <w:rFonts w:ascii="Times New Roman" w:cs="Times New Roman" w:eastAsia="Times New Roman" w:hAnsi="Times New Roman"/>
          <w:color w:val="00A000"/>
          <w:sz w:val="22"/>
          <w:szCs w:val="22"/>
        </w:rPr>
        <w:t xml:space="preserve">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color w:val="00A000"/>
          <w:sz w:val="22"/>
          <w:szCs w:val="22"/>
        </w:rPr>
        <w:t xml:space="preserve">The adversarial tests assume honest infrastructure and exercise the decision functions, the proof verifier, the digest function of the audit ledger, and the contract at unit level.</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w:t>
      </w:r>
      <w:r>
        <w:rPr>
          <w:rFonts w:ascii="Times New Roman" w:cs="Times New Roman" w:eastAsia="Times New Roman" w:hAnsi="Times New Roman"/>
          <w:color w:val="00A000"/>
          <w:sz w:val="22"/>
          <w:szCs w:val="22"/>
        </w:rPr>
        <w:t xml:space="preserve"> For example, the interface authenticates no role, and each guardian signing key is derived from the public guardian DID.</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color w:val="00A000"/>
          <w:sz w:val="22"/>
          <w:szCs w:val="22"/>
        </w:rPr>
        <w:t xml:space="preserve">The twelve scenarios A1 to A12 together target every component of C and the contract at least once, and each is an automated unit test that applies the attack directly to the targeted component.</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r>
        <w:rPr>
          <w:rFonts w:ascii="Times New Roman" w:cs="Times New Roman" w:eastAsia="Times New Roman" w:hAnsi="Times New Roman"/>
          <w:color w:val="00A000"/>
          <w:sz w:val="22"/>
          <w:szCs w:val="22"/>
        </w:rPr>
        <w:t xml:space="preserve"> None of the tests drives the running application, its data store, or the Sepolia deployment.</w:t>
      </w:r>
    </w:p>
    <w:p>
      <w:pPr>
        <w:spacing w:after="110" w:line="264"/>
        <w:jc w:val="both"/>
      </w:pPr>
      <w:r>
        <w:rPr>
          <w:rFonts w:ascii="Times New Roman" w:cs="Times New Roman" w:eastAsia="Times New Roman" w:hAnsi="Times New Roman"/>
          <w:color w:val="00A000"/>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w:t>
      </w:r>
      <w:r>
        <w:rPr>
          <w:rFonts w:ascii="Times New Roman" w:cs="Times New Roman" w:eastAsia="Times New Roman" w:hAnsi="Times New Roman"/>
          <w:color w:val="00A000"/>
          <w:sz w:val="22"/>
          <w:szCs w:val="22"/>
        </w:rPr>
        <w:t xml:space="preserve"> Before the hardening, three attacks were accepted when the service functions were called directly, namely an approval from a signer outside G (A1), a repeated approval from the same guardian (A3), and an empty request scope (A5).</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color w:val="00A000"/>
          <w:sz w:val="22"/>
          <w:szCs w:val="22"/>
        </w:rPr>
        <w:t xml:space="preserve"> Accordingly, the service layer now counts only distinct approvals from members of G and requires a non-empty request within the authorised scope.</w:t>
      </w:r>
      <w:r>
        <w:rPr>
          <w:rFonts w:ascii="Times New Roman" w:cs="Times New Roman" w:eastAsia="Times New Roman" w:hAnsi="Times New Roman"/>
          <w:color w:val="00A000"/>
          <w:sz w:val="22"/>
          <w:szCs w:val="22"/>
        </w:rPr>
        <w:t xml:space="preserve"> After this hardening, eleven of the twelve scenarios are refused, and the full suite of 36 tests passes, comprising the 23 functional and regression tests and the 13 adversarial tests.</w:t>
      </w:r>
      <w:r>
        <w:rPr>
          <w:rFonts w:ascii="Times New Roman" w:cs="Times New Roman" w:eastAsia="Times New Roman" w:hAnsi="Times New Roman"/>
          <w:color w:val="00A000"/>
          <w:sz w:val="22"/>
          <w:szCs w:val="22"/>
        </w:rPr>
        <w:t xml:space="preserve">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r>
        <w:rPr>
          <w:rFonts w:ascii="Times New Roman" w:cs="Times New Roman" w:eastAsia="Times New Roman" w:hAnsi="Times New Roman"/>
          <w:color w:val="00A000"/>
          <w:sz w:val="22"/>
          <w:szCs w:val="22"/>
        </w:rPr>
        <w:t xml:space="preserve">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color w:val="00A000"/>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Formal assurance.</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color w:val="00A000"/>
          <w:sz w:val="22"/>
          <w:szCs w:val="22"/>
        </w:rPr>
        <w:t xml:space="preserve">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Extended adversarial evaluation.</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color w:val="00A000"/>
          <w:sz w:val="22"/>
          <w:szCs w:val="22"/>
        </w:rPr>
        <w:t xml:space="preserve">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color w:val="00A000"/>
          <w:sz w:val="22"/>
          <w:szCs w:val="22"/>
        </w:rPr>
        <w:t xml:space="preserve">The research is disseminated through three publications.</w:t>
      </w:r>
      <w:r>
        <w:rPr>
          <w:rFonts w:ascii="Times New Roman" w:cs="Times New Roman" w:eastAsia="Times New Roman" w:hAnsi="Times New Roman"/>
          <w:color w:val="00A000"/>
          <w:sz w:val="22"/>
          <w:szCs w:val="22"/>
        </w:rPr>
        <w:t xml:space="preserve">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second and third publications build directly on the material of this report.</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color w:val="00A000"/>
          <w:sz w:val="22"/>
          <w:szCs w:val="22"/>
        </w:rPr>
        <w:t xml:space="preserve">The research plan is divided into the work completed at the CA2 milestone and the work planned for the remainder of the candidature, and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26, the chapters on the research foundation, the architecture, and the proposed solution for RQ1 to RQ4 are complete, and the first publication was submitted to BWCCA 2026 in September 2026.</w:t>
      </w:r>
      <w:r>
        <w:rPr>
          <w:rFonts w:ascii="Times New Roman" w:cs="Times New Roman" w:eastAsia="Times New Roman" w:hAnsi="Times New Roman"/>
          <w:color w:val="00A000"/>
          <w:sz w:val="22"/>
          <w:szCs w:val="22"/>
        </w:rPr>
        <w:t xml:space="preserve"> The coming stage concentrates on RQ5 and RQ6.</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color w:val="00A000"/>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2026-10-02T14:49:32.607Z</dcterms:created>
  <dcterms:modified xsi:type="dcterms:W3CDTF">2026-10-02T14:49:32.607Z</dcterms:modified>
</cp:coreProperties>
</file>

<file path=docProps/custom.xml><?xml version="1.0" encoding="utf-8"?>
<Properties xmlns="http://schemas.openxmlformats.org/officeDocument/2006/custom-properties" xmlns:vt="http://schemas.openxmlformats.org/officeDocument/2006/docPropsVTypes"/>
</file>