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HALAH System and Workflow</w:t>
      </w:r>
    </w:p>
    <w:p>
      <w:pPr>
        <w:spacing w:after="160" w:line="300"/>
        <w:jc w:val="both"/>
      </w:pPr>
      <w: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60" w:line="300"/>
        <w:jc w:val="both"/>
      </w:pPr>
      <w:r>
        <w:t xml:space="preserve">The activation and revocation of a consent are not confined to the application. Instead, they are executed as real transactions on the </w:t>
      </w:r>
      <w:r>
        <w:rPr>
          <w:b/>
          <w:bCs/>
        </w:rPr>
        <w:t xml:space="preserve">Ethereum Sepolia</w:t>
      </w:r>
      <w: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sz w:val="22"/>
          <w:szCs w:val="22"/>
        </w:rPr>
        <w:t xml:space="preserve">→ Doctor Access → Consent Revocation → Independent Audit</w:t>
      </w:r>
    </w:p>
    <w:p>
      <w:pPr>
        <w:spacing w:after="160" w:line="300"/>
        <w:jc w:val="both"/>
      </w:pPr>
      <w: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60" w:line="300"/>
        <w:jc w:val="both"/>
      </w:pPr>
      <w:r>
        <w:rPr>
          <w:color w:val="C00000"/>
        </w:rPr>
        <w:t xml:space="preserve">This operational sequence realises the trust-oriented authorisation model developed in the accompanying research report. The consent object of Eq. (51), the identity and authority verification of Algorithm 2, the threshold-based multi-party authorisation of Algorithm 3, and the trust-predicate evaluation of Figure 5 of that report are each exercised in this workflow by a real transaction on the Ethereum Sepolia test network, so the conceptual model and the running system can be verified against one another.</w:t>
      </w:r>
    </w:p>
    <w:p>
      <w:pPr>
        <w:pStyle w:val="Heading1"/>
        <w:spacing w:after="160" w:before="320"/>
      </w:pPr>
      <w:r>
        <w:t xml:space="preserve">1. HALAH System</w:t>
      </w:r>
    </w:p>
    <w:p>
      <w:pPr>
        <w:spacing w:after="160" w:line="300"/>
        <w:jc w:val="both"/>
      </w:pPr>
      <w: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60" w:line="300"/>
        <w:jc w:val="both"/>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60" w:line="300"/>
        <w:jc w:val="both"/>
      </w:pPr>
      <w: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20"/>
        <w:jc w:val="center"/>
      </w:pPr>
      <w:r>
        <w:drawing>
          <wp:inline distT="0" distB="0" distL="0" distR="0">
            <wp:extent cx="5715000" cy="3257550"/>
            <wp:effectExtent t="0" r="0" b="0" l="0"/>
            <wp:docPr id="1" name="n_compile" descr="Compilation of ConsentSBTv3 in Remix: the compiler reports a successful compilation and the contract is selected for deplo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180"/>
        <w:jc w:val="center"/>
      </w:pPr>
      <w:r>
        <w:rPr>
          <w:b/>
          <w:bCs/>
          <w:i/>
          <w:iCs/>
          <w:sz w:val="19"/>
          <w:szCs w:val="19"/>
        </w:rPr>
        <w:t xml:space="preserve">Figure 1. </w:t>
      </w:r>
      <w:r>
        <w:rPr>
          <w:i/>
          <w:iCs/>
          <w:sz w:val="19"/>
          <w:szCs w:val="19"/>
        </w:rPr>
        <w:t xml:space="preserve">Compilation of ConsentSBTv3 in Remix: the compiler reports a successful compilation and the contract is selected for deployment.</w:t>
      </w:r>
    </w:p>
    <w:p>
      <w:pPr>
        <w:spacing w:after="160" w:line="300"/>
        <w:jc w:val="both"/>
      </w:pPr>
      <w:r>
        <w:t xml:space="preserve">As shown in the figure above, the consent token contract, </w:t>
      </w:r>
      <w:r>
        <w:rPr>
          <w:b/>
          <w:bCs/>
        </w:rPr>
        <w:t xml:space="preserve">ConsentSBTv3</w:t>
      </w:r>
      <w: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20"/>
        <w:jc w:val="center"/>
      </w:pPr>
      <w:r>
        <w:drawing>
          <wp:inline distT="0" distB="0" distL="0" distR="0">
            <wp:extent cx="5334000" cy="5124450"/>
            <wp:effectExtent t="0" r="0" b="0" l="0"/>
            <wp:docPr id="1" name="g_deploy" descr="Deployment of ConsentSBTv3 from Remix through MetaMask on the Sepolia networ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24450"/>
                    </a:xfrm>
                    <a:prstGeom prst="rect">
                      <a:avLst/>
                    </a:prstGeom>
                  </pic:spPr>
                </pic:pic>
              </a:graphicData>
            </a:graphic>
          </wp:inline>
        </w:drawing>
      </w:r>
    </w:p>
    <w:p>
      <w:pPr>
        <w:spacing w:after="180"/>
        <w:jc w:val="center"/>
      </w:pPr>
      <w:r>
        <w:rPr>
          <w:b/>
          <w:bCs/>
          <w:i/>
          <w:iCs/>
          <w:sz w:val="19"/>
          <w:szCs w:val="19"/>
        </w:rPr>
        <w:t xml:space="preserve">Figure 2. </w:t>
      </w:r>
      <w:r>
        <w:rPr>
          <w:i/>
          <w:iCs/>
          <w:sz w:val="19"/>
          <w:szCs w:val="19"/>
        </w:rPr>
        <w:t xml:space="preserve">Deployment of ConsentSBTv3 from Remix through MetaMask on the Sepolia network.</w:t>
      </w:r>
    </w:p>
    <w:p>
      <w:pPr>
        <w:spacing w:after="160" w:line="300"/>
        <w:jc w:val="both"/>
      </w:pPr>
      <w: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20"/>
        <w:jc w:val="center"/>
      </w:pPr>
      <w:r>
        <w:drawing>
          <wp:inline distT="0" distB="0" distL="0" distR="0">
            <wp:extent cx="5524500" cy="4105275"/>
            <wp:effectExtent t="0" r="0" b="0" l="0"/>
            <wp:docPr id="1" name="n_verified" descr="Remix after deployment: the contract appears under Deployed Contracts and the source verification service reports Verification Successfu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05275"/>
                    </a:xfrm>
                    <a:prstGeom prst="rect">
                      <a:avLst/>
                    </a:prstGeom>
                  </pic:spPr>
                </pic:pic>
              </a:graphicData>
            </a:graphic>
          </wp:inline>
        </w:drawing>
      </w:r>
    </w:p>
    <w:p>
      <w:pPr>
        <w:spacing w:after="180"/>
        <w:jc w:val="center"/>
      </w:pPr>
      <w:r>
        <w:rPr>
          <w:b/>
          <w:bCs/>
          <w:i/>
          <w:iCs/>
          <w:sz w:val="19"/>
          <w:szCs w:val="19"/>
        </w:rPr>
        <w:t xml:space="preserve">Figure 3. </w:t>
      </w:r>
      <w:r>
        <w:rPr>
          <w:i/>
          <w:iCs/>
          <w:sz w:val="19"/>
          <w:szCs w:val="19"/>
        </w:rPr>
        <w:t xml:space="preserve">Remix after deployment: the contract appears under Deployed Contracts and the source verification service reports Verification Successful.</w:t>
      </w:r>
    </w:p>
    <w:p>
      <w:pPr>
        <w:spacing w:after="160" w:line="300"/>
        <w:jc w:val="both"/>
      </w:pPr>
      <w: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20"/>
        <w:jc w:val="center"/>
      </w:pPr>
      <w:r>
        <w:drawing>
          <wp:inline distT="0" distB="0" distL="0" distR="0">
            <wp:extent cx="5905500" cy="2571750"/>
            <wp:effectExtent t="0" r="0" b="0" l="0"/>
            <wp:docPr id="1" name="g_etherscan" descr="The deployed contract on Sepolia Etherscan, with the creator wallet, the MedicalConsent (CONSENT) token tracker and the first mint transa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180"/>
        <w:jc w:val="center"/>
      </w:pPr>
      <w:r>
        <w:rPr>
          <w:b/>
          <w:bCs/>
          <w:i/>
          <w:iCs/>
          <w:sz w:val="19"/>
          <w:szCs w:val="19"/>
        </w:rPr>
        <w:t xml:space="preserve">Figure 4. </w:t>
      </w:r>
      <w:r>
        <w:rPr>
          <w:i/>
          <w:iCs/>
          <w:sz w:val="19"/>
          <w:szCs w:val="19"/>
        </w:rPr>
        <w:t xml:space="preserve">The deployed contract on Sepolia Etherscan, with the creator wallet, the MedicalConsent (CONSENT) token tracker and the first mint transaction.</w:t>
      </w:r>
    </w:p>
    <w:p>
      <w:pPr>
        <w:spacing w:after="160" w:line="300"/>
        <w:jc w:val="left"/>
      </w:pPr>
      <w:r>
        <w:t xml:space="preserve">As shown in the figure above, the deployed contract is publicly listed at </w:t>
      </w:r>
      <w:hyperlink w:history="1" r:id="rId_jnqreay-wxjiy1dyks07">
        <w:r>
          <w:rPr>
            <w:rStyle w:val="Hyperlink"/>
          </w:rPr>
          <w:t xml:space="preserve">0x0EC3617581DEC63A7f2bb162DC14d088916ADc73</w:t>
        </w:r>
      </w:hyperlink>
      <w:r>
        <w:t xml:space="preserve"> together with its creator wallet and the token tracker MedicalConsent (CONSENT). Consequently, the existence of the consent registry itself, and every activation or revocation recorded on it, can be inspected independently of the HALAH application.</w:t>
      </w:r>
    </w:p>
    <w:p>
      <w:pPr>
        <w:pStyle w:val="Heading1"/>
        <w:spacing w:after="160" w:before="320"/>
      </w:pPr>
      <w:r>
        <w:t xml:space="preserve">2. Create Smart Consent Contract: Patient Subsystem</w:t>
      </w:r>
    </w:p>
    <w:p>
      <w:pPr>
        <w:spacing w:after="160" w:line="300"/>
        <w:jc w:val="both"/>
      </w:pPr>
      <w:r>
        <w:t xml:space="preserve">The first functional subsystem is the Create Smart Consent Contract module. This module represents the patient-side initiation of a consent transaction and corresponds directly to the construction of the proposed consent object.</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sz w:val="22"/>
          <w:szCs w:val="22"/>
        </w:rPr>
        <w:t xml:space="preserve">C = (I, A, P, T, L, E)</w:t>
      </w:r>
    </w:p>
    <w:p>
      <w:pPr>
        <w:spacing w:after="160" w:line="300"/>
        <w:jc w:val="both"/>
      </w:pPr>
      <w: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60" w:line="300"/>
        <w:jc w:val="both"/>
      </w:pPr>
      <w:r>
        <w:rPr>
          <w:color w:val="C00000"/>
        </w:rPr>
        <w:t xml:space="preserve">The form fields therefore instantiate the consent object of the research report. The demonstrated representation extends the four-component object C = (I, A, P, E) of Eq. (51) to C = (I, A, P, T, L, E), in which the temporal validity window T = [ts, te] and the jurisdiction L are stored on-chain by the deployed ConsentSBTv3 contract and evaluated at every access decision.</w:t>
      </w: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b/>
          <w:bCs/>
          <w:i/>
          <w:iCs/>
          <w:sz w:val="19"/>
          <w:szCs w:val="19"/>
        </w:rPr>
        <w:t xml:space="preserve">Figure 5. </w:t>
      </w: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60" w:line="300"/>
        <w:jc w:val="both"/>
      </w:pPr>
      <w: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60" w:line="300"/>
        <w:jc w:val="both"/>
      </w:pPr>
      <w: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60" w:line="300"/>
        <w:jc w:val="both"/>
      </w:pPr>
      <w:r>
        <w:t xml:space="preserve">Two consent lifecycles appear in the demonstration and should be distinguished. The evaluated consent, f050c29a, was carried through the complete lifecycle — activation as </w:t>
      </w:r>
      <w:r>
        <w:rPr>
          <w:b/>
          <w:bCs/>
        </w:rPr>
        <w:t xml:space="preserve">token #1</w:t>
      </w:r>
      <w: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b/>
          <w:bCs/>
        </w:rPr>
        <w:t xml:space="preserve">token #2</w:t>
      </w:r>
      <w:r>
        <w:t xml:space="preserve"> in block 11,771,581). The two lifecycles were executed with the same code and the same contract.</w:t>
      </w:r>
    </w:p>
    <w:p>
      <w:pPr>
        <w:spacing w:after="160" w:line="300"/>
        <w:jc w:val="both"/>
      </w:pPr>
      <w:r>
        <w:t xml:space="preserve">From a system perspective, this module therefore corresponds primarily to </w:t>
      </w:r>
      <w:r>
        <w:rPr>
          <w:b/>
          <w:bCs/>
        </w:rPr>
        <w:t xml:space="preserve">Consent Object Construction and Patient Initiation</w:t>
      </w:r>
      <w:r>
        <w:t xml:space="preserve">.</w:t>
      </w:r>
    </w:p>
    <w:p>
      <w:pPr>
        <w:pStyle w:val="Heading1"/>
        <w:spacing w:after="160" w:before="320"/>
      </w:pPr>
      <w:r>
        <w:t xml:space="preserve">3. Guardian Cryptographic Approval</w:t>
      </w:r>
    </w:p>
    <w:p>
      <w:pPr>
        <w:spacing w:after="160" w:line="300"/>
        <w:jc w:val="both"/>
      </w:pPr>
      <w:r>
        <w:t xml:space="preserve">The second part is the Guardian Cryptographic Approval. As shown in the figure below, it operationalises the multi-party authorisation component of the proposed framework.</w:t>
      </w:r>
    </w:p>
    <w:p>
      <w:pPr>
        <w:keepNext/>
        <w:spacing w:after="60" w:before="120"/>
        <w:jc w:val="center"/>
      </w:pPr>
      <w:r>
        <w:drawing>
          <wp:inline distT="0" distB="0" distL="0" distR="0">
            <wp:extent cx="5334000" cy="1914525"/>
            <wp:effectExtent t="0" r="0" b="0" l="0"/>
            <wp:docPr id="1" name="n_guardA" descr="The guardian subsystem at the first approval: the EIP-712 signature of did:parent:A is verified and the multi-signature count is 1/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14525"/>
                    </a:xfrm>
                    <a:prstGeom prst="rect">
                      <a:avLst/>
                    </a:prstGeom>
                  </pic:spPr>
                </pic:pic>
              </a:graphicData>
            </a:graphic>
          </wp:inline>
        </w:drawing>
      </w:r>
    </w:p>
    <w:p>
      <w:pPr>
        <w:spacing w:after="180"/>
        <w:jc w:val="center"/>
      </w:pPr>
      <w:r>
        <w:rPr>
          <w:b/>
          <w:bCs/>
          <w:i/>
          <w:iCs/>
          <w:sz w:val="19"/>
          <w:szCs w:val="19"/>
        </w:rPr>
        <w:t xml:space="preserve">Figure 6. </w:t>
      </w: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b/>
          <w:bCs/>
          <w:i/>
          <w:iCs/>
          <w:sz w:val="19"/>
          <w:szCs w:val="19"/>
        </w:rPr>
        <w:t xml:space="preserve">Figure 7. </w:t>
      </w: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60" w:line="300"/>
        <w:jc w:val="both"/>
      </w:pPr>
      <w:r>
        <w:rPr>
          <w:color w:val="C00000"/>
        </w:rPr>
        <w:t xml:space="preserve">Each approval is evaluated by the procedure formalised in Algorithm 3 of the research report.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|Av| ≥ N of Eq. (54).</w:t>
      </w:r>
    </w:p>
    <w:p>
      <w:pPr>
        <w:spacing w:after="160" w:line="300"/>
        <w:jc w:val="both"/>
      </w:pPr>
      <w:r>
        <w:t xml:space="preserve">The subsystem subsequently reports:</w:t>
      </w:r>
    </w:p>
    <w:p>
      <w:pPr>
        <w:spacing w:after="160" w:line="300"/>
        <w:jc w:val="center"/>
      </w:pPr>
      <w:r>
        <w:t xml:space="preserve">EIP-712 signature verified (signer 0x39B12b87…). Multi-sig: 2/2</w:t>
      </w:r>
    </w:p>
    <w:p>
      <w:pPr>
        <w:spacing w:after="160" w:line="300"/>
        <w:jc w:val="both"/>
      </w:pPr>
      <w: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sz w:val="22"/>
          <w:szCs w:val="22"/>
        </w:rPr>
        <w:t xml:space="preserve">ALLOW = VI ∧ VA ∧ VP ∧ VT ∧ VL</w:t>
      </w:r>
    </w:p>
    <w:p>
      <w:pPr>
        <w:spacing w:after="160" w:line="300"/>
        <w:jc w:val="both"/>
      </w:pPr>
      <w: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334000" cy="2657475"/>
            <wp:effectExtent t="0" r="0" b="0" l="0"/>
            <wp:docPr id="1" name="n_anchoring" descr="The guardian subsystem while the mint transaction is pending: the 2/2 threshold is reached but not yet anchored, the anchoring runs in the background, and a repeated signature from the same guardian is refus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pacing w:after="180"/>
        <w:jc w:val="center"/>
      </w:pPr>
      <w:r>
        <w:rPr>
          <w:b/>
          <w:bCs/>
          <w:i/>
          <w:iCs/>
          <w:sz w:val="19"/>
          <w:szCs w:val="19"/>
        </w:rPr>
        <w:t xml:space="preserve">Figure 8. </w:t>
      </w:r>
      <w:r>
        <w:rPr>
          <w:i/>
          <w:iCs/>
          <w:sz w:val="19"/>
          <w:szCs w:val="19"/>
        </w:rPr>
        <w:t xml:space="preserve">The guardian subsystem while the mint transaction is pending: the 2/2 threshold is reached but not yet anchored, the anchoring runs in the background, and a repeated signature from the same guardian is refused.</w:t>
      </w:r>
    </w:p>
    <w:p>
      <w:pPr>
        <w:spacing w:after="160" w:line="300"/>
        <w:jc w:val="both"/>
      </w:pPr>
      <w: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20"/>
        <w:jc w:val="center"/>
      </w:pPr>
      <w:r>
        <w:drawing>
          <wp:inline distT="0" distB="0" distL="0" distR="0">
            <wp:extent cx="5143500" cy="1828800"/>
            <wp:effectExtent t="0" r="0" b="0" l="0"/>
            <wp:docPr id="1" name="M2b" descr="The guardian subsystem revisited after the background job has completed: 'Already anchored on Sepolia - token #2'."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828800"/>
                    </a:xfrm>
                    <a:prstGeom prst="rect">
                      <a:avLst/>
                    </a:prstGeom>
                  </pic:spPr>
                </pic:pic>
              </a:graphicData>
            </a:graphic>
          </wp:inline>
        </w:drawing>
      </w:r>
    </w:p>
    <w:p>
      <w:pPr>
        <w:spacing w:after="180"/>
        <w:jc w:val="center"/>
      </w:pPr>
      <w:r>
        <w:rPr>
          <w:b/>
          <w:bCs/>
          <w:i/>
          <w:iCs/>
          <w:sz w:val="19"/>
          <w:szCs w:val="19"/>
        </w:rPr>
        <w:t xml:space="preserve">Figure 9. </w:t>
      </w:r>
      <w:r>
        <w:rPr>
          <w:i/>
          <w:iCs/>
          <w:sz w:val="19"/>
          <w:szCs w:val="19"/>
        </w:rPr>
        <w:t xml:space="preserve">The guardian subsystem revisited after the background job has completed: 'Already anchored on Sepolia - token #2'.</w:t>
      </w:r>
    </w:p>
    <w:p>
      <w:pPr>
        <w:spacing w:after="160" w:line="300"/>
        <w:jc w:val="both"/>
      </w:pPr>
      <w: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20"/>
        <w:jc w:val="center"/>
      </w:pPr>
      <w:r>
        <w:drawing>
          <wp:inline distT="0" distB="0" distL="0" distR="0">
            <wp:extent cx="5905500" cy="4314825"/>
            <wp:effectExtent t="0" r="0" b="0" l="0"/>
            <wp:docPr id="1" name="M3" descr="The anchoring transaction of the evaluated consent on Sepolia Etherscan: status Success, block 11,771,243, 'Mint 1 of MedicalConsent' to the pseudonymous patient address (function selector 0x1e1e7c76, mintConsentV3)."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314825"/>
                    </a:xfrm>
                    <a:prstGeom prst="rect">
                      <a:avLst/>
                    </a:prstGeom>
                  </pic:spPr>
                </pic:pic>
              </a:graphicData>
            </a:graphic>
          </wp:inline>
        </w:drawing>
      </w:r>
    </w:p>
    <w:p>
      <w:pPr>
        <w:spacing w:after="180"/>
        <w:jc w:val="center"/>
      </w:pPr>
      <w:r>
        <w:rPr>
          <w:b/>
          <w:bCs/>
          <w:i/>
          <w:iCs/>
          <w:sz w:val="19"/>
          <w:szCs w:val="19"/>
        </w:rPr>
        <w:t xml:space="preserve">Figure 10. </w:t>
      </w: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left"/>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w:t>
      </w:r>
      <w:hyperlink w:history="1" r:id="rIdkbjafxrfmxvivfcg9fdru">
        <w:r>
          <w:rPr>
            <w:rStyle w:val="Hyperlink"/>
          </w:rPr>
          <w:t xml:space="preserve">Etherscan: mint transaction</w:t>
        </w:r>
      </w:hyperlink>
      <w:r>
        <w:t xml:space="preserve">. This provides an implementation-level demonstration that consent activation can be verified independently of the application.</w:t>
      </w:r>
    </w:p>
    <w:p>
      <w:pPr>
        <w:spacing w:after="160" w:line="300"/>
        <w:jc w:val="both"/>
      </w:pPr>
      <w:r>
        <w:t xml:space="preserve">The guardian subsystem consequently corresponds to </w:t>
      </w:r>
      <w:r>
        <w:rPr>
          <w:b/>
          <w:bCs/>
        </w:rPr>
        <w:t xml:space="preserve">Multi-Party Approval, Cryptographic Verification and Consent Activation</w:t>
      </w:r>
      <w:r>
        <w:t xml:space="preserve"> in the proposed architecture.</w:t>
      </w:r>
    </w:p>
    <w:p>
      <w:pPr>
        <w:pStyle w:val="Heading1"/>
        <w:spacing w:after="160" w:before="320"/>
      </w:pPr>
      <w:r>
        <w:t xml:space="preserve">4. Secure Patient Data Access for Doctor</w:t>
      </w:r>
    </w:p>
    <w:p>
      <w:pPr>
        <w:spacing w:after="160" w:line="300"/>
        <w:jc w:val="both"/>
      </w:pPr>
      <w:r>
        <w:t xml:space="preserve">The third module is the Secure Patient Data Access module and represents the healthcare-provider side of the authorisation process.</w:t>
      </w:r>
    </w:p>
    <w:p>
      <w:pPr>
        <w:spacing w:after="160" w:line="300"/>
        <w:jc w:val="both"/>
      </w:pPr>
      <w: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sz w:val="22"/>
          <w:szCs w:val="22"/>
        </w:rPr>
        <w:t xml:space="preserve">State = ACTIVE</w:t>
      </w:r>
    </w:p>
    <w:p>
      <w:pPr>
        <w:spacing w:after="160" w:line="300"/>
        <w:jc w:val="both"/>
      </w:pPr>
      <w: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20"/>
        <w:jc w:val="center"/>
      </w:pPr>
      <w:r>
        <w:drawing>
          <wp:inline distT="0" distB="0" distL="0" distR="0">
            <wp:extent cx="5334000" cy="4200525"/>
            <wp:effectExtent t="0" r="0" b="0" l="0"/>
            <wp:docPr id="1" name="g_doc_au" descr="The doctor subsystem with requester jurisdiction AU (the evaluated consent f050c29a, captured before its revocation): all five checks report PASS, ALLOW = PASS, and the consent state is ACTIV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11. </w:t>
      </w:r>
      <w:r>
        <w:rPr>
          <w:i/>
          <w:iCs/>
          <w:sz w:val="19"/>
          <w:szCs w:val="19"/>
        </w:rPr>
        <w:t xml:space="preserve">The doctor subsystem with requester jurisdiction AU (the evaluated consent f050c29a, captured before its revocation): all five checks report PASS,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line="300"/>
        <w:jc w:val="both"/>
      </w:pPr>
      <w:r>
        <w:rPr>
          <w:color w:val="C00000"/>
        </w:rPr>
        <w:t xml:space="preserve">The five columns of the decision matrix are the operational form of the decision rule Decision(C, R) = ALLOW ⟺ VI(u) ∧ VA(C) ∧ VP(C, R) ∧ VT(C, t) ∧ VL(C), which extends the three-predicate rule of Eq. (59) in the research report with the temporal and jurisdictional verdicts. The jurisdiction predicate is satisfied if and only if the requester's declared jurisdiction equals the jurisdiction recorded in the consent, which the SA-jurisdiction denial of Section 5 demonstrates empirically.</w:t>
      </w:r>
    </w:p>
    <w:p>
      <w:pPr>
        <w:keepNext/>
        <w:spacing w:after="60" w:before="120"/>
        <w:jc w:val="center"/>
      </w:pPr>
      <w:r>
        <w:drawing>
          <wp:inline distT="0" distB="0" distL="0" distR="0">
            <wp:extent cx="3429000" cy="4848225"/>
            <wp:effectExtent t="0" r="0" b="0" l="0"/>
            <wp:docPr id="1" name="predicate_flow" descr="Trust Predicate Evaluation and Authorisation Decision Flow, as enforced by the implemented Consent Engin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4848225"/>
                    </a:xfrm>
                    <a:prstGeom prst="rect">
                      <a:avLst/>
                    </a:prstGeom>
                  </pic:spPr>
                </pic:pic>
              </a:graphicData>
            </a:graphic>
          </wp:inline>
        </w:drawing>
      </w:r>
    </w:p>
    <w:p>
      <w:pPr>
        <w:spacing w:after="180"/>
        <w:jc w:val="center"/>
      </w:pPr>
      <w:r>
        <w:rPr>
          <w:b/>
          <w:bCs/>
          <w:i/>
          <w:iCs/>
          <w:color w:val="C00000"/>
          <w:sz w:val="19"/>
          <w:szCs w:val="19"/>
        </w:rPr>
        <w:t xml:space="preserve">Figure 12. </w:t>
      </w:r>
      <w:r>
        <w:rPr>
          <w:i/>
          <w:iCs/>
          <w:color w:val="C00000"/>
          <w:sz w:val="19"/>
          <w:szCs w:val="19"/>
        </w:rPr>
        <w:t xml:space="preserve">Trust Predicate Evaluation and Authorisation Decision Flow, as enforced by the implemented Consent Engine.</w:t>
      </w:r>
    </w:p>
    <w:p>
      <w:pPr>
        <w:spacing w:after="160" w:before="60"/>
        <w:jc w:val="center"/>
      </w:pPr>
      <w:r>
        <w:rPr>
          <w:rFonts w:ascii="Cambria Math" w:cs="Cambria Math" w:eastAsia="Cambria Math" w:hAnsi="Cambria Math"/>
          <w:i/>
          <w:iCs/>
          <w:sz w:val="22"/>
          <w:szCs w:val="22"/>
        </w:rPr>
        <w:t xml:space="preserve">Scope = { Observation, Medication, Condition, Procedure }</w:t>
      </w:r>
    </w:p>
    <w:p>
      <w:pPr>
        <w:spacing w:after="160" w:line="300"/>
        <w:jc w:val="both"/>
      </w:pPr>
      <w: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(Section 11). The audit ledger records the proof mode (groth16) with every access granted in the demonstrated lifecycles, and the subsystem then shows the message Cryptographic Verification Successful — Access Granted.</w:t>
      </w:r>
    </w:p>
    <w:p>
      <w:pPr>
        <w:keepNext/>
        <w:spacing w:after="60" w:before="120"/>
        <w:jc w:val="center"/>
      </w:pPr>
      <w:r>
        <w:drawing>
          <wp:inline distT="0" distB="0" distL="0" distR="0">
            <wp:extent cx="5334000" cy="6229350"/>
            <wp:effectExtent t="0" r="0" b="0" l="0"/>
            <wp:docPr id="1" name="M4" descr="The doctor subsystem after verification (the photographed lifecycle 04da25f5, per Section 2): access granted and the authorised medical records displayed per EMR module; the Observation module's Download CSV control is visib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b/>
          <w:bCs/>
          <w:i/>
          <w:iCs/>
          <w:sz w:val="19"/>
          <w:szCs w:val="19"/>
        </w:rPr>
        <w:t xml:space="preserve">Figure 13. </w:t>
      </w:r>
      <w:r>
        <w:rPr>
          <w:i/>
          <w:iCs/>
          <w:sz w:val="19"/>
          <w:szCs w:val="19"/>
        </w:rPr>
        <w:t xml:space="preserve">The doctor subsystem after verification (the photographed lifecycle 04da25f5, per Section 2): access granted and the authorised medical records displayed per EMR module; the Observation module's Download CSV control is visible.</w:t>
      </w:r>
    </w:p>
    <w:p>
      <w:pPr>
        <w:keepNext/>
        <w:spacing w:after="60" w:before="120"/>
        <w:jc w:val="center"/>
      </w:pPr>
      <w:r>
        <w:drawing>
          <wp:inline distT="0" distB="0" distL="0" distR="0">
            <wp:extent cx="5143500" cy="4314825"/>
            <wp:effectExtent t="0" r="0" b="0" l="0"/>
            <wp:docPr id="1" name="M4b" descr="The remaining authorised modules of the same request: the Condition and Procedure records, with the Condition module's export control visib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4314825"/>
                    </a:xfrm>
                    <a:prstGeom prst="rect">
                      <a:avLst/>
                    </a:prstGeom>
                  </pic:spPr>
                </pic:pic>
              </a:graphicData>
            </a:graphic>
          </wp:inline>
        </w:drawing>
      </w:r>
    </w:p>
    <w:p>
      <w:pPr>
        <w:spacing w:after="180"/>
        <w:jc w:val="center"/>
      </w:pPr>
      <w:r>
        <w:rPr>
          <w:b/>
          <w:bCs/>
          <w:i/>
          <w:iCs/>
          <w:sz w:val="19"/>
          <w:szCs w:val="19"/>
        </w:rPr>
        <w:t xml:space="preserve">Figure 14. </w:t>
      </w:r>
      <w:r>
        <w:rPr>
          <w:i/>
          <w:iCs/>
          <w:sz w:val="19"/>
          <w:szCs w:val="19"/>
        </w:rPr>
        <w:t xml:space="preserve">The remaining authorised modules of the same request: the Condition and Procedure records, with the Condition module's export control visible.</w:t>
      </w:r>
    </w:p>
    <w:p>
      <w:pPr>
        <w:spacing w:after="160" w:line="300"/>
        <w:jc w:val="both"/>
      </w:pPr>
      <w: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sz w:val="22"/>
          <w:szCs w:val="22"/>
        </w:rPr>
        <w:t xml:space="preserve">Consent → Verification → AccessDecision</w:t>
      </w:r>
    </w:p>
    <w:p>
      <w:pPr>
        <w:spacing w:after="160" w:line="300"/>
        <w:jc w:val="both"/>
      </w:pPr>
      <w: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60" w:line="300"/>
        <w:jc w:val="both"/>
      </w:pPr>
      <w:r>
        <w:t xml:space="preserve">Thus, the doctor subsystem corresponds to </w:t>
      </w:r>
      <w:r>
        <w:rPr>
          <w:b/>
          <w:bCs/>
        </w:rPr>
        <w:t xml:space="preserve">Consent-State Validation, Scope Enforcement and Authorised Data Access</w:t>
      </w:r>
      <w:r>
        <w:t xml:space="preserve">.</w:t>
      </w:r>
    </w:p>
    <w:p>
      <w:pPr>
        <w:pStyle w:val="Heading1"/>
        <w:spacing w:after="160" w:before="320"/>
      </w:pPr>
      <w:r>
        <w:t xml:space="preserve">5. Negative Demonstration: Jurisdiction Violation</w:t>
      </w:r>
    </w:p>
    <w:p>
      <w:pPr>
        <w:spacing w:after="160" w:line="300"/>
        <w:jc w:val="both"/>
      </w:pPr>
      <w: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20"/>
        <w:jc w:val="center"/>
      </w:pPr>
      <w:r>
        <w:drawing>
          <wp:inline distT="0" distB="0" distL="0" distR="0">
            <wp:extent cx="5334000" cy="4200525"/>
            <wp:effectExtent t="0" r="0" b="0" l="0"/>
            <wp:docPr id="1" name="g_doc_sa" descr="The doctor subsystem with requester jurisdiction SA: VL reports FAIL and consequently ALLOW = FAIL, although the consent state remains ACTIV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15. </w:t>
      </w:r>
      <w:r>
        <w:rPr>
          <w:i/>
          <w:iCs/>
          <w:sz w:val="19"/>
          <w:szCs w:val="19"/>
        </w:rPr>
        <w:t xml:space="preserve">The doctor subsystem with requester jurisdiction SA: VL reports FAIL and consequently ALLOW = FAIL, although the consent state remains ACTIVE.</w:t>
      </w:r>
    </w:p>
    <w:p>
      <w:pPr>
        <w:spacing w:after="160" w:line="300"/>
        <w:jc w:val="both"/>
      </w:pPr>
      <w: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20"/>
        <w:jc w:val="center"/>
      </w:pPr>
      <w:r>
        <w:drawing>
          <wp:inline distT="0" distB="0" distL="0" distR="0">
            <wp:extent cx="5334000" cy="2638425"/>
            <wp:effectExtent t="0" r="0" b="0" l="0"/>
            <wp:docPr id="1" name="g_denied" descr="The refused request: 'Security Exception: Access Denied by ZK-Policy. Failed checks: V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38425"/>
                    </a:xfrm>
                    <a:prstGeom prst="rect">
                      <a:avLst/>
                    </a:prstGeom>
                  </pic:spPr>
                </pic:pic>
              </a:graphicData>
            </a:graphic>
          </wp:inline>
        </w:drawing>
      </w:r>
    </w:p>
    <w:p>
      <w:pPr>
        <w:spacing w:after="180"/>
        <w:jc w:val="center"/>
      </w:pPr>
      <w:r>
        <w:rPr>
          <w:b/>
          <w:bCs/>
          <w:i/>
          <w:iCs/>
          <w:sz w:val="19"/>
          <w:szCs w:val="19"/>
        </w:rPr>
        <w:t xml:space="preserve">Figure 16. </w:t>
      </w:r>
      <w:r>
        <w:rPr>
          <w:i/>
          <w:iCs/>
          <w:sz w:val="19"/>
          <w:szCs w:val="19"/>
        </w:rPr>
        <w:t xml:space="preserve">The refused request: 'Security Exception: Access Denied by ZK-Policy. Failed checks: VL'.</w:t>
      </w:r>
    </w:p>
    <w:p>
      <w:pPr>
        <w:spacing w:after="160" w:line="300"/>
        <w:jc w:val="both"/>
      </w:pPr>
      <w: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60" w:line="300"/>
        <w:jc w:val="both"/>
      </w:pPr>
      <w:r>
        <w:t xml:space="preserve">This demonstration corresponds to </w:t>
      </w:r>
      <w:r>
        <w:rPr>
          <w:b/>
          <w:bCs/>
        </w:rPr>
        <w:t xml:space="preserve">Jurisdictional Constraint Enforcement and Fail-Closed Access Control</w:t>
      </w:r>
      <w:r>
        <w:t xml:space="preserve">.</w:t>
      </w:r>
    </w:p>
    <w:p>
      <w:pPr>
        <w:pStyle w:val="Heading1"/>
        <w:spacing w:after="160" w:before="320"/>
      </w:pPr>
      <w:r>
        <w:t xml:space="preserve">6. Consent Revocation</w:t>
      </w:r>
    </w:p>
    <w:p>
      <w:pPr>
        <w:spacing w:after="160" w:line="300"/>
        <w:jc w:val="both"/>
      </w:pPr>
      <w: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20"/>
        <w:jc w:val="center"/>
      </w:pPr>
      <w:r>
        <w:drawing>
          <wp:inline distT="0" distB="0" distL="0" distR="0">
            <wp:extent cx="5143500" cy="3714750"/>
            <wp:effectExtent t="0" r="0" b="0" l="0"/>
            <wp:docPr id="1" name="g_revoking" descr="The patient subsystem during revocation: 'Revoking on Sepolia - waiting for block confirma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714750"/>
                    </a:xfrm>
                    <a:prstGeom prst="rect">
                      <a:avLst/>
                    </a:prstGeom>
                  </pic:spPr>
                </pic:pic>
              </a:graphicData>
            </a:graphic>
          </wp:inline>
        </w:drawing>
      </w:r>
    </w:p>
    <w:p>
      <w:pPr>
        <w:spacing w:after="180"/>
        <w:jc w:val="center"/>
      </w:pPr>
      <w:r>
        <w:rPr>
          <w:b/>
          <w:bCs/>
          <w:i/>
          <w:iCs/>
          <w:sz w:val="19"/>
          <w:szCs w:val="19"/>
        </w:rPr>
        <w:t xml:space="preserve">Figure 17. </w:t>
      </w:r>
      <w:r>
        <w:rPr>
          <w:i/>
          <w:iCs/>
          <w:sz w:val="19"/>
          <w:szCs w:val="19"/>
        </w:rPr>
        <w:t xml:space="preserve">The patient subsystem during revocation: 'Revoking on Sepolia - waiting for block confirmation…'.</w:t>
      </w:r>
    </w:p>
    <w:p>
      <w:pPr>
        <w:spacing w:after="160" w:line="300"/>
        <w:jc w:val="both"/>
      </w:pPr>
      <w:r>
        <w:t xml:space="preserve">As shown in the figure above, the withdrawal is submitted as a blockchain transaction and the subsystem waits for the block confirmation before reporting the final state.</w:t>
      </w:r>
    </w:p>
    <w:p>
      <w:pPr>
        <w:keepNext/>
        <w:spacing w:after="60" w:before="120"/>
        <w:jc w:val="center"/>
      </w:pPr>
      <w:r>
        <w:drawing>
          <wp:inline distT="0" distB="0" distL="0" distR="0">
            <wp:extent cx="5334000" cy="3533775"/>
            <wp:effectExtent t="0" r="0" b="0" l="0"/>
            <wp:docPr id="1" name="g_revoked" descr="The patient subsystem after revocation: the evaluated consent f050c29a is REVOKED with token #1 (displayed as SBT-1). The other rows are earlier trial consen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33775"/>
                    </a:xfrm>
                    <a:prstGeom prst="rect">
                      <a:avLst/>
                    </a:prstGeom>
                  </pic:spPr>
                </pic:pic>
              </a:graphicData>
            </a:graphic>
          </wp:inline>
        </w:drawing>
      </w:r>
    </w:p>
    <w:p>
      <w:pPr>
        <w:spacing w:after="180"/>
        <w:jc w:val="center"/>
      </w:pPr>
      <w:r>
        <w:rPr>
          <w:b/>
          <w:bCs/>
          <w:i/>
          <w:iCs/>
          <w:sz w:val="19"/>
          <w:szCs w:val="19"/>
        </w:rPr>
        <w:t xml:space="preserve">Figure 18. </w:t>
      </w:r>
      <w:r>
        <w:rPr>
          <w:i/>
          <w:iCs/>
          <w:sz w:val="19"/>
          <w:szCs w:val="19"/>
        </w:rPr>
        <w:t xml:space="preserve">The patient subsystem after revocation: the evaluated consent f050c29a is REVOKED with token #1 (displayed as SBT-1). The other rows are earlier trial consents.</w:t>
      </w:r>
    </w:p>
    <w:p>
      <w:pPr>
        <w:spacing w:after="160" w:line="300"/>
        <w:jc w:val="both"/>
      </w:pPr>
      <w: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60" w:line="300"/>
        <w:jc w:val="both"/>
      </w:pPr>
      <w:r>
        <w:rPr>
          <w:color w:val="C00000"/>
        </w:rPr>
        <w:t xml:space="preserve">The demonstrated revocation completes the consent lifecycle anticipated by the research report: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in the report.</w:t>
      </w:r>
    </w:p>
    <w:p>
      <w:pPr>
        <w:keepNext/>
        <w:spacing w:after="60" w:before="120"/>
        <w:jc w:val="center"/>
      </w:pPr>
      <w:r>
        <w:drawing>
          <wp:inline distT="0" distB="0" distL="0" distR="0">
            <wp:extent cx="5905500" cy="2076450"/>
            <wp:effectExtent t="0" r="0" b="0" l="0"/>
            <wp:docPr id="1" name="lifecycle_sm" descr="The implemented consent lifecycle: every consent progresses through controlled states, and the activating and revoking transitions are anchored as verifiable Sepolia transaction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076450"/>
                    </a:xfrm>
                    <a:prstGeom prst="rect">
                      <a:avLst/>
                    </a:prstGeom>
                  </pic:spPr>
                </pic:pic>
              </a:graphicData>
            </a:graphic>
          </wp:inline>
        </w:drawing>
      </w:r>
    </w:p>
    <w:p>
      <w:pPr>
        <w:spacing w:after="180"/>
        <w:jc w:val="center"/>
      </w:pPr>
      <w:r>
        <w:rPr>
          <w:b/>
          <w:bCs/>
          <w:i/>
          <w:iCs/>
          <w:color w:val="C00000"/>
          <w:sz w:val="19"/>
          <w:szCs w:val="19"/>
        </w:rPr>
        <w:t xml:space="preserve">Figure 19. </w:t>
      </w:r>
      <w:r>
        <w:rPr>
          <w:i/>
          <w:iCs/>
          <w:color w:val="C00000"/>
          <w:sz w:val="19"/>
          <w:szCs w:val="19"/>
        </w:rPr>
        <w:t xml:space="preserve">The implemented consent lifecycle: every consent progresses through controlled states, and the activating and revoking transitions are anchored as verifiable Sepolia transactions.</w:t>
      </w:r>
    </w:p>
    <w:p>
      <w:pPr>
        <w:keepNext/>
        <w:spacing w:after="60" w:before="120"/>
        <w:jc w:val="center"/>
      </w:pPr>
      <w:r>
        <w:drawing>
          <wp:inline distT="0" distB="0" distL="0" distR="0">
            <wp:extent cx="5334000" cy="2952750"/>
            <wp:effectExtent t="0" r="0" b="0" l="0"/>
            <wp:docPr id="1" name="M5" descr="The doctor subsystem after revocation: VA reports FAIL and the consent is reported as 'not active. Current state: REVOKED'."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52750"/>
                    </a:xfrm>
                    <a:prstGeom prst="rect">
                      <a:avLst/>
                    </a:prstGeom>
                  </pic:spPr>
                </pic:pic>
              </a:graphicData>
            </a:graphic>
          </wp:inline>
        </w:drawing>
      </w:r>
    </w:p>
    <w:p>
      <w:pPr>
        <w:spacing w:after="180"/>
        <w:jc w:val="center"/>
      </w:pPr>
      <w:r>
        <w:rPr>
          <w:b/>
          <w:bCs/>
          <w:i/>
          <w:iCs/>
          <w:sz w:val="19"/>
          <w:szCs w:val="19"/>
        </w:rPr>
        <w:t xml:space="preserve">Figure 20. </w:t>
      </w:r>
      <w:r>
        <w:rPr>
          <w:i/>
          <w:iCs/>
          <w:sz w:val="19"/>
          <w:szCs w:val="19"/>
        </w:rPr>
        <w:t xml:space="preserve">The doctor subsystem after revocation: VA reports FAIL and the consent is reported as 'not active. Current state: REVOKED'.</w:t>
      </w:r>
    </w:p>
    <w:p>
      <w:pPr>
        <w:spacing w:after="160" w:line="300"/>
        <w:jc w:val="both"/>
      </w:pPr>
      <w: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20"/>
        <w:jc w:val="center"/>
      </w:pPr>
      <w:r>
        <w:drawing>
          <wp:inline distT="0" distB="0" distL="0" distR="0">
            <wp:extent cx="5905500" cy="3886200"/>
            <wp:effectExtent t="0" r="0" b="0" l="0"/>
            <wp:docPr id="1" name="M6" descr="The revocation transaction on Sepolia Etherscan: status Success, block 11,771,307, decoded input 'Function: revoke(uint256 tokenId)' with tokenId = 1."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886200"/>
                    </a:xfrm>
                    <a:prstGeom prst="rect">
                      <a:avLst/>
                    </a:prstGeom>
                  </pic:spPr>
                </pic:pic>
              </a:graphicData>
            </a:graphic>
          </wp:inline>
        </w:drawing>
      </w:r>
    </w:p>
    <w:p>
      <w:pPr>
        <w:spacing w:after="180"/>
        <w:jc w:val="center"/>
      </w:pPr>
      <w:r>
        <w:rPr>
          <w:b/>
          <w:bCs/>
          <w:i/>
          <w:iCs/>
          <w:sz w:val="19"/>
          <w:szCs w:val="19"/>
        </w:rPr>
        <w:t xml:space="preserve">Figure 21. </w:t>
      </w:r>
      <w:r>
        <w:rPr>
          <w:i/>
          <w:iCs/>
          <w:sz w:val="19"/>
          <w:szCs w:val="19"/>
        </w:rPr>
        <w:t xml:space="preserve">The revocation transaction on Sepolia Etherscan: status Success, block 11,771,307, decoded input 'Function: revoke(uint256 tokenId)' with tokenId = 1.</w:t>
      </w:r>
    </w:p>
    <w:p>
      <w:pPr>
        <w:spacing w:after="160" w:line="300"/>
        <w:jc w:val="left"/>
      </w:pPr>
      <w:r>
        <w:t xml:space="preserve">As shown in the figure above, the revocation is again a publicly verifiable transaction, whose decoded input names the contract function revoke and the token identifier. The transaction can be inspected at </w:t>
      </w:r>
      <w:hyperlink w:history="1" r:id="rIdefahhaupws7oooospmcvr">
        <w:r>
          <w:rPr>
            <w:rStyle w:val="Hyperlink"/>
          </w:rPr>
          <w:t xml:space="preserve">Etherscan: revoke transaction</w:t>
        </w:r>
      </w:hyperlink>
      <w:r>
        <w:t xml:space="preserve">. The revocation subsystem therefore corresponds to </w:t>
      </w:r>
      <w:r>
        <w:rPr>
          <w:b/>
          <w:bCs/>
        </w:rPr>
        <w:t xml:space="preserve">Enforcement State Management and Consent Withdrawal</w:t>
      </w:r>
      <w:r>
        <w:t xml:space="preserve">.</w:t>
      </w:r>
    </w:p>
    <w:p>
      <w:pPr>
        <w:pStyle w:val="Heading1"/>
        <w:spacing w:after="160" w:before="320"/>
      </w:pPr>
      <w:r>
        <w:t xml:space="preserve">7. Blockchain Audit &amp; Consent Lifecycle for Auditor</w:t>
      </w:r>
    </w:p>
    <w:p>
      <w:pPr>
        <w:spacing w:after="160" w:line="300"/>
        <w:jc w:val="both"/>
      </w:pPr>
      <w: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20"/>
        <w:jc w:val="center"/>
      </w:pPr>
      <w:r>
        <w:drawing>
          <wp:inline distT="0" distB="0" distL="0" distR="0">
            <wp:extent cx="5524500" cy="4019550"/>
            <wp:effectExtent t="0" r="0" b="0" l="0"/>
            <wp:docPr id="1" name="n_lifecycle" descr="The Consent Lifecycle reconstruction for the evaluated consent: the guardian signatures, MINT_SBT and ONCHAIN_MINT on the left, and the STATE_CHECK, DENIED, REVOKE_CONSENT and ONCHAIN_REVOKE events on the righ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4019550"/>
                    </a:xfrm>
                    <a:prstGeom prst="rect">
                      <a:avLst/>
                    </a:prstGeom>
                  </pic:spPr>
                </pic:pic>
              </a:graphicData>
            </a:graphic>
          </wp:inline>
        </w:drawing>
      </w:r>
    </w:p>
    <w:p>
      <w:pPr>
        <w:spacing w:after="180"/>
        <w:jc w:val="center"/>
      </w:pPr>
      <w:r>
        <w:rPr>
          <w:b/>
          <w:bCs/>
          <w:i/>
          <w:iCs/>
          <w:sz w:val="19"/>
          <w:szCs w:val="19"/>
        </w:rPr>
        <w:t xml:space="preserve">Figure 22. </w:t>
      </w:r>
      <w:r>
        <w:rPr>
          <w:i/>
          <w:iCs/>
          <w:sz w:val="19"/>
          <w:szCs w:val="19"/>
        </w:rPr>
        <w:t xml:space="preserve">The Consent Lifecycle reconstruction for the evaluated consent: the guardian signatures, MINT_SBT and ONCHAIN_MINT on the left, and the STATE_CHECK, DENIED, REVOKE_CONSENT and ONCHAIN_REVOKE events on the right.</w:t>
      </w:r>
    </w:p>
    <w:p>
      <w:pPr>
        <w:spacing w:after="160" w:line="300"/>
        <w:jc w:val="both"/>
      </w:pPr>
      <w:r>
        <w:t xml:space="preserve">As shown in the figure above, the lifecycle view presents each event as a card with its timestamp, actor, role, action and result, so the chronological sequence of the authorisation process can be read directly.</w:t>
      </w:r>
    </w:p>
    <w:p>
      <w:pPr>
        <w:keepNext/>
        <w:spacing w:after="60" w:before="120"/>
        <w:jc w:val="center"/>
      </w:pPr>
      <w:r>
        <w:drawing>
          <wp:inline distT="0" distB="0" distL="0" distR="0">
            <wp:extent cx="5905500" cy="3457575"/>
            <wp:effectExtent t="0" r="0" b="0" l="0"/>
            <wp:docPr id="1" name="M7" descr="The auditor subsystem with the evaluated consent selected: aggregate indicators and the Detailed Audit Records, in which the on-chain events carry their transaction hashes and block numb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457575"/>
                    </a:xfrm>
                    <a:prstGeom prst="rect">
                      <a:avLst/>
                    </a:prstGeom>
                  </pic:spPr>
                </pic:pic>
              </a:graphicData>
            </a:graphic>
          </wp:inline>
        </w:drawing>
      </w:r>
    </w:p>
    <w:p>
      <w:pPr>
        <w:spacing w:after="180"/>
        <w:jc w:val="center"/>
      </w:pPr>
      <w:r>
        <w:rPr>
          <w:b/>
          <w:bCs/>
          <w:i/>
          <w:iCs/>
          <w:sz w:val="19"/>
          <w:szCs w:val="19"/>
        </w:rPr>
        <w:t xml:space="preserve">Figure 23. </w:t>
      </w: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w:t>
      </w:r>
    </w:p>
    <w:p>
      <w:pPr>
        <w:spacing w:after="160" w:before="60"/>
        <w:jc w:val="center"/>
      </w:pPr>
      <w:r>
        <w:rPr>
          <w:rFonts w:ascii="Cambria Math" w:cs="Cambria Math" w:eastAsia="Cambria Math" w:hAnsi="Cambria Math"/>
          <w:i/>
          <w:iCs/>
          <w:sz w:val="22"/>
          <w:szCs w:val="22"/>
        </w:rPr>
        <w:t xml:space="preserve">Total Events = 60    Consent Events = 8    Access Requests = 9    On-chain Anchors = 5</w:t>
      </w:r>
    </w:p>
    <w:p>
      <w:pPr>
        <w:spacing w:after="160" w:line="300"/>
        <w:jc w:val="both"/>
      </w:pPr>
      <w: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60" w:line="300"/>
        <w:jc w:val="both"/>
      </w:pPr>
      <w:r>
        <w:rPr>
          <w:color w:val="C00000"/>
        </w:rPr>
        <w:t xml:space="preserve">This audit reconstruction, together with the independent verification of every recorded transaction against the public chain, constitutes the empirical component of the security-assurance objective of the research report: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60" w:line="300"/>
        <w:jc w:val="both"/>
      </w:pPr>
      <w:r>
        <w:t xml:space="preserve">This produces an explicit chain of evidence as</w:t>
      </w:r>
    </w:p>
    <w:p>
      <w:pPr>
        <w:spacing w:after="160" w:before="60"/>
        <w:jc w:val="center"/>
      </w:pPr>
      <w:r>
        <w:rPr>
          <w:rFonts w:ascii="Cambria Math" w:cs="Cambria Math" w:eastAsia="Cambria Math" w:hAnsi="Cambria Math"/>
          <w:i/>
          <w:iCs/>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sz w:val="22"/>
          <w:szCs w:val="22"/>
        </w:rPr>
        <w:t xml:space="preserve">→ Doctor(DENIED) → Patient(revoke) → SmartContract(revoke)</w:t>
      </w:r>
    </w:p>
    <w:p>
      <w:pPr>
        <w:spacing w:after="160" w:line="300"/>
        <w:jc w:val="both"/>
      </w:pPr>
      <w: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60" w:line="300"/>
        <w:jc w:val="both"/>
      </w:pPr>
      <w:r>
        <w:t xml:space="preserve">This corresponds to the proposed requirement for </w:t>
      </w:r>
      <w:r>
        <w:rPr>
          <w:b/>
          <w:bCs/>
        </w:rPr>
        <w:t xml:space="preserve">traceability, accountability and non-repudiable consent evidence</w:t>
      </w:r>
      <w:r>
        <w:t xml:space="preserve">.</w:t>
      </w:r>
    </w:p>
    <w:p>
      <w:pPr>
        <w:pStyle w:val="Heading1"/>
        <w:spacing w:after="160" w:before="320"/>
      </w:pPr>
      <w:r>
        <w:t xml:space="preserve">8. Detailed Audit Records</w:t>
      </w:r>
    </w:p>
    <w:p>
      <w:pPr>
        <w:spacing w:after="160" w:line="300"/>
        <w:jc w:val="both"/>
      </w:pPr>
      <w:r>
        <w:t xml:space="preserve">The Detailed Audit Records component provides a lower-level view of the events represented in the lifecycle subsystem.</w:t>
      </w:r>
    </w:p>
    <w:p>
      <w:pPr>
        <w:spacing w:after="160" w:line="300"/>
        <w:jc w:val="both"/>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3 and 6, so the ledger and the public chain describe the same events.</w:t>
      </w:r>
    </w:p>
    <w:p>
      <w:pPr>
        <w:spacing w:after="160" w:line="300"/>
        <w:jc w:val="both"/>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60" w:line="300"/>
        <w:jc w:val="both"/>
      </w:pPr>
      <w:r>
        <w:t xml:space="preserve">The subsystem therefore implements the distinction between operational access information and forensic/audit information.</w:t>
      </w:r>
    </w:p>
    <w:p>
      <w:pPr>
        <w:pStyle w:val="Heading1"/>
        <w:spacing w:after="160" w:before="320"/>
      </w:pPr>
      <w:r>
        <w:t xml:space="preserve">9. Complete Blockchain Audit Ledger and Independent Verification</w:t>
      </w:r>
    </w:p>
    <w:p>
      <w:pPr>
        <w:spacing w:after="160" w:line="300"/>
        <w:jc w:val="both"/>
      </w:pPr>
      <w: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sz w:val="22"/>
          <w:szCs w:val="22"/>
        </w:rPr>
        <w:t xml:space="preserve">Accountability + Traceability + Integrity + Non-repudiation</w:t>
      </w:r>
    </w:p>
    <w:p>
      <w:pPr>
        <w:spacing w:after="160" w:line="300"/>
        <w:jc w:val="both"/>
      </w:pPr>
      <w: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20"/>
        <w:jc w:val="center"/>
      </w:pPr>
      <w:r>
        <w:drawing>
          <wp:inline distT="0" distB="0" distL="0" distR="0">
            <wp:extent cx="5334000" cy="571500"/>
            <wp:effectExtent t="0" r="0" b="0" l="0"/>
            <wp:docPr id="1" name="M8_clean" descr="The final verdict of the independent verification, re-executed after the second lifecycle: RESULT: ALL CHECKS PASS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571500"/>
                    </a:xfrm>
                    <a:prstGeom prst="rect">
                      <a:avLst/>
                    </a:prstGeom>
                  </pic:spPr>
                </pic:pic>
              </a:graphicData>
            </a:graphic>
          </wp:inline>
        </w:drawing>
      </w:r>
    </w:p>
    <w:p>
      <w:pPr>
        <w:spacing w:after="180"/>
        <w:jc w:val="center"/>
      </w:pPr>
      <w:r>
        <w:rPr>
          <w:b/>
          <w:bCs/>
          <w:i/>
          <w:iCs/>
          <w:sz w:val="19"/>
          <w:szCs w:val="19"/>
        </w:rPr>
        <w:t xml:space="preserve">Figure 24. </w:t>
      </w:r>
      <w:r>
        <w:rPr>
          <w:i/>
          <w:iCs/>
          <w:sz w:val="19"/>
          <w:szCs w:val="19"/>
        </w:rPr>
        <w:t xml:space="preserve">The final verdict of the independent verification, re-executed after the second lifecycle: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60" w:before="320"/>
      </w:pPr>
      <w:r>
        <w:t xml:space="preserve">10. Correspondence Between Subsystems and the HALAH Framework</w:t>
      </w:r>
    </w:p>
    <w:p>
      <w:pPr>
        <w:spacing w:after="160" w:line="300"/>
        <w:jc w:val="both"/>
      </w:pPr>
      <w: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HALAH Framework Component</w:t>
            </w:r>
          </w:p>
        </w:tc>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Implementation Subsystem</w:t>
            </w:r>
          </w:p>
        </w:tc>
        <w:tc>
          <w:tcPr>
            <w:tcW w:type="dxa" w:w="356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Multi-party Consent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Activation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Consent-State Management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Scope Enforcement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Healthcare Data Access</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My Consents (Patient)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Lifecycle Traceability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Accountability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Detailed Audit Records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Ledger Integrity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Confirms the recorded history against Sepolia</w:t>
            </w:r>
          </w:p>
        </w:tc>
      </w:tr>
    </w:tbl>
    <w:p>
      <w:pPr>
        <w:spacing w:after="160"/>
      </w:pPr>
    </w:p>
    <w:p>
      <w:pPr>
        <w:spacing w:after="160" w:line="300"/>
        <w:jc w:val="both"/>
      </w:pPr>
      <w:r>
        <w:t xml:space="preserve">This mapping demonstrates that the implementation is not merely a collection of independent user-subsystem modules. Rather, the modules correspond to successive stages of the proposed authorisation protocol.</w:t>
      </w:r>
    </w:p>
    <w:p>
      <w:pPr>
        <w:pStyle w:val="Heading1"/>
        <w:spacing w:after="160" w:before="320"/>
      </w:pPr>
      <w:r>
        <w:t xml:space="preserve">11. Overall System Demonstration</w:t>
      </w:r>
    </w:p>
    <w:p>
      <w:pPr>
        <w:spacing w:after="160" w:line="300"/>
        <w:jc w:val="both"/>
      </w:pPr>
      <w: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sz w:val="22"/>
          <w:szCs w:val="22"/>
        </w:rPr>
        <w:t xml:space="preserve">C → MS → SBT_chain → StateCheck → AccessDecision → EMR → Revoke_chain → Audit → Verify</w:t>
      </w:r>
    </w:p>
    <w:p>
      <w:pPr>
        <w:spacing w:after="160" w:line="300"/>
        <w:jc w:val="both"/>
      </w:pPr>
      <w: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60" w:line="300"/>
        <w:jc w:val="both"/>
      </w:pPr>
      <w: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60" w:line="300"/>
        <w:jc w:val="both"/>
      </w:pPr>
      <w: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1"/>
        <w:spacing w:after="160" w:before="320"/>
      </w:pPr>
      <w:r>
        <w:t xml:space="preserve">12. Traceability to the Research Framework</w:t>
      </w:r>
    </w:p>
    <w:p>
      <w:pPr>
        <w:spacing w:after="160" w:line="300"/>
        <w:jc w:val="both"/>
      </w:pPr>
      <w:r>
        <w:rPr>
          <w:color w:val="C00000"/>
        </w:rPr>
        <w:t xml:space="preserve">Table A summarises how each formal artefact of the research report is realised in the implemented subsystem and which publicly verifiable evidence supports it. Every row can be checked independently: the report defines the artefact, the implementation exercises it, and the Sepolia network or the exported audit ledger preserves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2650"/>
        <w:gridCol w:w="2360"/>
      </w:tblGrid>
      <w:tr>
        <w:trPr>
          <w:tblHeader/>
        </w:trPr>
        <w:tc>
          <w:tcPr>
            <w:tcW w:type="dxa" w:w="27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Research artefact</w:t>
            </w:r>
          </w:p>
        </w:tc>
        <w:tc>
          <w:tcPr>
            <w:tcW w:type="dxa" w:w="165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Defined in</w:t>
            </w:r>
          </w:p>
        </w:tc>
        <w:tc>
          <w:tcPr>
            <w:tcW w:type="dxa" w:w="265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Realised by (implementation)</w:t>
            </w:r>
          </w:p>
        </w:tc>
        <w:tc>
          <w:tcPr>
            <w:tcW w:type="dxa" w:w="236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Publicly verifiable evidence</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RO1 / RQ1 — Consent object, Eq. (51), Algorithm 1</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§6.1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Patient subsystem: consent creation form; state PENDING_SIGNATURE</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Consents f050c29a and 04da25f5 in the exported audit ledger</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RO2 / RQ2 — DID and VC verification, Algorithm 2</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§6.2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Guardian subsystem: EIP-712 typed-data signatures, off-chain signer recovery per guardian DID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Verified signer 0x3Af549b0… recorded per SIGN_CONSENT event</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RO3 / RQ3 — Threshold authorisation, Eq. (54), Algorithm 3</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§6.3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2-of-2 ceremony with N = |G|; SBT minted on threshold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Mint tx 0x8be1b99e…daf13d, block 11,771,243, token #1</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Decision rule and trust predicates, Eq. (59), Figure 5</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§5.2 and §6.6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Doctor subsystem: five-verdict decision matrix, ALLOW / DENY with failed-check listing</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GRANTED and DENIED DATA_ACCESS events in the ledger; SA-jurisdiction denial</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Lifecycle trust (RO5 direction)</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§6.4 of the report (next stage)</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Six-state lifecycle with on-chain revocation</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Revoke tx 0x017efb9d…dceaa, block 11,771,307</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Empirical assurance (RO6, empirical half)</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§6.6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Auditor subsystem and the independent verifier re-checking every transaction receipt</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60-event ledger; RESULT: ALL CHECKS PASSED; reproduction token #2, block 11,771,581</w:t>
            </w:r>
          </w:p>
        </w:tc>
      </w:tr>
    </w:tbl>
    <w:p>
      <w:pPr>
        <w:spacing w:after="200" w:before="60"/>
        <w:jc w:val="center"/>
      </w:pPr>
      <w:r>
        <w:rPr>
          <w:i/>
          <w:iCs/>
          <w:color w:val="C00000"/>
          <w:sz w:val="19"/>
          <w:szCs w:val="19"/>
        </w:rPr>
        <w:t xml:space="preserve">Table A. Traceability from the formal artefacts of the research report to the implemented mechanisms and their on-chain evidence.</w:t>
      </w:r>
    </w:p>
    <w:p>
      <w:pPr>
        <w:pStyle w:val="Heading1"/>
        <w:spacing w:after="160" w:before="320"/>
      </w:pPr>
      <w:r>
        <w:t xml:space="preserve">Appendix: Verification Links</w:t>
      </w:r>
    </w:p>
    <w:p>
      <w:pPr>
        <w:spacing w:after="160" w:line="300"/>
        <w:jc w:val="left"/>
      </w:pPr>
      <w:r>
        <w:t xml:space="preserve">Contract: </w:t>
      </w:r>
      <w:hyperlink w:history="1" r:id="rIdusngnitmt2swpe1tjv9-w">
        <w:r>
          <w:rPr>
            <w:rStyle w:val="Hyperlink"/>
          </w:rPr>
          <w:t xml:space="preserve">https://sepolia.etherscan.io/address/0x0EC3617581DEC63A7f2bb162DC14d088916ADc73</w:t>
        </w:r>
      </w:hyperlink>
    </w:p>
    <w:p>
      <w:pPr>
        <w:spacing w:after="160" w:line="300"/>
        <w:jc w:val="left"/>
      </w:pPr>
      <w:r>
        <w:t xml:space="preserve">Consent activation (mint of token #1): </w:t>
      </w:r>
      <w:hyperlink w:history="1" r:id="rId3ybqr105ks1wgj76lmk2q">
        <w:r>
          <w:rPr>
            <w:rStyle w:val="Hyperlink"/>
          </w:rPr>
          <w:t xml:space="preserve">https://sepolia.etherscan.io/tx/0x8be1b99e9b7054d427bdee0a0b5cc56ae99030a399f4b11d3629ed5d98daf13d</w:t>
        </w:r>
      </w:hyperlink>
    </w:p>
    <w:p>
      <w:pPr>
        <w:spacing w:after="160" w:line="300"/>
        <w:jc w:val="left"/>
      </w:pPr>
      <w:r>
        <w:t xml:space="preserve">Consent activation (mint of token #2, photographed lifecycle): </w:t>
      </w:r>
      <w:hyperlink w:history="1" r:id="rIdsd19w7p51rdtpjwuklzmg">
        <w:r>
          <w:rPr>
            <w:rStyle w:val="Hyperlink"/>
          </w:rPr>
          <w:t xml:space="preserve">https://sepolia.etherscan.io/tx/0x25ef5e2f0046735dcb01ff7b68875b760bdf88ad0fa3fedc9bfb910769d4c210</w:t>
        </w:r>
      </w:hyperlink>
    </w:p>
    <w:p>
      <w:pPr>
        <w:spacing w:after="160" w:line="300"/>
        <w:jc w:val="left"/>
      </w:pPr>
      <w:r>
        <w:t xml:space="preserve">Consent revocation (token #1): </w:t>
      </w:r>
      <w:hyperlink w:history="1" r:id="rIdynch9qsxgsm2bhqgps1it">
        <w:r>
          <w:rPr>
            <w:rStyle w:val="Hyperlink"/>
          </w:rPr>
          <w:t xml:space="preserve">https://sepolia.etherscan.io/tx/0x017efb9dc6acad9733fa05c19408c0166c9c0645e83b6ffdc41c4b3b85ddceaa</w:t>
        </w:r>
      </w:hyperlink>
    </w:p>
    <w:p>
      <w:pPr>
        <w:spacing w:after="160" w:line="300"/>
        <w:jc w:val="both"/>
      </w:pPr>
      <w:r>
        <w:t xml:space="preserve">Full audit-ledger export: </w:t>
      </w:r>
      <w:r>
        <w:rPr>
          <w:rFonts w:ascii="Consolas" w:cs="Consolas" w:eastAsia="Consolas" w:hAnsi="Consolas"/>
          <w:sz w:val="20"/>
          <w:szCs w:val="20"/>
        </w:rPr>
        <w:t xml:space="preserve">evidence/sepolia_audit_ledger_2026-09-24.csv</w:t>
      </w:r>
      <w:r>
        <w:t xml:space="preserve">; deployment and run record: </w:t>
      </w:r>
      <w:r>
        <w:rPr>
          <w:rFonts w:ascii="Consolas" w:cs="Consolas" w:eastAsia="Consolas" w:hAnsi="Consolas"/>
          <w:sz w:val="20"/>
          <w:szCs w:val="20"/>
        </w:rPr>
        <w:t xml:space="preserve">evidence/sepolia_deploy_v3_2026-09-24.txt</w:t>
      </w:r>
      <w:r>
        <w:t xml:space="preserve"> preserved in the project evidence records.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HALAH Implementation (v1.2, Sepolia)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jnqreay-wxjiy1dyks07" Type="http://schemas.openxmlformats.org/officeDocument/2006/relationships/hyperlink" Target="https://sepolia.etherscan.io/address/0x0EC3617581DEC63A7f2bb162DC14d088916ADc73" TargetMode="External"/><Relationship Id="rIdkbjafxrfmxvivfcg9fdru" Type="http://schemas.openxmlformats.org/officeDocument/2006/relationships/hyperlink" Target="https://sepolia.etherscan.io/tx/0x8be1b99e9b7054d427bdee0a0b5cc56ae99030a399f4b11d3629ed5d98daf13d" TargetMode="External"/><Relationship Id="rIdefahhaupws7oooospmcvr" Type="http://schemas.openxmlformats.org/officeDocument/2006/relationships/hyperlink" Target="https://sepolia.etherscan.io/tx/0x017efb9dc6acad9733fa05c19408c0166c9c0645e83b6ffdc41c4b3b85ddceaa" TargetMode="External"/><Relationship Id="rIdusngnitmt2swpe1tjv9-w" Type="http://schemas.openxmlformats.org/officeDocument/2006/relationships/hyperlink" Target="https://sepolia.etherscan.io/address/0x0EC3617581DEC63A7f2bb162DC14d088916ADc73" TargetMode="External"/><Relationship Id="rId3ybqr105ks1wgj76lmk2q" Type="http://schemas.openxmlformats.org/officeDocument/2006/relationships/hyperlink" Target="https://sepolia.etherscan.io/tx/0x8be1b99e9b7054d427bdee0a0b5cc56ae99030a399f4b11d3629ed5d98daf13d" TargetMode="External"/><Relationship Id="rIdsd19w7p51rdtpjwuklzmg" Type="http://schemas.openxmlformats.org/officeDocument/2006/relationships/hyperlink" Target="https://sepolia.etherscan.io/tx/0x25ef5e2f0046735dcb01ff7b68875b760bdf88ad0fa3fedc9bfb910769d4c210" TargetMode="External"/><Relationship Id="rIdynch9qsxgsm2bhqgps1it" Type="http://schemas.openxmlformats.org/officeDocument/2006/relationships/hyperlink" Target="https://sepolia.etherscan.io/tx/0x017efb9dc6acad9733fa05c19408c0166c9c0645e83b6ffdc41c4b3b85ddceaa" TargetMode="External"/><Relationship Id="rId8" Type="http://schemas.openxmlformats.org/officeDocument/2006/relationships/image" Target="media/340cd7ece83aa7b471f90497fa4ab20abba8cb78.png"/><Relationship Id="rId9" Type="http://schemas.openxmlformats.org/officeDocument/2006/relationships/image" Target="media/29a8d803374a279180f0fb7569fd71a96e4828cc.png"/><Relationship Id="rId10" Type="http://schemas.openxmlformats.org/officeDocument/2006/relationships/image" Target="media/93e2e5b518189f1af9628f404919fff014730a4c.png"/><Relationship Id="rId11" Type="http://schemas.openxmlformats.org/officeDocument/2006/relationships/image" Target="media/0c260341434b1a3d96e8ec816e8fdf21bc280008.png"/><Relationship Id="rId12" Type="http://schemas.openxmlformats.org/officeDocument/2006/relationships/image" Target="media/3b43f208c34e619a9b1fcd7a8da9990014f117c8.png"/><Relationship Id="rId13" Type="http://schemas.openxmlformats.org/officeDocument/2006/relationships/image" Target="media/86a2658ddba90ee4c38a66206a6a68c15d95f581.png"/><Relationship Id="rId14" Type="http://schemas.openxmlformats.org/officeDocument/2006/relationships/image" Target="media/b042baccd1b6ddb409d02825dcbf0a0b42cf8600.png"/><Relationship Id="rId15" Type="http://schemas.openxmlformats.org/officeDocument/2006/relationships/image" Target="media/b08ef3c27e50bcebac919f21b9b3c4430a015386.png"/><Relationship Id="rId16" Type="http://schemas.openxmlformats.org/officeDocument/2006/relationships/image" Target="media/5aab1f9956758b1489f12e56e316ce914adfc234.png"/><Relationship Id="rId17" Type="http://schemas.openxmlformats.org/officeDocument/2006/relationships/image" Target="media/dca988adf54061cfd18e3b65d04cc93b4c0821a5.png"/><Relationship Id="rId18" Type="http://schemas.openxmlformats.org/officeDocument/2006/relationships/image" Target="media/ced20419b26ad52dabc386ca8fa03e512cf67f8c.png"/><Relationship Id="rId19" Type="http://schemas.openxmlformats.org/officeDocument/2006/relationships/image" Target="media/e56b4f992bdd903593631381fadd9d088590b949.png"/><Relationship Id="rId20" Type="http://schemas.openxmlformats.org/officeDocument/2006/relationships/image" Target="media/31dcbc50059ae2791ce05a42c041185014378f3f.png"/><Relationship Id="rId21" Type="http://schemas.openxmlformats.org/officeDocument/2006/relationships/image" Target="media/ce3dcc9a910c6fc9b80e1215a4025c2e03d7ae91.png"/><Relationship Id="rId22" Type="http://schemas.openxmlformats.org/officeDocument/2006/relationships/image" Target="media/8f7d48ee1d3a925ebd1d5709598063d3ff8e3925.png"/><Relationship Id="rId23" Type="http://schemas.openxmlformats.org/officeDocument/2006/relationships/image" Target="media/379af060121c595b8dab938b017503bf01d94543.png"/><Relationship Id="rId24" Type="http://schemas.openxmlformats.org/officeDocument/2006/relationships/image" Target="media/3a13ccfef28f9583bfb8ffa6fad6c0cd87ee4e3f.png"/><Relationship Id="rId25" Type="http://schemas.openxmlformats.org/officeDocument/2006/relationships/image" Target="media/c67c351664df141a74ad4841b37c3e4adf06cdc8.png"/><Relationship Id="rId26" Type="http://schemas.openxmlformats.org/officeDocument/2006/relationships/image" Target="media/6b2eed335569e4023d73a2acfc049e4652246425.png"/><Relationship Id="rId27" Type="http://schemas.openxmlformats.org/officeDocument/2006/relationships/image" Target="media/0dab734b3591fc6e44f28d70c229863ac765dd6c.png"/><Relationship Id="rId28" Type="http://schemas.openxmlformats.org/officeDocument/2006/relationships/image" Target="media/77a7b903f3de550876bb41810cdf2d1e7c0ac7f2.png"/><Relationship Id="rId29" Type="http://schemas.openxmlformats.org/officeDocument/2006/relationships/image" Target="media/2f0f0886862a384327500130debd3ae79225e0b4.png"/><Relationship Id="rId30" Type="http://schemas.openxmlformats.org/officeDocument/2006/relationships/image" Target="media/05da8f4effe706cf5aafdd89f16572da00d8acd2.png"/><Relationship Id="rId31" Type="http://schemas.openxmlformats.org/officeDocument/2006/relationships/image" Target="media/18110f2d94411825c7d788fe5ccde19f68a450f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HALAH System and Workflow (Implementation, v1.2 Sepolia)</dc:title>
  <dc:creator>HALAH project team</dc:creator>
  <cp:lastModifiedBy>Un-named</cp:lastModifiedBy>
  <cp:revision>1</cp:revision>
  <dcterms:created xsi:type="dcterms:W3CDTF">2026-09-24T20:15:32.030Z</dcterms:created>
  <dcterms:modified xsi:type="dcterms:W3CDTF">2026-09-24T20:15:32.030Z</dcterms:modified>
</cp:coreProperties>
</file>

<file path=docProps/custom.xml><?xml version="1.0" encoding="utf-8"?>
<Properties xmlns="http://schemas.openxmlformats.org/officeDocument/2006/custom-properties" xmlns:vt="http://schemas.openxmlformats.org/officeDocument/2006/docPropsVTypes"/>
</file>