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line="400"/>
        <w:jc w:val="center"/>
      </w:pPr>
      <w:r>
        <w:rPr>
          <w:rFonts w:ascii="Cambria" w:cs="Cambria" w:eastAsia="Cambria" w:hAnsi="Cambria"/>
          <w:b/>
          <w:bCs/>
          <w:sz w:val="34"/>
          <w:szCs w:val="34"/>
        </w:rPr>
        <w:t xml:space="preserve">A Trusted Authorisation Framework for Multi-Party Patient Consent in Healthcare Data Sharing</w:t>
      </w:r>
    </w:p>
    <w:p>
      <w:pPr>
        <w:spacing w:after="40" w:before="120"/>
        <w:jc w:val="center"/>
      </w:pPr>
      <w:r>
        <w:rPr>
          <w:rFonts w:ascii="Cambria" w:cs="Cambria" w:eastAsia="Cambria" w:hAnsi="Cambria"/>
          <w:sz w:val="26"/>
          <w:szCs w:val="26"/>
        </w:rPr>
        <w:t xml:space="preserve">Principal Supervisor: Professor Farookh Hussain</w:t>
      </w:r>
    </w:p>
    <w:p>
      <w:pPr>
        <w:spacing w:after="40" w:before="120"/>
        <w:jc w:val="center"/>
      </w:pPr>
      <w:r>
        <w:rPr>
          <w:rFonts w:ascii="Cambria" w:cs="Cambria" w:eastAsia="Cambria" w:hAnsi="Cambria"/>
          <w:sz w:val="26"/>
          <w:szCs w:val="26"/>
        </w:rPr>
        <w:t xml:space="preserve">Co-Supervisor: Dr. Firas Al-Doghman</w:t>
      </w:r>
    </w:p>
    <w:p>
      <w:pPr>
        <w:spacing w:after="40" w:before="120"/>
        <w:jc w:val="center"/>
      </w:pPr>
      <w:r>
        <w:rPr>
          <w:rFonts w:ascii="Cambria" w:cs="Cambria" w:eastAsia="Cambria" w:hAnsi="Cambria"/>
          <w:sz w:val="26"/>
          <w:szCs w:val="26"/>
        </w:rPr>
        <w:t xml:space="preserve">Presenter: Yasir Dhaifallah O Alyoubi</w:t>
      </w:r>
    </w:p>
    <w:p>
      <w:pPr>
        <w:spacing w:after="40" w:before="120"/>
        <w:jc w:val="center"/>
      </w:pPr>
      <w:r>
        <w:rPr>
          <w:rFonts w:ascii="Cambria" w:cs="Cambria" w:eastAsia="Cambria" w:hAnsi="Cambria"/>
          <w:sz w:val="26"/>
          <w:szCs w:val="26"/>
        </w:rPr>
        <w:t xml:space="preserve">Student ID: 24724078</w:t>
      </w:r>
    </w:p>
    <w:p>
      <w:pPr>
        <w:spacing w:before="200"/>
        <w:jc w:val="center"/>
      </w:pPr>
      <w:r>
        <w:rPr>
          <w:rFonts w:ascii="Cambria" w:cs="Cambria" w:eastAsia="Cambria" w:hAnsi="Cambria"/>
          <w:sz w:val="26"/>
          <w:szCs w:val="26"/>
        </w:rPr>
        <w:t xml:space="preserve">August 2026</w:t>
      </w:r>
    </w:p>
    <w:p>
      <w:r>
        <w:br w:type="page"/>
      </w:r>
    </w:p>
    <w:p>
      <w:r>
        <w:br w:type="page"/>
      </w:r>
    </w:p>
    <w:p>
      <w:pPr>
        <w:spacing w:after="200"/>
      </w:pPr>
      <w:r>
        <w:rPr>
          <w:rFonts w:ascii="Cambria" w:cs="Cambria" w:eastAsia="Cambria" w:hAnsi="Cambria"/>
          <w:b/>
          <w:bCs/>
          <w:sz w:val="32"/>
          <w:szCs w:val="32"/>
        </w:rPr>
        <w:t xml:space="preserve">Contents</w:t>
      </w:r>
    </w:p>
    <w:p>
      <w:pPr>
        <w:tabs>
          <w:tab w:val="right" w:pos="9360" w:leader="dot"/>
        </w:tabs>
        <w:spacing w:after="60"/>
        <w:ind w:left="0"/>
      </w:pPr>
      <w:r>
        <w:rPr>
          <w:rFonts w:ascii="Cambria" w:cs="Cambria" w:eastAsia="Cambria" w:hAnsi="Cambria"/>
          <w:b/>
          <w:bCs/>
          <w:sz w:val="24"/>
          <w:szCs w:val="24"/>
        </w:rPr>
        <w:t xml:space="preserve">1 Introduction</w:t>
      </w:r>
      <w:r>
        <w:rPr>
          <w:rFonts w:ascii="Cambria" w:cs="Cambria" w:eastAsia="Cambria" w:hAnsi="Cambria"/>
          <w:sz w:val="22"/>
          <w:szCs w:val="22"/>
        </w:rPr>
        <w:t xml:space="preserve">	6</w:t>
      </w:r>
    </w:p>
    <w:p>
      <w:pPr>
        <w:tabs>
          <w:tab w:val="right" w:pos="9360" w:leader="dot"/>
        </w:tabs>
        <w:spacing w:after="60"/>
        <w:ind w:left="360"/>
      </w:pPr>
      <w:r>
        <w:rPr>
          <w:rFonts w:ascii="Cambria" w:cs="Cambria" w:eastAsia="Cambria" w:hAnsi="Cambria"/>
          <w:b w:val="false"/>
          <w:bCs w:val="false"/>
          <w:sz w:val="22"/>
          <w:szCs w:val="22"/>
        </w:rPr>
        <w:t xml:space="preserve">1.1 Research Context</w:t>
      </w:r>
      <w:r>
        <w:rPr>
          <w:rFonts w:ascii="Cambria" w:cs="Cambria" w:eastAsia="Cambria" w:hAnsi="Cambria"/>
          <w:sz w:val="22"/>
          <w:szCs w:val="22"/>
        </w:rPr>
        <w:t xml:space="preserve">	6</w:t>
      </w:r>
    </w:p>
    <w:p>
      <w:pPr>
        <w:tabs>
          <w:tab w:val="right" w:pos="9360" w:leader="dot"/>
        </w:tabs>
        <w:spacing w:after="60"/>
        <w:ind w:left="360"/>
      </w:pPr>
      <w:r>
        <w:rPr>
          <w:rFonts w:ascii="Cambria" w:cs="Cambria" w:eastAsia="Cambria" w:hAnsi="Cambria"/>
          <w:b w:val="false"/>
          <w:bCs w:val="false"/>
          <w:sz w:val="22"/>
          <w:szCs w:val="22"/>
        </w:rPr>
        <w:t xml:space="preserve">1.2 Problem Statement</w:t>
      </w:r>
      <w:r>
        <w:rPr>
          <w:rFonts w:ascii="Cambria" w:cs="Cambria" w:eastAsia="Cambria" w:hAnsi="Cambria"/>
          <w:sz w:val="22"/>
          <w:szCs w:val="22"/>
        </w:rPr>
        <w:t xml:space="preserve">	7</w:t>
      </w:r>
    </w:p>
    <w:p>
      <w:pPr>
        <w:tabs>
          <w:tab w:val="right" w:pos="9360" w:leader="dot"/>
        </w:tabs>
        <w:spacing w:after="60"/>
        <w:ind w:left="360"/>
      </w:pPr>
      <w:r>
        <w:rPr>
          <w:rFonts w:ascii="Cambria" w:cs="Cambria" w:eastAsia="Cambria" w:hAnsi="Cambria"/>
          <w:b w:val="false"/>
          <w:bCs w:val="false"/>
          <w:sz w:val="22"/>
          <w:szCs w:val="22"/>
        </w:rPr>
        <w:t xml:space="preserve">1.3 Research Motivation</w:t>
      </w:r>
      <w:r>
        <w:rPr>
          <w:rFonts w:ascii="Cambria" w:cs="Cambria" w:eastAsia="Cambria" w:hAnsi="Cambria"/>
          <w:sz w:val="22"/>
          <w:szCs w:val="22"/>
        </w:rPr>
        <w:t xml:space="preserve">	9</w:t>
      </w:r>
    </w:p>
    <w:p>
      <w:pPr>
        <w:tabs>
          <w:tab w:val="right" w:pos="9360" w:leader="dot"/>
        </w:tabs>
        <w:spacing w:after="60"/>
        <w:ind w:left="0"/>
      </w:pPr>
      <w:r>
        <w:rPr>
          <w:rFonts w:ascii="Cambria" w:cs="Cambria" w:eastAsia="Cambria" w:hAnsi="Cambria"/>
          <w:b/>
          <w:bCs/>
          <w:sz w:val="24"/>
          <w:szCs w:val="24"/>
        </w:rPr>
        <w:t xml:space="preserve">2 Systematic Literature Review</w:t>
      </w:r>
      <w:r>
        <w:rPr>
          <w:rFonts w:ascii="Cambria" w:cs="Cambria" w:eastAsia="Cambria" w:hAnsi="Cambria"/>
          <w:sz w:val="22"/>
          <w:szCs w:val="22"/>
        </w:rPr>
        <w:t xml:space="preserve">	13</w:t>
      </w:r>
    </w:p>
    <w:p>
      <w:pPr>
        <w:tabs>
          <w:tab w:val="right" w:pos="9360" w:leader="dot"/>
        </w:tabs>
        <w:spacing w:after="60"/>
        <w:ind w:left="360"/>
      </w:pPr>
      <w:r>
        <w:rPr>
          <w:rFonts w:ascii="Cambria" w:cs="Cambria" w:eastAsia="Cambria" w:hAnsi="Cambria"/>
          <w:b w:val="false"/>
          <w:bCs w:val="false"/>
          <w:sz w:val="22"/>
          <w:szCs w:val="22"/>
        </w:rPr>
        <w:t xml:space="preserve">2.1 Overview</w:t>
      </w:r>
      <w:r>
        <w:rPr>
          <w:rFonts w:ascii="Cambria" w:cs="Cambria" w:eastAsia="Cambria" w:hAnsi="Cambria"/>
          <w:sz w:val="22"/>
          <w:szCs w:val="22"/>
        </w:rPr>
        <w:t xml:space="preserve">	13</w:t>
      </w:r>
    </w:p>
    <w:p>
      <w:pPr>
        <w:tabs>
          <w:tab w:val="right" w:pos="9360" w:leader="dot"/>
        </w:tabs>
        <w:spacing w:after="60"/>
        <w:ind w:left="360"/>
      </w:pPr>
      <w:r>
        <w:rPr>
          <w:rFonts w:ascii="Cambria" w:cs="Cambria" w:eastAsia="Cambria" w:hAnsi="Cambria"/>
          <w:b w:val="false"/>
          <w:bCs w:val="false"/>
          <w:sz w:val="22"/>
          <w:szCs w:val="22"/>
        </w:rPr>
        <w:t xml:space="preserve">2.2 Systematic Literature Review Methodology</w:t>
      </w:r>
      <w:r>
        <w:rPr>
          <w:rFonts w:ascii="Cambria" w:cs="Cambria" w:eastAsia="Cambria" w:hAnsi="Cambria"/>
          <w:sz w:val="22"/>
          <w:szCs w:val="22"/>
        </w:rPr>
        <w:t xml:space="preserve">	13</w:t>
      </w:r>
    </w:p>
    <w:p>
      <w:pPr>
        <w:tabs>
          <w:tab w:val="right" w:pos="9360" w:leader="dot"/>
        </w:tabs>
        <w:spacing w:after="60"/>
        <w:ind w:left="720"/>
      </w:pPr>
      <w:r>
        <w:rPr>
          <w:rFonts w:ascii="Cambria" w:cs="Cambria" w:eastAsia="Cambria" w:hAnsi="Cambria"/>
          <w:b w:val="false"/>
          <w:bCs w:val="false"/>
          <w:sz w:val="20"/>
          <w:szCs w:val="20"/>
        </w:rPr>
        <w:t xml:space="preserve">2.2.1 Review Design and Reporting Framework</w:t>
      </w:r>
      <w:r>
        <w:rPr>
          <w:rFonts w:ascii="Cambria" w:cs="Cambria" w:eastAsia="Cambria" w:hAnsi="Cambria"/>
          <w:sz w:val="20"/>
          <w:szCs w:val="20"/>
        </w:rPr>
        <w:t xml:space="preserve">	14</w:t>
      </w:r>
    </w:p>
    <w:p>
      <w:pPr>
        <w:tabs>
          <w:tab w:val="right" w:pos="9360" w:leader="dot"/>
        </w:tabs>
        <w:spacing w:after="60"/>
        <w:ind w:left="720"/>
      </w:pPr>
      <w:r>
        <w:rPr>
          <w:rFonts w:ascii="Cambria" w:cs="Cambria" w:eastAsia="Cambria" w:hAnsi="Cambria"/>
          <w:b w:val="false"/>
          <w:bCs w:val="false"/>
          <w:sz w:val="20"/>
          <w:szCs w:val="20"/>
        </w:rPr>
        <w:t xml:space="preserve">2.2.2 Questions for Review</w:t>
      </w:r>
      <w:r>
        <w:rPr>
          <w:rFonts w:ascii="Cambria" w:cs="Cambria" w:eastAsia="Cambria" w:hAnsi="Cambria"/>
          <w:sz w:val="20"/>
          <w:szCs w:val="20"/>
        </w:rPr>
        <w:t xml:space="preserve">	14</w:t>
      </w:r>
    </w:p>
    <w:p>
      <w:pPr>
        <w:tabs>
          <w:tab w:val="right" w:pos="9360" w:leader="dot"/>
        </w:tabs>
        <w:spacing w:after="60"/>
        <w:ind w:left="720"/>
      </w:pPr>
      <w:r>
        <w:rPr>
          <w:rFonts w:ascii="Cambria" w:cs="Cambria" w:eastAsia="Cambria" w:hAnsi="Cambria"/>
          <w:b w:val="false"/>
          <w:bCs w:val="false"/>
          <w:sz w:val="20"/>
          <w:szCs w:val="20"/>
        </w:rPr>
        <w:t xml:space="preserve">2.2.3 Search Databases and Search Strategy</w:t>
      </w:r>
      <w:r>
        <w:rPr>
          <w:rFonts w:ascii="Cambria" w:cs="Cambria" w:eastAsia="Cambria" w:hAnsi="Cambria"/>
          <w:sz w:val="20"/>
          <w:szCs w:val="20"/>
        </w:rPr>
        <w:t xml:space="preserve">	15</w:t>
      </w:r>
    </w:p>
    <w:p>
      <w:pPr>
        <w:tabs>
          <w:tab w:val="right" w:pos="9360" w:leader="dot"/>
        </w:tabs>
        <w:spacing w:after="60"/>
        <w:ind w:left="720"/>
      </w:pPr>
      <w:r>
        <w:rPr>
          <w:rFonts w:ascii="Cambria" w:cs="Cambria" w:eastAsia="Cambria" w:hAnsi="Cambria"/>
          <w:b w:val="false"/>
          <w:bCs w:val="false"/>
          <w:sz w:val="20"/>
          <w:szCs w:val="20"/>
        </w:rPr>
        <w:t xml:space="preserve">2.2.4 Search Period and Search Execution</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2.2.5 Eligibility Criteria</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2.2.6 Screening and Study Selection</w:t>
      </w:r>
      <w:r>
        <w:rPr>
          <w:rFonts w:ascii="Cambria" w:cs="Cambria" w:eastAsia="Cambria" w:hAnsi="Cambria"/>
          <w:sz w:val="20"/>
          <w:szCs w:val="20"/>
        </w:rPr>
        <w:t xml:space="preserve">	18</w:t>
      </w:r>
    </w:p>
    <w:p>
      <w:pPr>
        <w:tabs>
          <w:tab w:val="right" w:pos="9360" w:leader="dot"/>
        </w:tabs>
        <w:spacing w:after="60"/>
        <w:ind w:left="720"/>
      </w:pPr>
      <w:r>
        <w:rPr>
          <w:rFonts w:ascii="Cambria" w:cs="Cambria" w:eastAsia="Cambria" w:hAnsi="Cambria"/>
          <w:b w:val="false"/>
          <w:bCs w:val="false"/>
          <w:sz w:val="20"/>
          <w:szCs w:val="20"/>
        </w:rPr>
        <w:t xml:space="preserve">2.2.7 Data Extraction and Synthesis</w:t>
      </w:r>
      <w:r>
        <w:rPr>
          <w:rFonts w:ascii="Cambria" w:cs="Cambria" w:eastAsia="Cambria" w:hAnsi="Cambria"/>
          <w:sz w:val="20"/>
          <w:szCs w:val="20"/>
        </w:rPr>
        <w:t xml:space="preserve">	19</w:t>
      </w:r>
    </w:p>
    <w:p>
      <w:pPr>
        <w:tabs>
          <w:tab w:val="right" w:pos="9360" w:leader="dot"/>
        </w:tabs>
        <w:spacing w:after="60"/>
        <w:ind w:left="360"/>
      </w:pPr>
      <w:r>
        <w:rPr>
          <w:rFonts w:ascii="Cambria" w:cs="Cambria" w:eastAsia="Cambria" w:hAnsi="Cambria"/>
          <w:b w:val="false"/>
          <w:bCs w:val="false"/>
          <w:sz w:val="22"/>
          <w:szCs w:val="22"/>
        </w:rPr>
        <w:t xml:space="preserve">2.3 Review</w:t>
      </w:r>
      <w:r>
        <w:rPr>
          <w:rFonts w:ascii="Cambria" w:cs="Cambria" w:eastAsia="Cambria" w:hAnsi="Cambria"/>
          <w:sz w:val="22"/>
          <w:szCs w:val="22"/>
        </w:rPr>
        <w:t xml:space="preserve">	20</w:t>
      </w:r>
    </w:p>
    <w:p>
      <w:pPr>
        <w:tabs>
          <w:tab w:val="right" w:pos="9360" w:leader="dot"/>
        </w:tabs>
        <w:spacing w:after="60"/>
        <w:ind w:left="720"/>
      </w:pPr>
      <w:r>
        <w:rPr>
          <w:rFonts w:ascii="Cambria" w:cs="Cambria" w:eastAsia="Cambria" w:hAnsi="Cambria"/>
          <w:b w:val="false"/>
          <w:bCs w:val="false"/>
          <w:sz w:val="20"/>
          <w:szCs w:val="20"/>
        </w:rPr>
        <w:t xml:space="preserve">2.3.1 Healthcare Consent and Decentralised Data Governance</w:t>
      </w:r>
      <w:r>
        <w:rPr>
          <w:rFonts w:ascii="Cambria" w:cs="Cambria" w:eastAsia="Cambria" w:hAnsi="Cambria"/>
          <w:sz w:val="20"/>
          <w:szCs w:val="20"/>
        </w:rPr>
        <w:t xml:space="preserve">	21</w:t>
      </w:r>
    </w:p>
    <w:p>
      <w:pPr>
        <w:tabs>
          <w:tab w:val="right" w:pos="9360" w:leader="dot"/>
        </w:tabs>
        <w:spacing w:after="60"/>
        <w:ind w:left="720"/>
      </w:pPr>
      <w:r>
        <w:rPr>
          <w:rFonts w:ascii="Cambria" w:cs="Cambria" w:eastAsia="Cambria" w:hAnsi="Cambria"/>
          <w:b w:val="false"/>
          <w:bCs w:val="false"/>
          <w:sz w:val="20"/>
          <w:szCs w:val="20"/>
        </w:rPr>
        <w:t xml:space="preserve">2.3.2 Blockchain-Based Consent and Data Governance</w:t>
      </w:r>
      <w:r>
        <w:rPr>
          <w:rFonts w:ascii="Cambria" w:cs="Cambria" w:eastAsia="Cambria" w:hAnsi="Cambria"/>
          <w:sz w:val="20"/>
          <w:szCs w:val="20"/>
        </w:rPr>
        <w:t xml:space="preserve">	22</w:t>
      </w:r>
    </w:p>
    <w:p>
      <w:pPr>
        <w:tabs>
          <w:tab w:val="right" w:pos="9360" w:leader="dot"/>
        </w:tabs>
        <w:spacing w:after="60"/>
        <w:ind w:left="720"/>
      </w:pPr>
      <w:r>
        <w:rPr>
          <w:rFonts w:ascii="Cambria" w:cs="Cambria" w:eastAsia="Cambria" w:hAnsi="Cambria"/>
          <w:b w:val="false"/>
          <w:bCs w:val="false"/>
          <w:sz w:val="20"/>
          <w:szCs w:val="20"/>
        </w:rPr>
        <w:t xml:space="preserve">2.3.3 Decentralised Identity and Verifiable Credentials</w:t>
      </w:r>
      <w:r>
        <w:rPr>
          <w:rFonts w:ascii="Cambria" w:cs="Cambria" w:eastAsia="Cambria" w:hAnsi="Cambria"/>
          <w:sz w:val="20"/>
          <w:szCs w:val="20"/>
        </w:rPr>
        <w:t xml:space="preserve">	23</w:t>
      </w:r>
    </w:p>
    <w:p>
      <w:pPr>
        <w:tabs>
          <w:tab w:val="right" w:pos="9360" w:leader="dot"/>
        </w:tabs>
        <w:spacing w:after="60"/>
        <w:ind w:left="720"/>
      </w:pPr>
      <w:r>
        <w:rPr>
          <w:rFonts w:ascii="Cambria" w:cs="Cambria" w:eastAsia="Cambria" w:hAnsi="Cambria"/>
          <w:b w:val="false"/>
          <w:bCs w:val="false"/>
          <w:sz w:val="20"/>
          <w:szCs w:val="20"/>
        </w:rPr>
        <w:t xml:space="preserve">2.3.4 Multi-Party Authorisation and Collaborative Consent</w:t>
      </w:r>
      <w:r>
        <w:rPr>
          <w:rFonts w:ascii="Cambria" w:cs="Cambria" w:eastAsia="Cambria" w:hAnsi="Cambria"/>
          <w:sz w:val="20"/>
          <w:szCs w:val="20"/>
        </w:rPr>
        <w:t xml:space="preserve">	24</w:t>
      </w:r>
    </w:p>
    <w:p>
      <w:pPr>
        <w:tabs>
          <w:tab w:val="right" w:pos="9360" w:leader="dot"/>
        </w:tabs>
        <w:spacing w:after="60"/>
        <w:ind w:left="720"/>
      </w:pPr>
      <w:r>
        <w:rPr>
          <w:rFonts w:ascii="Cambria" w:cs="Cambria" w:eastAsia="Cambria" w:hAnsi="Cambria"/>
          <w:b w:val="false"/>
          <w:bCs w:val="false"/>
          <w:sz w:val="20"/>
          <w:szCs w:val="20"/>
        </w:rPr>
        <w:t xml:space="preserve">2.3.5 Policy-Based and Context-Aware Access Control</w:t>
      </w:r>
      <w:r>
        <w:rPr>
          <w:rFonts w:ascii="Cambria" w:cs="Cambria" w:eastAsia="Cambria" w:hAnsi="Cambria"/>
          <w:sz w:val="20"/>
          <w:szCs w:val="20"/>
        </w:rPr>
        <w:t xml:space="preserve">	25</w:t>
      </w:r>
    </w:p>
    <w:p>
      <w:pPr>
        <w:tabs>
          <w:tab w:val="right" w:pos="9360" w:leader="dot"/>
        </w:tabs>
        <w:spacing w:after="60"/>
        <w:ind w:left="720"/>
      </w:pPr>
      <w:r>
        <w:rPr>
          <w:rFonts w:ascii="Cambria" w:cs="Cambria" w:eastAsia="Cambria" w:hAnsi="Cambria"/>
          <w:b w:val="false"/>
          <w:bCs w:val="false"/>
          <w:sz w:val="20"/>
          <w:szCs w:val="20"/>
        </w:rPr>
        <w:t xml:space="preserve">2.3.6 Trusted Computing, Secure Execution, and Security Assurance</w:t>
      </w:r>
      <w:r>
        <w:rPr>
          <w:rFonts w:ascii="Cambria" w:cs="Cambria" w:eastAsia="Cambria" w:hAnsi="Cambria"/>
          <w:sz w:val="20"/>
          <w:szCs w:val="20"/>
        </w:rPr>
        <w:t xml:space="preserve">	26</w:t>
      </w:r>
    </w:p>
    <w:p>
      <w:pPr>
        <w:tabs>
          <w:tab w:val="right" w:pos="9360" w:leader="dot"/>
        </w:tabs>
        <w:spacing w:after="60"/>
        <w:ind w:left="720"/>
      </w:pPr>
      <w:r>
        <w:rPr>
          <w:rFonts w:ascii="Cambria" w:cs="Cambria" w:eastAsia="Cambria" w:hAnsi="Cambria"/>
          <w:b w:val="false"/>
          <w:bCs w:val="false"/>
          <w:sz w:val="20"/>
          <w:szCs w:val="20"/>
        </w:rPr>
        <w:t xml:space="preserve">2.3.7 Comparative Analysis of Existing Approaches</w:t>
      </w:r>
      <w:r>
        <w:rPr>
          <w:rFonts w:ascii="Cambria" w:cs="Cambria" w:eastAsia="Cambria" w:hAnsi="Cambria"/>
          <w:sz w:val="20"/>
          <w:szCs w:val="20"/>
        </w:rPr>
        <w:t xml:space="preserve">	28</w:t>
      </w:r>
    </w:p>
    <w:p>
      <w:pPr>
        <w:tabs>
          <w:tab w:val="right" w:pos="9360" w:leader="dot"/>
        </w:tabs>
        <w:spacing w:after="60"/>
        <w:ind w:left="360"/>
      </w:pPr>
      <w:r>
        <w:rPr>
          <w:rFonts w:ascii="Cambria" w:cs="Cambria" w:eastAsia="Cambria" w:hAnsi="Cambria"/>
          <w:b w:val="false"/>
          <w:bCs w:val="false"/>
          <w:sz w:val="22"/>
          <w:szCs w:val="22"/>
        </w:rPr>
        <w:t xml:space="preserve">2.4 Synthesis and Research Gap</w:t>
      </w:r>
      <w:r>
        <w:rPr>
          <w:rFonts w:ascii="Cambria" w:cs="Cambria" w:eastAsia="Cambria" w:hAnsi="Cambria"/>
          <w:sz w:val="22"/>
          <w:szCs w:val="22"/>
        </w:rPr>
        <w:t xml:space="preserve">	29</w:t>
      </w:r>
    </w:p>
    <w:p>
      <w:pPr>
        <w:tabs>
          <w:tab w:val="right" w:pos="9360" w:leader="dot"/>
        </w:tabs>
        <w:spacing w:after="60"/>
        <w:ind w:left="0"/>
      </w:pPr>
      <w:r>
        <w:rPr>
          <w:rFonts w:ascii="Cambria" w:cs="Cambria" w:eastAsia="Cambria" w:hAnsi="Cambria"/>
          <w:b/>
          <w:bCs/>
          <w:sz w:val="24"/>
          <w:szCs w:val="24"/>
        </w:rPr>
        <w:t xml:space="preserve">3 Research Gaps and Questions</w:t>
      </w:r>
      <w:r>
        <w:rPr>
          <w:rFonts w:ascii="Cambria" w:cs="Cambria" w:eastAsia="Cambria" w:hAnsi="Cambria"/>
          <w:sz w:val="22"/>
          <w:szCs w:val="22"/>
        </w:rPr>
        <w:t xml:space="preserve">	32</w:t>
      </w:r>
    </w:p>
    <w:p>
      <w:pPr>
        <w:tabs>
          <w:tab w:val="right" w:pos="9360" w:leader="dot"/>
        </w:tabs>
        <w:spacing w:after="60"/>
        <w:ind w:left="360"/>
      </w:pPr>
      <w:r>
        <w:rPr>
          <w:rFonts w:ascii="Cambria" w:cs="Cambria" w:eastAsia="Cambria" w:hAnsi="Cambria"/>
          <w:b w:val="false"/>
          <w:bCs w:val="false"/>
          <w:sz w:val="22"/>
          <w:szCs w:val="22"/>
        </w:rPr>
        <w:t xml:space="preserve">3.1 Research Gap</w:t>
      </w:r>
      <w:r>
        <w:rPr>
          <w:rFonts w:ascii="Cambria" w:cs="Cambria" w:eastAsia="Cambria" w:hAnsi="Cambria"/>
          <w:sz w:val="22"/>
          <w:szCs w:val="22"/>
        </w:rPr>
        <w:t xml:space="preserve">	32</w:t>
      </w:r>
    </w:p>
    <w:p>
      <w:pPr>
        <w:tabs>
          <w:tab w:val="right" w:pos="9360" w:leader="dot"/>
        </w:tabs>
        <w:spacing w:after="60"/>
        <w:ind w:left="360"/>
      </w:pPr>
      <w:r>
        <w:rPr>
          <w:rFonts w:ascii="Cambria" w:cs="Cambria" w:eastAsia="Cambria" w:hAnsi="Cambria"/>
          <w:b w:val="false"/>
          <w:bCs w:val="false"/>
          <w:sz w:val="22"/>
          <w:szCs w:val="22"/>
        </w:rPr>
        <w:t xml:space="preserve">3.2 Main Research Question</w:t>
      </w:r>
      <w:r>
        <w:rPr>
          <w:rFonts w:ascii="Cambria" w:cs="Cambria" w:eastAsia="Cambria" w:hAnsi="Cambria"/>
          <w:sz w:val="22"/>
          <w:szCs w:val="22"/>
        </w:rPr>
        <w:t xml:space="preserve">	33</w:t>
      </w:r>
    </w:p>
    <w:p>
      <w:pPr>
        <w:tabs>
          <w:tab w:val="right" w:pos="9360" w:leader="dot"/>
        </w:tabs>
        <w:spacing w:after="60"/>
        <w:ind w:left="360"/>
      </w:pPr>
      <w:r>
        <w:rPr>
          <w:rFonts w:ascii="Cambria" w:cs="Cambria" w:eastAsia="Cambria" w:hAnsi="Cambria"/>
          <w:b w:val="false"/>
          <w:bCs w:val="false"/>
          <w:sz w:val="22"/>
          <w:szCs w:val="22"/>
        </w:rPr>
        <w:t xml:space="preserve">3.3 Sub-Research Questions</w:t>
      </w:r>
      <w:r>
        <w:rPr>
          <w:rFonts w:ascii="Cambria" w:cs="Cambria" w:eastAsia="Cambria" w:hAnsi="Cambria"/>
          <w:sz w:val="22"/>
          <w:szCs w:val="22"/>
        </w:rPr>
        <w:t xml:space="preserve">	34</w:t>
      </w:r>
    </w:p>
    <w:p>
      <w:pPr>
        <w:tabs>
          <w:tab w:val="right" w:pos="9360" w:leader="dot"/>
        </w:tabs>
        <w:spacing w:after="60"/>
        <w:ind w:left="720"/>
      </w:pPr>
      <w:r>
        <w:rPr>
          <w:rFonts w:ascii="Cambria" w:cs="Cambria" w:eastAsia="Cambria" w:hAnsi="Cambria"/>
          <w:b w:val="false"/>
          <w:bCs w:val="false"/>
          <w:sz w:val="20"/>
          <w:szCs w:val="20"/>
        </w:rPr>
        <w:t xml:space="preserve">3.3.1 SRQ1: Trust-Centric Consent Modelling</w:t>
      </w:r>
      <w:r>
        <w:rPr>
          <w:rFonts w:ascii="Cambria" w:cs="Cambria" w:eastAsia="Cambria" w:hAnsi="Cambria"/>
          <w:sz w:val="20"/>
          <w:szCs w:val="20"/>
        </w:rPr>
        <w:t xml:space="preserve">	34</w:t>
      </w:r>
    </w:p>
    <w:p>
      <w:pPr>
        <w:tabs>
          <w:tab w:val="right" w:pos="9360" w:leader="dot"/>
        </w:tabs>
        <w:spacing w:after="60"/>
        <w:ind w:left="720"/>
      </w:pPr>
      <w:r>
        <w:rPr>
          <w:rFonts w:ascii="Cambria" w:cs="Cambria" w:eastAsia="Cambria" w:hAnsi="Cambria"/>
          <w:b w:val="false"/>
          <w:bCs w:val="false"/>
          <w:sz w:val="20"/>
          <w:szCs w:val="20"/>
        </w:rPr>
        <w:t xml:space="preserve">3.3.2 SRQ2: Decentralised Identity and Authority Trust</w:t>
      </w:r>
      <w:r>
        <w:rPr>
          <w:rFonts w:ascii="Cambria" w:cs="Cambria" w:eastAsia="Cambria" w:hAnsi="Cambria"/>
          <w:sz w:val="20"/>
          <w:szCs w:val="20"/>
        </w:rPr>
        <w:t xml:space="preserve">	35</w:t>
      </w:r>
    </w:p>
    <w:p>
      <w:pPr>
        <w:tabs>
          <w:tab w:val="right" w:pos="9360" w:leader="dot"/>
        </w:tabs>
        <w:spacing w:after="60"/>
        <w:ind w:left="720"/>
      </w:pPr>
      <w:r>
        <w:rPr>
          <w:rFonts w:ascii="Cambria" w:cs="Cambria" w:eastAsia="Cambria" w:hAnsi="Cambria"/>
          <w:b w:val="false"/>
          <w:bCs w:val="false"/>
          <w:sz w:val="20"/>
          <w:szCs w:val="20"/>
        </w:rPr>
        <w:t xml:space="preserve">3.3.3 SRQ3: Trustworthy Multi-Party Authorisation</w:t>
      </w:r>
      <w:r>
        <w:rPr>
          <w:rFonts w:ascii="Cambria" w:cs="Cambria" w:eastAsia="Cambria" w:hAnsi="Cambria"/>
          <w:sz w:val="20"/>
          <w:szCs w:val="20"/>
        </w:rPr>
        <w:t xml:space="preserve">	35</w:t>
      </w:r>
    </w:p>
    <w:p>
      <w:pPr>
        <w:tabs>
          <w:tab w:val="right" w:pos="9360" w:leader="dot"/>
        </w:tabs>
        <w:spacing w:after="60"/>
        <w:ind w:left="720"/>
      </w:pPr>
      <w:r>
        <w:rPr>
          <w:rFonts w:ascii="Cambria" w:cs="Cambria" w:eastAsia="Cambria" w:hAnsi="Cambria"/>
          <w:b w:val="false"/>
          <w:bCs w:val="false"/>
          <w:sz w:val="20"/>
          <w:szCs w:val="20"/>
        </w:rPr>
        <w:t xml:space="preserve">3.3.4 SRQ4: Policy- and Context-Aware Access Control</w:t>
      </w:r>
      <w:r>
        <w:rPr>
          <w:rFonts w:ascii="Cambria" w:cs="Cambria" w:eastAsia="Cambria" w:hAnsi="Cambria"/>
          <w:sz w:val="20"/>
          <w:szCs w:val="20"/>
        </w:rPr>
        <w:t xml:space="preserve">	36</w:t>
      </w:r>
    </w:p>
    <w:p>
      <w:pPr>
        <w:tabs>
          <w:tab w:val="right" w:pos="9360" w:leader="dot"/>
        </w:tabs>
        <w:spacing w:after="60"/>
        <w:ind w:left="720"/>
      </w:pPr>
      <w:r>
        <w:rPr>
          <w:rFonts w:ascii="Cambria" w:cs="Cambria" w:eastAsia="Cambria" w:hAnsi="Cambria"/>
          <w:b w:val="false"/>
          <w:bCs w:val="false"/>
          <w:sz w:val="20"/>
          <w:szCs w:val="20"/>
        </w:rPr>
        <w:t xml:space="preserve">3.3.5 SRQ5: Temporal and Lifecycle Trust</w:t>
      </w:r>
      <w:r>
        <w:rPr>
          <w:rFonts w:ascii="Cambria" w:cs="Cambria" w:eastAsia="Cambria" w:hAnsi="Cambria"/>
          <w:sz w:val="20"/>
          <w:szCs w:val="20"/>
        </w:rPr>
        <w:t xml:space="preserve">	37</w:t>
      </w:r>
    </w:p>
    <w:p>
      <w:pPr>
        <w:tabs>
          <w:tab w:val="right" w:pos="9360" w:leader="dot"/>
        </w:tabs>
        <w:spacing w:after="60"/>
        <w:ind w:left="720"/>
      </w:pPr>
      <w:r>
        <w:rPr>
          <w:rFonts w:ascii="Cambria" w:cs="Cambria" w:eastAsia="Cambria" w:hAnsi="Cambria"/>
          <w:b w:val="false"/>
          <w:bCs w:val="false"/>
          <w:sz w:val="20"/>
          <w:szCs w:val="20"/>
        </w:rPr>
        <w:t xml:space="preserve">3.3.6 SRQ6: Formal Security Assurance and Empirical Validation</w:t>
      </w:r>
      <w:r>
        <w:rPr>
          <w:rFonts w:ascii="Cambria" w:cs="Cambria" w:eastAsia="Cambria" w:hAnsi="Cambria"/>
          <w:sz w:val="20"/>
          <w:szCs w:val="20"/>
        </w:rPr>
        <w:t xml:space="preserve">	38</w:t>
      </w:r>
    </w:p>
    <w:p>
      <w:pPr>
        <w:tabs>
          <w:tab w:val="right" w:pos="9360" w:leader="dot"/>
        </w:tabs>
        <w:spacing w:after="60"/>
        <w:ind w:left="360"/>
      </w:pPr>
      <w:r>
        <w:rPr>
          <w:rFonts w:ascii="Cambria" w:cs="Cambria" w:eastAsia="Cambria" w:hAnsi="Cambria"/>
          <w:b w:val="false"/>
          <w:bCs w:val="false"/>
          <w:sz w:val="22"/>
          <w:szCs w:val="22"/>
        </w:rPr>
        <w:t xml:space="preserve">3.4 Research Questions as an Integrated Research Problem</w:t>
      </w:r>
      <w:r>
        <w:rPr>
          <w:rFonts w:ascii="Cambria" w:cs="Cambria" w:eastAsia="Cambria" w:hAnsi="Cambria"/>
          <w:sz w:val="22"/>
          <w:szCs w:val="22"/>
        </w:rPr>
        <w:t xml:space="preserve">	39</w:t>
      </w:r>
    </w:p>
    <w:p>
      <w:pPr>
        <w:tabs>
          <w:tab w:val="right" w:pos="9360" w:leader="dot"/>
        </w:tabs>
        <w:spacing w:after="60"/>
        <w:ind w:left="0"/>
      </w:pPr>
      <w:r>
        <w:rPr>
          <w:rFonts w:ascii="Cambria" w:cs="Cambria" w:eastAsia="Cambria" w:hAnsi="Cambria"/>
          <w:b/>
          <w:bCs/>
          <w:sz w:val="24"/>
          <w:szCs w:val="24"/>
        </w:rPr>
        <w:t xml:space="preserve">4 Research Objectives</w:t>
      </w:r>
      <w:r>
        <w:rPr>
          <w:rFonts w:ascii="Cambria" w:cs="Cambria" w:eastAsia="Cambria" w:hAnsi="Cambria"/>
          <w:sz w:val="22"/>
          <w:szCs w:val="22"/>
        </w:rPr>
        <w:t xml:space="preserve">	42</w:t>
      </w:r>
    </w:p>
    <w:p>
      <w:pPr>
        <w:tabs>
          <w:tab w:val="right" w:pos="9360" w:leader="dot"/>
        </w:tabs>
        <w:spacing w:after="60"/>
        <w:ind w:left="360"/>
      </w:pPr>
      <w:r>
        <w:rPr>
          <w:rFonts w:ascii="Cambria" w:cs="Cambria" w:eastAsia="Cambria" w:hAnsi="Cambria"/>
          <w:b w:val="false"/>
          <w:bCs w:val="false"/>
          <w:sz w:val="22"/>
          <w:szCs w:val="22"/>
        </w:rPr>
        <w:t xml:space="preserve">4.1 RO1 - Trust-Centric Consent Model</w:t>
      </w:r>
      <w:r>
        <w:rPr>
          <w:rFonts w:ascii="Cambria" w:cs="Cambria" w:eastAsia="Cambria" w:hAnsi="Cambria"/>
          <w:sz w:val="22"/>
          <w:szCs w:val="22"/>
        </w:rPr>
        <w:t xml:space="preserve">	42</w:t>
      </w:r>
    </w:p>
    <w:p>
      <w:pPr>
        <w:tabs>
          <w:tab w:val="right" w:pos="9360" w:leader="dot"/>
        </w:tabs>
        <w:spacing w:after="60"/>
        <w:ind w:left="360"/>
      </w:pPr>
      <w:r>
        <w:rPr>
          <w:rFonts w:ascii="Cambria" w:cs="Cambria" w:eastAsia="Cambria" w:hAnsi="Cambria"/>
          <w:b w:val="false"/>
          <w:bCs w:val="false"/>
          <w:sz w:val="22"/>
          <w:szCs w:val="22"/>
        </w:rPr>
        <w:t xml:space="preserve">4.2 RO2 - Decentralised Identity and Authority Trust</w:t>
      </w:r>
      <w:r>
        <w:rPr>
          <w:rFonts w:ascii="Cambria" w:cs="Cambria" w:eastAsia="Cambria" w:hAnsi="Cambria"/>
          <w:sz w:val="22"/>
          <w:szCs w:val="22"/>
        </w:rPr>
        <w:t xml:space="preserve">	42</w:t>
      </w:r>
    </w:p>
    <w:p>
      <w:pPr>
        <w:tabs>
          <w:tab w:val="right" w:pos="9360" w:leader="dot"/>
        </w:tabs>
        <w:spacing w:after="60"/>
        <w:ind w:left="360"/>
      </w:pPr>
      <w:r>
        <w:rPr>
          <w:rFonts w:ascii="Cambria" w:cs="Cambria" w:eastAsia="Cambria" w:hAnsi="Cambria"/>
          <w:b w:val="false"/>
          <w:bCs w:val="false"/>
          <w:sz w:val="22"/>
          <w:szCs w:val="22"/>
        </w:rPr>
        <w:t xml:space="preserve">4.3 RO3 - Trustworthy Multi-Party Authorisation</w:t>
      </w:r>
      <w:r>
        <w:rPr>
          <w:rFonts w:ascii="Cambria" w:cs="Cambria" w:eastAsia="Cambria" w:hAnsi="Cambria"/>
          <w:sz w:val="22"/>
          <w:szCs w:val="22"/>
        </w:rPr>
        <w:t xml:space="preserve">	42</w:t>
      </w:r>
    </w:p>
    <w:p>
      <w:pPr>
        <w:tabs>
          <w:tab w:val="right" w:pos="9360" w:leader="dot"/>
        </w:tabs>
        <w:spacing w:after="60"/>
        <w:ind w:left="360"/>
      </w:pPr>
      <w:r>
        <w:rPr>
          <w:rFonts w:ascii="Cambria" w:cs="Cambria" w:eastAsia="Cambria" w:hAnsi="Cambria"/>
          <w:b w:val="false"/>
          <w:bCs w:val="false"/>
          <w:sz w:val="22"/>
          <w:szCs w:val="22"/>
        </w:rPr>
        <w:t xml:space="preserve">4.4 RO4 - Policy- and Context-Aware Access Control</w:t>
      </w:r>
      <w:r>
        <w:rPr>
          <w:rFonts w:ascii="Cambria" w:cs="Cambria" w:eastAsia="Cambria" w:hAnsi="Cambria"/>
          <w:sz w:val="22"/>
          <w:szCs w:val="22"/>
        </w:rPr>
        <w:t xml:space="preserve">	43</w:t>
      </w:r>
    </w:p>
    <w:p>
      <w:pPr>
        <w:tabs>
          <w:tab w:val="right" w:pos="9360" w:leader="dot"/>
        </w:tabs>
        <w:spacing w:after="60"/>
        <w:ind w:left="360"/>
      </w:pPr>
      <w:r>
        <w:rPr>
          <w:rFonts w:ascii="Cambria" w:cs="Cambria" w:eastAsia="Cambria" w:hAnsi="Cambria"/>
          <w:b w:val="false"/>
          <w:bCs w:val="false"/>
          <w:sz w:val="22"/>
          <w:szCs w:val="22"/>
        </w:rPr>
        <w:t xml:space="preserve">4.5 RO5 - Temporal and Lifecycle Trust</w:t>
      </w:r>
      <w:r>
        <w:rPr>
          <w:rFonts w:ascii="Cambria" w:cs="Cambria" w:eastAsia="Cambria" w:hAnsi="Cambria"/>
          <w:sz w:val="22"/>
          <w:szCs w:val="22"/>
        </w:rPr>
        <w:t xml:space="preserve">	43</w:t>
      </w:r>
    </w:p>
    <w:p>
      <w:pPr>
        <w:tabs>
          <w:tab w:val="right" w:pos="9360" w:leader="dot"/>
        </w:tabs>
        <w:spacing w:after="60"/>
        <w:ind w:left="360"/>
      </w:pPr>
      <w:r>
        <w:rPr>
          <w:rFonts w:ascii="Cambria" w:cs="Cambria" w:eastAsia="Cambria" w:hAnsi="Cambria"/>
          <w:b w:val="false"/>
          <w:bCs w:val="false"/>
          <w:sz w:val="22"/>
          <w:szCs w:val="22"/>
        </w:rPr>
        <w:t xml:space="preserve">4.6 RO6 - Formal Security Assurance and Empirical Validation</w:t>
      </w:r>
      <w:r>
        <w:rPr>
          <w:rFonts w:ascii="Cambria" w:cs="Cambria" w:eastAsia="Cambria" w:hAnsi="Cambria"/>
          <w:sz w:val="22"/>
          <w:szCs w:val="22"/>
        </w:rPr>
        <w:t xml:space="preserve">	44</w:t>
      </w:r>
    </w:p>
    <w:p>
      <w:pPr>
        <w:tabs>
          <w:tab w:val="right" w:pos="9360" w:leader="dot"/>
        </w:tabs>
        <w:spacing w:after="60"/>
        <w:ind w:left="360"/>
      </w:pPr>
      <w:r>
        <w:rPr>
          <w:rFonts w:ascii="Cambria" w:cs="Cambria" w:eastAsia="Cambria" w:hAnsi="Cambria"/>
          <w:b w:val="false"/>
          <w:bCs w:val="false"/>
          <w:sz w:val="22"/>
          <w:szCs w:val="22"/>
        </w:rPr>
        <w:t xml:space="preserve">4.7 Relationship Between Research Questions and Objectives</w:t>
      </w:r>
      <w:r>
        <w:rPr>
          <w:rFonts w:ascii="Cambria" w:cs="Cambria" w:eastAsia="Cambria" w:hAnsi="Cambria"/>
          <w:sz w:val="22"/>
          <w:szCs w:val="22"/>
        </w:rPr>
        <w:t xml:space="preserve">	45</w:t>
      </w:r>
    </w:p>
    <w:p>
      <w:pPr>
        <w:tabs>
          <w:tab w:val="right" w:pos="9360" w:leader="dot"/>
        </w:tabs>
        <w:spacing w:after="60"/>
        <w:ind w:left="0"/>
      </w:pPr>
      <w:r>
        <w:rPr>
          <w:rFonts w:ascii="Cambria" w:cs="Cambria" w:eastAsia="Cambria" w:hAnsi="Cambria"/>
          <w:b/>
          <w:bCs/>
          <w:sz w:val="24"/>
          <w:szCs w:val="24"/>
        </w:rPr>
        <w:t xml:space="preserve">5 Research Architecture: MVC</w:t>
      </w:r>
      <w:r>
        <w:rPr>
          <w:rFonts w:ascii="Cambria" w:cs="Cambria" w:eastAsia="Cambria" w:hAnsi="Cambria"/>
          <w:sz w:val="22"/>
          <w:szCs w:val="22"/>
        </w:rPr>
        <w:t xml:space="preserve">	48</w:t>
      </w:r>
    </w:p>
    <w:p>
      <w:pPr>
        <w:tabs>
          <w:tab w:val="right" w:pos="9360" w:leader="dot"/>
        </w:tabs>
        <w:spacing w:after="60"/>
        <w:ind w:left="360"/>
      </w:pPr>
      <w:r>
        <w:rPr>
          <w:rFonts w:ascii="Cambria" w:cs="Cambria" w:eastAsia="Cambria" w:hAnsi="Cambria"/>
          <w:b w:val="false"/>
          <w:bCs w:val="false"/>
          <w:sz w:val="22"/>
          <w:szCs w:val="22"/>
        </w:rPr>
        <w:t xml:space="preserve">5.1 MVC Layered Architecture and Component Decomposition</w:t>
      </w:r>
      <w:r>
        <w:rPr>
          <w:rFonts w:ascii="Cambria" w:cs="Cambria" w:eastAsia="Cambria" w:hAnsi="Cambria"/>
          <w:sz w:val="22"/>
          <w:szCs w:val="22"/>
        </w:rPr>
        <w:t xml:space="preserve">	48</w:t>
      </w:r>
    </w:p>
    <w:p>
      <w:pPr>
        <w:tabs>
          <w:tab w:val="right" w:pos="9360" w:leader="dot"/>
        </w:tabs>
        <w:spacing w:after="60"/>
        <w:ind w:left="720"/>
      </w:pPr>
      <w:r>
        <w:rPr>
          <w:rFonts w:ascii="Cambria" w:cs="Cambria" w:eastAsia="Cambria" w:hAnsi="Cambria"/>
          <w:b w:val="false"/>
          <w:bCs w:val="false"/>
          <w:sz w:val="20"/>
          <w:szCs w:val="20"/>
        </w:rPr>
        <w:t xml:space="preserve">5.1.1 MVC Component Decomposition</w:t>
      </w:r>
      <w:r>
        <w:rPr>
          <w:rFonts w:ascii="Cambria" w:cs="Cambria" w:eastAsia="Cambria" w:hAnsi="Cambria"/>
          <w:sz w:val="20"/>
          <w:szCs w:val="20"/>
        </w:rPr>
        <w:t xml:space="preserve">	50</w:t>
      </w:r>
    </w:p>
    <w:p>
      <w:pPr>
        <w:tabs>
          <w:tab w:val="right" w:pos="9360" w:leader="dot"/>
        </w:tabs>
        <w:spacing w:after="60"/>
        <w:ind w:left="720"/>
      </w:pPr>
      <w:r>
        <w:rPr>
          <w:rFonts w:ascii="Cambria" w:cs="Cambria" w:eastAsia="Cambria" w:hAnsi="Cambria"/>
          <w:b w:val="false"/>
          <w:bCs w:val="false"/>
          <w:sz w:val="20"/>
          <w:szCs w:val="20"/>
        </w:rPr>
        <w:t xml:space="preserve">5.1.2 Trust Evaluation Across the MVC Layers</w:t>
      </w:r>
      <w:r>
        <w:rPr>
          <w:rFonts w:ascii="Cambria" w:cs="Cambria" w:eastAsia="Cambria" w:hAnsi="Cambria"/>
          <w:sz w:val="20"/>
          <w:szCs w:val="20"/>
        </w:rPr>
        <w:t xml:space="preserve">	52</w:t>
      </w:r>
    </w:p>
    <w:p>
      <w:pPr>
        <w:tabs>
          <w:tab w:val="right" w:pos="9360" w:leader="dot"/>
        </w:tabs>
        <w:spacing w:after="60"/>
        <w:ind w:left="720"/>
      </w:pPr>
      <w:r>
        <w:rPr>
          <w:rFonts w:ascii="Cambria" w:cs="Cambria" w:eastAsia="Cambria" w:hAnsi="Cambria"/>
          <w:b w:val="false"/>
          <w:bCs w:val="false"/>
          <w:sz w:val="20"/>
          <w:szCs w:val="20"/>
        </w:rPr>
        <w:t xml:space="preserve">5.1.3 Relationship Between MVC Layers and Research Questions</w:t>
      </w:r>
      <w:r>
        <w:rPr>
          <w:rFonts w:ascii="Cambria" w:cs="Cambria" w:eastAsia="Cambria" w:hAnsi="Cambria"/>
          <w:sz w:val="20"/>
          <w:szCs w:val="20"/>
        </w:rPr>
        <w:t xml:space="preserve">	53</w:t>
      </w:r>
    </w:p>
    <w:p>
      <w:pPr>
        <w:tabs>
          <w:tab w:val="right" w:pos="9360" w:leader="dot"/>
        </w:tabs>
        <w:spacing w:after="60"/>
        <w:ind w:left="720"/>
      </w:pPr>
      <w:r>
        <w:rPr>
          <w:rFonts w:ascii="Cambria" w:cs="Cambria" w:eastAsia="Cambria" w:hAnsi="Cambria"/>
          <w:b w:val="false"/>
          <w:bCs w:val="false"/>
          <w:sz w:val="20"/>
          <w:szCs w:val="20"/>
        </w:rPr>
        <w:t xml:space="preserve">5.1.4 Architectural Boundary and Trust Assumptions</w:t>
      </w:r>
      <w:r>
        <w:rPr>
          <w:rFonts w:ascii="Cambria" w:cs="Cambria" w:eastAsia="Cambria" w:hAnsi="Cambria"/>
          <w:sz w:val="20"/>
          <w:szCs w:val="20"/>
        </w:rPr>
        <w:t xml:space="preserve">	54</w:t>
      </w:r>
    </w:p>
    <w:p>
      <w:pPr>
        <w:tabs>
          <w:tab w:val="right" w:pos="9360" w:leader="dot"/>
        </w:tabs>
        <w:spacing w:after="60"/>
        <w:ind w:left="360"/>
      </w:pPr>
      <w:r>
        <w:rPr>
          <w:rFonts w:ascii="Cambria" w:cs="Cambria" w:eastAsia="Cambria" w:hAnsi="Cambria"/>
          <w:b w:val="false"/>
          <w:bCs w:val="false"/>
          <w:sz w:val="22"/>
          <w:szCs w:val="22"/>
        </w:rPr>
        <w:t xml:space="preserve">5.2 Trust-Oriented Consent Authorisation Workflow</w:t>
      </w:r>
      <w:r>
        <w:rPr>
          <w:rFonts w:ascii="Cambria" w:cs="Cambria" w:eastAsia="Cambria" w:hAnsi="Cambria"/>
          <w:sz w:val="22"/>
          <w:szCs w:val="22"/>
        </w:rPr>
        <w:t xml:space="preserve">	55</w:t>
      </w:r>
    </w:p>
    <w:p>
      <w:pPr>
        <w:tabs>
          <w:tab w:val="right" w:pos="9360" w:leader="dot"/>
        </w:tabs>
        <w:spacing w:after="60"/>
        <w:ind w:left="360"/>
      </w:pPr>
      <w:r>
        <w:rPr>
          <w:rFonts w:ascii="Cambria" w:cs="Cambria" w:eastAsia="Cambria" w:hAnsi="Cambria"/>
          <w:b w:val="false"/>
          <w:bCs w:val="false"/>
          <w:sz w:val="22"/>
          <w:szCs w:val="22"/>
        </w:rPr>
        <w:t xml:space="preserve">5.3 Model: Trust-Aware Consent and Authorisation Representation</w:t>
      </w:r>
      <w:r>
        <w:rPr>
          <w:rFonts w:ascii="Cambria" w:cs="Cambria" w:eastAsia="Cambria" w:hAnsi="Cambria"/>
          <w:sz w:val="22"/>
          <w:szCs w:val="22"/>
        </w:rPr>
        <w:t xml:space="preserve">	58</w:t>
      </w:r>
    </w:p>
    <w:p>
      <w:pPr>
        <w:tabs>
          <w:tab w:val="right" w:pos="9360" w:leader="dot"/>
        </w:tabs>
        <w:spacing w:after="60"/>
        <w:ind w:left="360"/>
      </w:pPr>
      <w:r>
        <w:rPr>
          <w:rFonts w:ascii="Cambria" w:cs="Cambria" w:eastAsia="Cambria" w:hAnsi="Cambria"/>
          <w:b w:val="false"/>
          <w:bCs w:val="false"/>
          <w:sz w:val="22"/>
          <w:szCs w:val="22"/>
        </w:rPr>
        <w:t xml:space="preserve">5.4 View: Controlled Interaction Among Independent Participants</w:t>
      </w:r>
      <w:r>
        <w:rPr>
          <w:rFonts w:ascii="Cambria" w:cs="Cambria" w:eastAsia="Cambria" w:hAnsi="Cambria"/>
          <w:sz w:val="22"/>
          <w:szCs w:val="22"/>
        </w:rPr>
        <w:t xml:space="preserve">	59</w:t>
      </w:r>
    </w:p>
    <w:p>
      <w:pPr>
        <w:tabs>
          <w:tab w:val="right" w:pos="9360" w:leader="dot"/>
        </w:tabs>
        <w:spacing w:after="60"/>
        <w:ind w:left="360"/>
      </w:pPr>
      <w:r>
        <w:rPr>
          <w:rFonts w:ascii="Cambria" w:cs="Cambria" w:eastAsia="Cambria" w:hAnsi="Cambria"/>
          <w:b w:val="false"/>
          <w:bCs w:val="false"/>
          <w:sz w:val="22"/>
          <w:szCs w:val="22"/>
        </w:rPr>
        <w:t xml:space="preserve">5.5 Controller: Trusted Multi-Party Authorisation Enforcement</w:t>
      </w:r>
      <w:r>
        <w:rPr>
          <w:rFonts w:ascii="Cambria" w:cs="Cambria" w:eastAsia="Cambria" w:hAnsi="Cambria"/>
          <w:sz w:val="22"/>
          <w:szCs w:val="22"/>
        </w:rPr>
        <w:t xml:space="preserve">	60</w:t>
      </w:r>
    </w:p>
    <w:p>
      <w:pPr>
        <w:tabs>
          <w:tab w:val="right" w:pos="9360" w:leader="dot"/>
        </w:tabs>
        <w:spacing w:after="60"/>
        <w:ind w:left="360"/>
      </w:pPr>
      <w:r>
        <w:rPr>
          <w:rFonts w:ascii="Cambria" w:cs="Cambria" w:eastAsia="Cambria" w:hAnsi="Cambria"/>
          <w:b w:val="false"/>
          <w:bCs w:val="false"/>
          <w:sz w:val="22"/>
          <w:szCs w:val="22"/>
        </w:rPr>
        <w:t xml:space="preserve">5.6 Multi-Party Consent as Distributed Trust Establishment</w:t>
      </w:r>
      <w:r>
        <w:rPr>
          <w:rFonts w:ascii="Cambria" w:cs="Cambria" w:eastAsia="Cambria" w:hAnsi="Cambria"/>
          <w:sz w:val="22"/>
          <w:szCs w:val="22"/>
        </w:rPr>
        <w:t xml:space="preserve">	61</w:t>
      </w:r>
    </w:p>
    <w:p>
      <w:pPr>
        <w:tabs>
          <w:tab w:val="right" w:pos="9360" w:leader="dot"/>
        </w:tabs>
        <w:spacing w:after="60"/>
        <w:ind w:left="360"/>
      </w:pPr>
      <w:r>
        <w:rPr>
          <w:rFonts w:ascii="Cambria" w:cs="Cambria" w:eastAsia="Cambria" w:hAnsi="Cambria"/>
          <w:b w:val="false"/>
          <w:bCs w:val="false"/>
          <w:sz w:val="22"/>
          <w:szCs w:val="22"/>
        </w:rPr>
        <w:t xml:space="preserve">5.7 Policy-Aware Consent Enforcement</w:t>
      </w:r>
      <w:r>
        <w:rPr>
          <w:rFonts w:ascii="Cambria" w:cs="Cambria" w:eastAsia="Cambria" w:hAnsi="Cambria"/>
          <w:sz w:val="22"/>
          <w:szCs w:val="22"/>
        </w:rPr>
        <w:t xml:space="preserve">	62</w:t>
      </w:r>
    </w:p>
    <w:p>
      <w:pPr>
        <w:tabs>
          <w:tab w:val="right" w:pos="9360" w:leader="dot"/>
        </w:tabs>
        <w:spacing w:after="60"/>
        <w:ind w:left="360"/>
      </w:pPr>
      <w:r>
        <w:rPr>
          <w:rFonts w:ascii="Cambria" w:cs="Cambria" w:eastAsia="Cambria" w:hAnsi="Cambria"/>
          <w:b w:val="false"/>
          <w:bCs w:val="false"/>
          <w:sz w:val="22"/>
          <w:szCs w:val="22"/>
        </w:rPr>
        <w:t xml:space="preserve">5.8 Authorisation Evidence and Auditability</w:t>
      </w:r>
      <w:r>
        <w:rPr>
          <w:rFonts w:ascii="Cambria" w:cs="Cambria" w:eastAsia="Cambria" w:hAnsi="Cambria"/>
          <w:sz w:val="22"/>
          <w:szCs w:val="22"/>
        </w:rPr>
        <w:t xml:space="preserve">	62</w:t>
      </w:r>
    </w:p>
    <w:p>
      <w:pPr>
        <w:tabs>
          <w:tab w:val="right" w:pos="9360" w:leader="dot"/>
        </w:tabs>
        <w:spacing w:after="60"/>
        <w:ind w:left="360"/>
      </w:pPr>
      <w:r>
        <w:rPr>
          <w:rFonts w:ascii="Cambria" w:cs="Cambria" w:eastAsia="Cambria" w:hAnsi="Cambria"/>
          <w:b w:val="false"/>
          <w:bCs w:val="false"/>
          <w:sz w:val="22"/>
          <w:szCs w:val="22"/>
        </w:rPr>
        <w:t xml:space="preserve">5.9 Architectural Security Properties</w:t>
      </w:r>
      <w:r>
        <w:rPr>
          <w:rFonts w:ascii="Cambria" w:cs="Cambria" w:eastAsia="Cambria" w:hAnsi="Cambria"/>
          <w:sz w:val="22"/>
          <w:szCs w:val="22"/>
        </w:rPr>
        <w:t xml:space="preserve">	63</w:t>
      </w:r>
    </w:p>
    <w:p>
      <w:pPr>
        <w:tabs>
          <w:tab w:val="right" w:pos="9360" w:leader="dot"/>
        </w:tabs>
        <w:spacing w:after="60"/>
        <w:ind w:left="360"/>
      </w:pPr>
      <w:r>
        <w:rPr>
          <w:rFonts w:ascii="Cambria" w:cs="Cambria" w:eastAsia="Cambria" w:hAnsi="Cambria"/>
          <w:b w:val="false"/>
          <w:bCs w:val="false"/>
          <w:sz w:val="22"/>
          <w:szCs w:val="22"/>
        </w:rPr>
        <w:t xml:space="preserve">5.10 MVC Architecture and the Research Objectives</w:t>
      </w:r>
      <w:r>
        <w:rPr>
          <w:rFonts w:ascii="Cambria" w:cs="Cambria" w:eastAsia="Cambria" w:hAnsi="Cambria"/>
          <w:sz w:val="22"/>
          <w:szCs w:val="22"/>
        </w:rPr>
        <w:t xml:space="preserve">	64</w:t>
      </w:r>
    </w:p>
    <w:p>
      <w:pPr>
        <w:tabs>
          <w:tab w:val="right" w:pos="9360" w:leader="dot"/>
        </w:tabs>
        <w:spacing w:after="60"/>
        <w:ind w:left="360"/>
      </w:pPr>
      <w:r>
        <w:rPr>
          <w:rFonts w:ascii="Cambria" w:cs="Cambria" w:eastAsia="Cambria" w:hAnsi="Cambria"/>
          <w:b w:val="false"/>
          <w:bCs w:val="false"/>
          <w:sz w:val="22"/>
          <w:szCs w:val="22"/>
        </w:rPr>
        <w:t xml:space="preserve">5.11 Architectural Contribution and Scope</w:t>
      </w:r>
      <w:r>
        <w:rPr>
          <w:rFonts w:ascii="Cambria" w:cs="Cambria" w:eastAsia="Cambria" w:hAnsi="Cambria"/>
          <w:sz w:val="22"/>
          <w:szCs w:val="22"/>
        </w:rPr>
        <w:t xml:space="preserve">	64</w:t>
      </w:r>
    </w:p>
    <w:p>
      <w:pPr>
        <w:tabs>
          <w:tab w:val="right" w:pos="9360" w:leader="dot"/>
        </w:tabs>
        <w:spacing w:after="60"/>
        <w:ind w:left="0"/>
      </w:pPr>
      <w:r>
        <w:rPr>
          <w:rFonts w:ascii="Cambria" w:cs="Cambria" w:eastAsia="Cambria" w:hAnsi="Cambria"/>
          <w:b/>
          <w:bCs/>
          <w:sz w:val="24"/>
          <w:szCs w:val="24"/>
        </w:rPr>
        <w:t xml:space="preserve">6 Proposed Solution</w:t>
      </w:r>
      <w:r>
        <w:rPr>
          <w:rFonts w:ascii="Cambria" w:cs="Cambria" w:eastAsia="Cambria" w:hAnsi="Cambria"/>
          <w:sz w:val="22"/>
          <w:szCs w:val="22"/>
        </w:rPr>
        <w:t xml:space="preserve">	67</w:t>
      </w:r>
    </w:p>
    <w:p>
      <w:pPr>
        <w:tabs>
          <w:tab w:val="right" w:pos="9360" w:leader="dot"/>
        </w:tabs>
        <w:spacing w:after="60"/>
        <w:ind w:left="360"/>
      </w:pPr>
      <w:r>
        <w:rPr>
          <w:rFonts w:ascii="Cambria" w:cs="Cambria" w:eastAsia="Cambria" w:hAnsi="Cambria"/>
          <w:b w:val="false"/>
          <w:bCs w:val="false"/>
          <w:sz w:val="22"/>
          <w:szCs w:val="22"/>
        </w:rPr>
        <w:t xml:space="preserve">6.1 Trust-Centric Consent Model for RO1</w:t>
      </w:r>
      <w:r>
        <w:rPr>
          <w:rFonts w:ascii="Cambria" w:cs="Cambria" w:eastAsia="Cambria" w:hAnsi="Cambria"/>
          <w:sz w:val="22"/>
          <w:szCs w:val="22"/>
        </w:rPr>
        <w:t xml:space="preserve">	67</w:t>
      </w:r>
    </w:p>
    <w:p>
      <w:pPr>
        <w:tabs>
          <w:tab w:val="right" w:pos="9360" w:leader="dot"/>
        </w:tabs>
        <w:spacing w:after="60"/>
        <w:ind w:left="720"/>
      </w:pPr>
      <w:r>
        <w:rPr>
          <w:rFonts w:ascii="Cambria" w:cs="Cambria" w:eastAsia="Cambria" w:hAnsi="Cambria"/>
          <w:b w:val="false"/>
          <w:bCs w:val="false"/>
          <w:sz w:val="20"/>
          <w:szCs w:val="20"/>
        </w:rPr>
        <w:t xml:space="preserve">6.1.1 RO1 Consent Creation Workflow</w:t>
      </w:r>
      <w:r>
        <w:rPr>
          <w:rFonts w:ascii="Cambria" w:cs="Cambria" w:eastAsia="Cambria" w:hAnsi="Cambria"/>
          <w:sz w:val="20"/>
          <w:szCs w:val="20"/>
        </w:rPr>
        <w:t xml:space="preserve">	67</w:t>
      </w:r>
    </w:p>
    <w:p>
      <w:pPr>
        <w:tabs>
          <w:tab w:val="right" w:pos="9360" w:leader="dot"/>
        </w:tabs>
        <w:spacing w:after="60"/>
        <w:ind w:left="720"/>
      </w:pPr>
      <w:r>
        <w:rPr>
          <w:rFonts w:ascii="Cambria" w:cs="Cambria" w:eastAsia="Cambria" w:hAnsi="Cambria"/>
          <w:b w:val="false"/>
          <w:bCs w:val="false"/>
          <w:sz w:val="20"/>
          <w:szCs w:val="20"/>
        </w:rPr>
        <w:t xml:space="preserve">6.1.2 Procedure for Trust-Aware Consent Creation</w:t>
      </w:r>
      <w:r>
        <w:rPr>
          <w:rFonts w:ascii="Cambria" w:cs="Cambria" w:eastAsia="Cambria" w:hAnsi="Cambria"/>
          <w:sz w:val="20"/>
          <w:szCs w:val="20"/>
        </w:rPr>
        <w:t xml:space="preserve">	69</w:t>
      </w:r>
    </w:p>
    <w:p>
      <w:pPr>
        <w:tabs>
          <w:tab w:val="right" w:pos="9360" w:leader="dot"/>
        </w:tabs>
        <w:spacing w:after="60"/>
        <w:ind w:left="720"/>
      </w:pPr>
      <w:r>
        <w:rPr>
          <w:rFonts w:ascii="Cambria" w:cs="Cambria" w:eastAsia="Cambria" w:hAnsi="Cambria"/>
          <w:b w:val="false"/>
          <w:bCs w:val="false"/>
          <w:sz w:val="20"/>
          <w:szCs w:val="20"/>
        </w:rPr>
        <w:t xml:space="preserve">6.1.3 Algorithm 1: Trust-Aware Consent Creation</w:t>
      </w:r>
      <w:r>
        <w:rPr>
          <w:rFonts w:ascii="Cambria" w:cs="Cambria" w:eastAsia="Cambria" w:hAnsi="Cambria"/>
          <w:sz w:val="20"/>
          <w:szCs w:val="20"/>
        </w:rPr>
        <w:t xml:space="preserve">	72</w:t>
      </w:r>
    </w:p>
    <w:p>
      <w:pPr>
        <w:tabs>
          <w:tab w:val="right" w:pos="9360" w:leader="dot"/>
        </w:tabs>
        <w:spacing w:after="60"/>
        <w:ind w:left="360"/>
      </w:pPr>
      <w:r>
        <w:rPr>
          <w:rFonts w:ascii="Cambria" w:cs="Cambria" w:eastAsia="Cambria" w:hAnsi="Cambria"/>
          <w:b w:val="false"/>
          <w:bCs w:val="false"/>
          <w:sz w:val="22"/>
          <w:szCs w:val="22"/>
        </w:rPr>
        <w:t xml:space="preserve">6.2 Decentralised Identity and Authority Trust for RO2</w:t>
      </w:r>
      <w:r>
        <w:rPr>
          <w:rFonts w:ascii="Cambria" w:cs="Cambria" w:eastAsia="Cambria" w:hAnsi="Cambria"/>
          <w:sz w:val="22"/>
          <w:szCs w:val="22"/>
        </w:rPr>
        <w:t xml:space="preserve">	72</w:t>
      </w:r>
    </w:p>
    <w:p>
      <w:pPr>
        <w:tabs>
          <w:tab w:val="right" w:pos="9360" w:leader="dot"/>
        </w:tabs>
        <w:spacing w:after="60"/>
        <w:ind w:left="720"/>
      </w:pPr>
      <w:r>
        <w:rPr>
          <w:rFonts w:ascii="Cambria" w:cs="Cambria" w:eastAsia="Cambria" w:hAnsi="Cambria"/>
          <w:b w:val="false"/>
          <w:bCs w:val="false"/>
          <w:sz w:val="20"/>
          <w:szCs w:val="20"/>
        </w:rPr>
        <w:t xml:space="preserve">6.2.1 RO2 Identity and Authority Verification Workflow</w:t>
      </w:r>
      <w:r>
        <w:rPr>
          <w:rFonts w:ascii="Cambria" w:cs="Cambria" w:eastAsia="Cambria" w:hAnsi="Cambria"/>
          <w:sz w:val="20"/>
          <w:szCs w:val="20"/>
        </w:rPr>
        <w:t xml:space="preserve">	72</w:t>
      </w:r>
    </w:p>
    <w:p>
      <w:pPr>
        <w:tabs>
          <w:tab w:val="right" w:pos="9360" w:leader="dot"/>
        </w:tabs>
        <w:spacing w:after="60"/>
        <w:ind w:left="720"/>
      </w:pPr>
      <w:r>
        <w:rPr>
          <w:rFonts w:ascii="Cambria" w:cs="Cambria" w:eastAsia="Cambria" w:hAnsi="Cambria"/>
          <w:b w:val="false"/>
          <w:bCs w:val="false"/>
          <w:sz w:val="20"/>
          <w:szCs w:val="20"/>
        </w:rPr>
        <w:t xml:space="preserve">6.2.2 Procedure for DID and VC Identity and Authority Verification</w:t>
      </w:r>
      <w:r>
        <w:rPr>
          <w:rFonts w:ascii="Cambria" w:cs="Cambria" w:eastAsia="Cambria" w:hAnsi="Cambria"/>
          <w:sz w:val="20"/>
          <w:szCs w:val="20"/>
        </w:rPr>
        <w:t xml:space="preserve">	73</w:t>
      </w:r>
    </w:p>
    <w:p>
      <w:pPr>
        <w:tabs>
          <w:tab w:val="right" w:pos="9360" w:leader="dot"/>
        </w:tabs>
        <w:spacing w:after="60"/>
        <w:ind w:left="720"/>
      </w:pPr>
      <w:r>
        <w:rPr>
          <w:rFonts w:ascii="Cambria" w:cs="Cambria" w:eastAsia="Cambria" w:hAnsi="Cambria"/>
          <w:b w:val="false"/>
          <w:bCs w:val="false"/>
          <w:sz w:val="20"/>
          <w:szCs w:val="20"/>
        </w:rPr>
        <w:t xml:space="preserve">6.2.3 Algorithm 2: DID and VC Identity and Authority Verification</w:t>
      </w:r>
      <w:r>
        <w:rPr>
          <w:rFonts w:ascii="Cambria" w:cs="Cambria" w:eastAsia="Cambria" w:hAnsi="Cambria"/>
          <w:sz w:val="20"/>
          <w:szCs w:val="20"/>
        </w:rPr>
        <w:t xml:space="preserve">	76</w:t>
      </w:r>
    </w:p>
    <w:p>
      <w:pPr>
        <w:tabs>
          <w:tab w:val="right" w:pos="9360" w:leader="dot"/>
        </w:tabs>
        <w:spacing w:after="60"/>
        <w:ind w:left="360"/>
      </w:pPr>
      <w:r>
        <w:rPr>
          <w:rFonts w:ascii="Cambria" w:cs="Cambria" w:eastAsia="Cambria" w:hAnsi="Cambria"/>
          <w:b w:val="false"/>
          <w:bCs w:val="false"/>
          <w:sz w:val="22"/>
          <w:szCs w:val="22"/>
        </w:rPr>
        <w:t xml:space="preserve">6.3 Trustworthy Multi-Party Authorisation for RO3</w:t>
      </w:r>
      <w:r>
        <w:rPr>
          <w:rFonts w:ascii="Cambria" w:cs="Cambria" w:eastAsia="Cambria" w:hAnsi="Cambria"/>
          <w:sz w:val="22"/>
          <w:szCs w:val="22"/>
        </w:rPr>
        <w:t xml:space="preserve">	77</w:t>
      </w:r>
    </w:p>
    <w:p>
      <w:pPr>
        <w:tabs>
          <w:tab w:val="right" w:pos="9360" w:leader="dot"/>
        </w:tabs>
        <w:spacing w:after="60"/>
        <w:ind w:left="720"/>
      </w:pPr>
      <w:r>
        <w:rPr>
          <w:rFonts w:ascii="Cambria" w:cs="Cambria" w:eastAsia="Cambria" w:hAnsi="Cambria"/>
          <w:b w:val="false"/>
          <w:bCs w:val="false"/>
          <w:sz w:val="20"/>
          <w:szCs w:val="20"/>
        </w:rPr>
        <w:t xml:space="preserve">6.3.1 RO3 Multi-Party Authorisation Workflow</w:t>
      </w:r>
      <w:r>
        <w:rPr>
          <w:rFonts w:ascii="Cambria" w:cs="Cambria" w:eastAsia="Cambria" w:hAnsi="Cambria"/>
          <w:sz w:val="20"/>
          <w:szCs w:val="20"/>
        </w:rPr>
        <w:t xml:space="preserve">	77</w:t>
      </w:r>
    </w:p>
    <w:p>
      <w:pPr>
        <w:tabs>
          <w:tab w:val="right" w:pos="9360" w:leader="dot"/>
        </w:tabs>
        <w:spacing w:after="60"/>
        <w:ind w:left="720"/>
      </w:pPr>
      <w:r>
        <w:rPr>
          <w:rFonts w:ascii="Cambria" w:cs="Cambria" w:eastAsia="Cambria" w:hAnsi="Cambria"/>
          <w:b w:val="false"/>
          <w:bCs w:val="false"/>
          <w:sz w:val="20"/>
          <w:szCs w:val="20"/>
        </w:rPr>
        <w:t xml:space="preserve">6.3.2 Procedure for Threshold-Based Multi-Party Authorisation</w:t>
      </w:r>
      <w:r>
        <w:rPr>
          <w:rFonts w:ascii="Cambria" w:cs="Cambria" w:eastAsia="Cambria" w:hAnsi="Cambria"/>
          <w:sz w:val="20"/>
          <w:szCs w:val="20"/>
        </w:rPr>
        <w:t xml:space="preserve">	78</w:t>
      </w:r>
    </w:p>
    <w:p>
      <w:pPr>
        <w:tabs>
          <w:tab w:val="right" w:pos="9360" w:leader="dot"/>
        </w:tabs>
        <w:spacing w:after="60"/>
        <w:ind w:left="720"/>
      </w:pPr>
      <w:r>
        <w:rPr>
          <w:rFonts w:ascii="Cambria" w:cs="Cambria" w:eastAsia="Cambria" w:hAnsi="Cambria"/>
          <w:b w:val="false"/>
          <w:bCs w:val="false"/>
          <w:sz w:val="20"/>
          <w:szCs w:val="20"/>
        </w:rPr>
        <w:t xml:space="preserve">6.3.3 Algorithm 3: Threshold-Based Multi-Party Authorisation</w:t>
      </w:r>
      <w:r>
        <w:rPr>
          <w:rFonts w:ascii="Cambria" w:cs="Cambria" w:eastAsia="Cambria" w:hAnsi="Cambria"/>
          <w:sz w:val="20"/>
          <w:szCs w:val="20"/>
        </w:rPr>
        <w:t xml:space="preserve">	81</w:t>
      </w:r>
    </w:p>
    <w:p>
      <w:pPr>
        <w:tabs>
          <w:tab w:val="right" w:pos="9360" w:leader="dot"/>
        </w:tabs>
        <w:spacing w:after="60"/>
        <w:ind w:left="360"/>
      </w:pPr>
      <w:r>
        <w:rPr>
          <w:rFonts w:ascii="Cambria" w:cs="Cambria" w:eastAsia="Cambria" w:hAnsi="Cambria"/>
          <w:b w:val="false"/>
          <w:bCs w:val="false"/>
          <w:sz w:val="22"/>
          <w:szCs w:val="22"/>
        </w:rPr>
        <w:t xml:space="preserve">6.4 Policy- and Context-Aware Access Control for RO4</w:t>
      </w:r>
      <w:r>
        <w:rPr>
          <w:rFonts w:ascii="Cambria" w:cs="Cambria" w:eastAsia="Cambria" w:hAnsi="Cambria"/>
          <w:sz w:val="22"/>
          <w:szCs w:val="22"/>
        </w:rPr>
        <w:t xml:space="preserve">	82</w:t>
      </w:r>
    </w:p>
    <w:p>
      <w:pPr>
        <w:tabs>
          <w:tab w:val="right" w:pos="9360" w:leader="dot"/>
        </w:tabs>
        <w:spacing w:after="60"/>
        <w:ind w:left="720"/>
      </w:pPr>
      <w:r>
        <w:rPr>
          <w:rFonts w:ascii="Cambria" w:cs="Cambria" w:eastAsia="Cambria" w:hAnsi="Cambria"/>
          <w:b w:val="false"/>
          <w:bCs w:val="false"/>
          <w:sz w:val="20"/>
          <w:szCs w:val="20"/>
        </w:rPr>
        <w:t xml:space="preserve">6.4.1 RO4 Policy-Aware Access Workflow</w:t>
      </w:r>
      <w:r>
        <w:rPr>
          <w:rFonts w:ascii="Cambria" w:cs="Cambria" w:eastAsia="Cambria" w:hAnsi="Cambria"/>
          <w:sz w:val="20"/>
          <w:szCs w:val="20"/>
        </w:rPr>
        <w:t xml:space="preserve">	83</w:t>
      </w:r>
    </w:p>
    <w:p>
      <w:pPr>
        <w:tabs>
          <w:tab w:val="right" w:pos="9360" w:leader="dot"/>
        </w:tabs>
        <w:spacing w:after="60"/>
        <w:ind w:left="720"/>
      </w:pPr>
      <w:r>
        <w:rPr>
          <w:rFonts w:ascii="Cambria" w:cs="Cambria" w:eastAsia="Cambria" w:hAnsi="Cambria"/>
          <w:b w:val="false"/>
          <w:bCs w:val="false"/>
          <w:sz w:val="20"/>
          <w:szCs w:val="20"/>
        </w:rPr>
        <w:t xml:space="preserve">6.4.2 Algorithm 4: Policy-Aware Access Decision</w:t>
      </w:r>
      <w:r>
        <w:rPr>
          <w:rFonts w:ascii="Cambria" w:cs="Cambria" w:eastAsia="Cambria" w:hAnsi="Cambria"/>
          <w:sz w:val="20"/>
          <w:szCs w:val="20"/>
        </w:rPr>
        <w:t xml:space="preserve">	84</w:t>
      </w:r>
    </w:p>
    <w:p>
      <w:pPr>
        <w:tabs>
          <w:tab w:val="right" w:pos="9360" w:leader="dot"/>
        </w:tabs>
        <w:spacing w:after="60"/>
        <w:ind w:left="720"/>
      </w:pPr>
      <w:r>
        <w:rPr>
          <w:rFonts w:ascii="Cambria" w:cs="Cambria" w:eastAsia="Cambria" w:hAnsi="Cambria"/>
          <w:b w:val="false"/>
          <w:bCs w:val="false"/>
          <w:sz w:val="20"/>
          <w:szCs w:val="20"/>
        </w:rPr>
        <w:t xml:space="preserve">6.4.3 Procedure for Policy-Aware Access Decision</w:t>
      </w:r>
      <w:r>
        <w:rPr>
          <w:rFonts w:ascii="Cambria" w:cs="Cambria" w:eastAsia="Cambria" w:hAnsi="Cambria"/>
          <w:sz w:val="20"/>
          <w:szCs w:val="20"/>
        </w:rPr>
        <w:t xml:space="preserve">	85</w:t>
      </w:r>
    </w:p>
    <w:p>
      <w:pPr>
        <w:tabs>
          <w:tab w:val="right" w:pos="9360" w:leader="dot"/>
        </w:tabs>
        <w:spacing w:after="60"/>
        <w:ind w:left="360"/>
      </w:pPr>
      <w:r>
        <w:rPr>
          <w:rFonts w:ascii="Cambria" w:cs="Cambria" w:eastAsia="Cambria" w:hAnsi="Cambria"/>
          <w:b w:val="false"/>
          <w:bCs w:val="false"/>
          <w:sz w:val="22"/>
          <w:szCs w:val="22"/>
        </w:rPr>
        <w:t xml:space="preserve">6.5 Temporal and Lifecycle Trust for RO5</w:t>
      </w:r>
      <w:r>
        <w:rPr>
          <w:rFonts w:ascii="Cambria" w:cs="Cambria" w:eastAsia="Cambria" w:hAnsi="Cambria"/>
          <w:sz w:val="22"/>
          <w:szCs w:val="22"/>
        </w:rPr>
        <w:t xml:space="preserve">	88</w:t>
      </w:r>
    </w:p>
    <w:p>
      <w:pPr>
        <w:tabs>
          <w:tab w:val="right" w:pos="9360" w:leader="dot"/>
        </w:tabs>
        <w:spacing w:after="60"/>
        <w:ind w:left="720"/>
      </w:pPr>
      <w:r>
        <w:rPr>
          <w:rFonts w:ascii="Cambria" w:cs="Cambria" w:eastAsia="Cambria" w:hAnsi="Cambria"/>
          <w:b w:val="false"/>
          <w:bCs w:val="false"/>
          <w:sz w:val="20"/>
          <w:szCs w:val="20"/>
        </w:rPr>
        <w:t xml:space="preserve">6.5.1 RO5 Temporal and Lifecycle Workflow</w:t>
      </w:r>
      <w:r>
        <w:rPr>
          <w:rFonts w:ascii="Cambria" w:cs="Cambria" w:eastAsia="Cambria" w:hAnsi="Cambria"/>
          <w:sz w:val="20"/>
          <w:szCs w:val="20"/>
        </w:rPr>
        <w:t xml:space="preserve">	89</w:t>
      </w:r>
    </w:p>
    <w:p>
      <w:pPr>
        <w:tabs>
          <w:tab w:val="right" w:pos="9360" w:leader="dot"/>
        </w:tabs>
        <w:spacing w:after="60"/>
        <w:ind w:left="720"/>
      </w:pPr>
      <w:r>
        <w:rPr>
          <w:rFonts w:ascii="Cambria" w:cs="Cambria" w:eastAsia="Cambria" w:hAnsi="Cambria"/>
          <w:b w:val="false"/>
          <w:bCs w:val="false"/>
          <w:sz w:val="20"/>
          <w:szCs w:val="20"/>
        </w:rPr>
        <w:t xml:space="preserve">6.5.2 Procedure for Temporal and Lifecycle Validation</w:t>
      </w:r>
      <w:r>
        <w:rPr>
          <w:rFonts w:ascii="Cambria" w:cs="Cambria" w:eastAsia="Cambria" w:hAnsi="Cambria"/>
          <w:sz w:val="20"/>
          <w:szCs w:val="20"/>
        </w:rPr>
        <w:t xml:space="preserve">	89</w:t>
      </w:r>
    </w:p>
    <w:p>
      <w:pPr>
        <w:tabs>
          <w:tab w:val="right" w:pos="9360" w:leader="dot"/>
        </w:tabs>
        <w:spacing w:after="60"/>
        <w:ind w:left="720"/>
      </w:pPr>
      <w:r>
        <w:rPr>
          <w:rFonts w:ascii="Cambria" w:cs="Cambria" w:eastAsia="Cambria" w:hAnsi="Cambria"/>
          <w:b w:val="false"/>
          <w:bCs w:val="false"/>
          <w:sz w:val="20"/>
          <w:szCs w:val="20"/>
        </w:rPr>
        <w:t xml:space="preserve">6.5.3 Algorithm 5: Temporal and Lifecycle Validation</w:t>
      </w:r>
      <w:r>
        <w:rPr>
          <w:rFonts w:ascii="Cambria" w:cs="Cambria" w:eastAsia="Cambria" w:hAnsi="Cambria"/>
          <w:sz w:val="20"/>
          <w:szCs w:val="20"/>
        </w:rPr>
        <w:t xml:space="preserve">	92</w:t>
      </w:r>
    </w:p>
    <w:p>
      <w:pPr>
        <w:tabs>
          <w:tab w:val="right" w:pos="9360" w:leader="dot"/>
        </w:tabs>
        <w:spacing w:after="60"/>
        <w:ind w:left="360"/>
      </w:pPr>
      <w:r>
        <w:rPr>
          <w:rFonts w:ascii="Cambria" w:cs="Cambria" w:eastAsia="Cambria" w:hAnsi="Cambria"/>
          <w:b w:val="false"/>
          <w:bCs w:val="false"/>
          <w:sz w:val="22"/>
          <w:szCs w:val="22"/>
        </w:rPr>
        <w:t xml:space="preserve">6.6 Formal Security Assurance and Empirical Validation for RO6</w:t>
      </w:r>
      <w:r>
        <w:rPr>
          <w:rFonts w:ascii="Cambria" w:cs="Cambria" w:eastAsia="Cambria" w:hAnsi="Cambria"/>
          <w:sz w:val="22"/>
          <w:szCs w:val="22"/>
        </w:rPr>
        <w:t xml:space="preserve">	93</w:t>
      </w:r>
    </w:p>
    <w:p>
      <w:pPr>
        <w:tabs>
          <w:tab w:val="right" w:pos="9360" w:leader="dot"/>
        </w:tabs>
        <w:spacing w:after="60"/>
        <w:ind w:left="720"/>
      </w:pPr>
      <w:r>
        <w:rPr>
          <w:rFonts w:ascii="Cambria" w:cs="Cambria" w:eastAsia="Cambria" w:hAnsi="Cambria"/>
          <w:b w:val="false"/>
          <w:bCs w:val="false"/>
          <w:sz w:val="20"/>
          <w:szCs w:val="20"/>
        </w:rPr>
        <w:t xml:space="preserve">6.6.1 RO6 Assurance and Validation Workflow</w:t>
      </w:r>
      <w:r>
        <w:rPr>
          <w:rFonts w:ascii="Cambria" w:cs="Cambria" w:eastAsia="Cambria" w:hAnsi="Cambria"/>
          <w:sz w:val="20"/>
          <w:szCs w:val="20"/>
        </w:rPr>
        <w:t xml:space="preserve">	94</w:t>
      </w:r>
    </w:p>
    <w:p>
      <w:pPr>
        <w:tabs>
          <w:tab w:val="right" w:pos="9360" w:leader="dot"/>
        </w:tabs>
        <w:spacing w:after="60"/>
        <w:ind w:left="720"/>
      </w:pPr>
      <w:r>
        <w:rPr>
          <w:rFonts w:ascii="Cambria" w:cs="Cambria" w:eastAsia="Cambria" w:hAnsi="Cambria"/>
          <w:b w:val="false"/>
          <w:bCs w:val="false"/>
          <w:sz w:val="20"/>
          <w:szCs w:val="20"/>
        </w:rPr>
        <w:t xml:space="preserve">6.6.2 Procedure for Formal and Empirical Authorisation Validation</w:t>
      </w:r>
      <w:r>
        <w:rPr>
          <w:rFonts w:ascii="Cambria" w:cs="Cambria" w:eastAsia="Cambria" w:hAnsi="Cambria"/>
          <w:sz w:val="20"/>
          <w:szCs w:val="20"/>
        </w:rPr>
        <w:t xml:space="preserve">	94</w:t>
      </w:r>
    </w:p>
    <w:p>
      <w:pPr>
        <w:tabs>
          <w:tab w:val="right" w:pos="9360" w:leader="dot"/>
        </w:tabs>
        <w:spacing w:after="60"/>
        <w:ind w:left="720"/>
      </w:pPr>
      <w:r>
        <w:rPr>
          <w:rFonts w:ascii="Cambria" w:cs="Cambria" w:eastAsia="Cambria" w:hAnsi="Cambria"/>
          <w:b w:val="false"/>
          <w:bCs w:val="false"/>
          <w:sz w:val="20"/>
          <w:szCs w:val="20"/>
        </w:rPr>
        <w:t xml:space="preserve">6.6.3 Algorithm 6: Formal and Empirical Authorisation Validation</w:t>
      </w:r>
      <w:r>
        <w:rPr>
          <w:rFonts w:ascii="Cambria" w:cs="Cambria" w:eastAsia="Cambria" w:hAnsi="Cambria"/>
          <w:sz w:val="20"/>
          <w:szCs w:val="20"/>
        </w:rPr>
        <w:t xml:space="preserve">	99</w:t>
      </w:r>
    </w:p>
    <w:p>
      <w:pPr>
        <w:tabs>
          <w:tab w:val="right" w:pos="9360" w:leader="dot"/>
        </w:tabs>
        <w:spacing w:after="60"/>
        <w:ind w:left="360"/>
      </w:pPr>
      <w:r>
        <w:rPr>
          <w:rFonts w:ascii="Cambria" w:cs="Cambria" w:eastAsia="Cambria" w:hAnsi="Cambria"/>
          <w:b w:val="false"/>
          <w:bCs w:val="false"/>
          <w:sz w:val="22"/>
          <w:szCs w:val="22"/>
        </w:rPr>
        <w:t xml:space="preserve">6.7 Algorithms and the Research Objectives</w:t>
      </w:r>
      <w:r>
        <w:rPr>
          <w:rFonts w:ascii="Cambria" w:cs="Cambria" w:eastAsia="Cambria" w:hAnsi="Cambria"/>
          <w:sz w:val="22"/>
          <w:szCs w:val="22"/>
        </w:rPr>
        <w:t xml:space="preserve">	100</w:t>
      </w:r>
    </w:p>
    <w:p>
      <w:pPr>
        <w:tabs>
          <w:tab w:val="right" w:pos="9360" w:leader="dot"/>
        </w:tabs>
        <w:spacing w:after="60"/>
        <w:ind w:left="360"/>
      </w:pPr>
      <w:r>
        <w:rPr>
          <w:rFonts w:ascii="Cambria" w:cs="Cambria" w:eastAsia="Cambria" w:hAnsi="Cambria"/>
          <w:b w:val="false"/>
          <w:bCs w:val="false"/>
          <w:color w:val="000000"/>
          <w:sz w:val="22"/>
          <w:szCs w:val="22"/>
        </w:rPr>
        <w:t xml:space="preserve">6.8 Implementation and Live Demonstration of the Proposed Solution</w:t>
      </w:r>
      <w:r>
        <w:rPr>
          <w:rFonts w:ascii="Cambria" w:cs="Cambria" w:eastAsia="Cambria" w:hAnsi="Cambria"/>
          <w:color w:val="000000"/>
          <w:sz w:val="22"/>
          <w:szCs w:val="22"/>
        </w:rPr>
        <w:t xml:space="preserve">	102</w:t>
      </w:r>
    </w:p>
    <w:p>
      <w:pPr>
        <w:tabs>
          <w:tab w:val="right" w:pos="9360" w:leader="dot"/>
        </w:tabs>
        <w:spacing w:after="60"/>
        <w:ind w:left="720"/>
      </w:pPr>
      <w:r>
        <w:rPr>
          <w:rFonts w:ascii="Cambria" w:cs="Cambria" w:eastAsia="Cambria" w:hAnsi="Cambria"/>
          <w:b w:val="false"/>
          <w:bCs w:val="false"/>
          <w:color w:val="000000"/>
          <w:sz w:val="20"/>
          <w:szCs w:val="20"/>
        </w:rPr>
        <w:t xml:space="preserve">6.8.1 The HALAH System</w:t>
      </w:r>
      <w:r>
        <w:rPr>
          <w:rFonts w:ascii="Cambria" w:cs="Cambria" w:eastAsia="Cambria" w:hAnsi="Cambria"/>
          <w:color w:val="000000"/>
          <w:sz w:val="20"/>
          <w:szCs w:val="20"/>
        </w:rPr>
        <w:t xml:space="preserve">	102</w:t>
      </w:r>
    </w:p>
    <w:p>
      <w:pPr>
        <w:tabs>
          <w:tab w:val="right" w:pos="9360" w:leader="dot"/>
        </w:tabs>
        <w:spacing w:after="60"/>
        <w:ind w:left="720"/>
      </w:pPr>
      <w:r>
        <w:rPr>
          <w:rFonts w:ascii="Cambria" w:cs="Cambria" w:eastAsia="Cambria" w:hAnsi="Cambria"/>
          <w:b w:val="false"/>
          <w:bCs w:val="false"/>
          <w:color w:val="000000"/>
          <w:sz w:val="20"/>
          <w:szCs w:val="20"/>
        </w:rPr>
        <w:t xml:space="preserve">6.8.2 Create Smart Consent Contract: Patient Subsystem</w:t>
      </w:r>
      <w:r>
        <w:rPr>
          <w:rFonts w:ascii="Cambria" w:cs="Cambria" w:eastAsia="Cambria" w:hAnsi="Cambria"/>
          <w:color w:val="000000"/>
          <w:sz w:val="20"/>
          <w:szCs w:val="20"/>
        </w:rPr>
        <w:t xml:space="preserve">	106</w:t>
      </w:r>
    </w:p>
    <w:p>
      <w:pPr>
        <w:tabs>
          <w:tab w:val="right" w:pos="9360" w:leader="dot"/>
        </w:tabs>
        <w:spacing w:after="60"/>
        <w:ind w:left="720"/>
      </w:pPr>
      <w:r>
        <w:rPr>
          <w:rFonts w:ascii="Cambria" w:cs="Cambria" w:eastAsia="Cambria" w:hAnsi="Cambria"/>
          <w:b w:val="false"/>
          <w:bCs w:val="false"/>
          <w:color w:val="000000"/>
          <w:sz w:val="20"/>
          <w:szCs w:val="20"/>
        </w:rPr>
        <w:t xml:space="preserve">6.8.3 Guardian Cryptographic Approval</w:t>
      </w:r>
      <w:r>
        <w:rPr>
          <w:rFonts w:ascii="Cambria" w:cs="Cambria" w:eastAsia="Cambria" w:hAnsi="Cambria"/>
          <w:color w:val="000000"/>
          <w:sz w:val="20"/>
          <w:szCs w:val="20"/>
        </w:rPr>
        <w:t xml:space="preserve">	108</w:t>
      </w:r>
    </w:p>
    <w:p>
      <w:pPr>
        <w:tabs>
          <w:tab w:val="right" w:pos="9360" w:leader="dot"/>
        </w:tabs>
        <w:spacing w:after="60"/>
        <w:ind w:left="720"/>
      </w:pPr>
      <w:r>
        <w:rPr>
          <w:rFonts w:ascii="Cambria" w:cs="Cambria" w:eastAsia="Cambria" w:hAnsi="Cambria"/>
          <w:b w:val="false"/>
          <w:bCs w:val="false"/>
          <w:color w:val="000000"/>
          <w:sz w:val="20"/>
          <w:szCs w:val="20"/>
        </w:rPr>
        <w:t xml:space="preserve">6.8.4 Secure Patient Data Access for the Doctor</w:t>
      </w:r>
      <w:r>
        <w:rPr>
          <w:rFonts w:ascii="Cambria" w:cs="Cambria" w:eastAsia="Cambria" w:hAnsi="Cambria"/>
          <w:color w:val="000000"/>
          <w:sz w:val="20"/>
          <w:szCs w:val="20"/>
        </w:rPr>
        <w:t xml:space="preserve">	112</w:t>
      </w:r>
    </w:p>
    <w:p>
      <w:pPr>
        <w:tabs>
          <w:tab w:val="right" w:pos="9360" w:leader="dot"/>
        </w:tabs>
        <w:spacing w:after="60"/>
        <w:ind w:left="720"/>
      </w:pPr>
      <w:r>
        <w:rPr>
          <w:rFonts w:ascii="Cambria" w:cs="Cambria" w:eastAsia="Cambria" w:hAnsi="Cambria"/>
          <w:b w:val="false"/>
          <w:bCs w:val="false"/>
          <w:color w:val="000000"/>
          <w:sz w:val="20"/>
          <w:szCs w:val="20"/>
        </w:rPr>
        <w:t xml:space="preserve">6.8.5 Negative Demonstration: Jurisdiction Violation</w:t>
      </w:r>
      <w:r>
        <w:rPr>
          <w:rFonts w:ascii="Cambria" w:cs="Cambria" w:eastAsia="Cambria" w:hAnsi="Cambria"/>
          <w:color w:val="000000"/>
          <w:sz w:val="20"/>
          <w:szCs w:val="20"/>
        </w:rPr>
        <w:t xml:space="preserve">	116</w:t>
      </w:r>
    </w:p>
    <w:p>
      <w:pPr>
        <w:tabs>
          <w:tab w:val="right" w:pos="9360" w:leader="dot"/>
        </w:tabs>
        <w:spacing w:after="60"/>
        <w:ind w:left="720"/>
      </w:pPr>
      <w:r>
        <w:rPr>
          <w:rFonts w:ascii="Cambria" w:cs="Cambria" w:eastAsia="Cambria" w:hAnsi="Cambria"/>
          <w:b w:val="false"/>
          <w:bCs w:val="false"/>
          <w:color w:val="000000"/>
          <w:sz w:val="20"/>
          <w:szCs w:val="20"/>
        </w:rPr>
        <w:t xml:space="preserve">6.8.6 Consent Revocation</w:t>
      </w:r>
      <w:r>
        <w:rPr>
          <w:rFonts w:ascii="Cambria" w:cs="Cambria" w:eastAsia="Cambria" w:hAnsi="Cambria"/>
          <w:color w:val="000000"/>
          <w:sz w:val="20"/>
          <w:szCs w:val="20"/>
        </w:rPr>
        <w:t xml:space="preserve">	118</w:t>
      </w:r>
    </w:p>
    <w:p>
      <w:pPr>
        <w:tabs>
          <w:tab w:val="right" w:pos="9360" w:leader="dot"/>
        </w:tabs>
        <w:spacing w:after="60"/>
        <w:ind w:left="720"/>
      </w:pPr>
      <w:r>
        <w:rPr>
          <w:rFonts w:ascii="Cambria" w:cs="Cambria" w:eastAsia="Cambria" w:hAnsi="Cambria"/>
          <w:b w:val="false"/>
          <w:bCs w:val="false"/>
          <w:color w:val="000000"/>
          <w:sz w:val="20"/>
          <w:szCs w:val="20"/>
        </w:rPr>
        <w:t xml:space="preserve">6.8.7 Blockchain Audit and Consent Lifecycle for the Auditor</w:t>
      </w:r>
      <w:r>
        <w:rPr>
          <w:rFonts w:ascii="Cambria" w:cs="Cambria" w:eastAsia="Cambria" w:hAnsi="Cambria"/>
          <w:color w:val="000000"/>
          <w:sz w:val="20"/>
          <w:szCs w:val="20"/>
        </w:rPr>
        <w:t xml:space="preserve">	121</w:t>
      </w:r>
    </w:p>
    <w:p>
      <w:pPr>
        <w:tabs>
          <w:tab w:val="right" w:pos="9360" w:leader="dot"/>
        </w:tabs>
        <w:spacing w:after="60"/>
        <w:ind w:left="720"/>
      </w:pPr>
      <w:r>
        <w:rPr>
          <w:rFonts w:ascii="Cambria" w:cs="Cambria" w:eastAsia="Cambria" w:hAnsi="Cambria"/>
          <w:b w:val="false"/>
          <w:bCs w:val="false"/>
          <w:color w:val="000000"/>
          <w:sz w:val="20"/>
          <w:szCs w:val="20"/>
        </w:rPr>
        <w:t xml:space="preserve">6.8.8 Detailed Audit Records</w:t>
      </w:r>
      <w:r>
        <w:rPr>
          <w:rFonts w:ascii="Cambria" w:cs="Cambria" w:eastAsia="Cambria" w:hAnsi="Cambria"/>
          <w:color w:val="000000"/>
          <w:sz w:val="20"/>
          <w:szCs w:val="20"/>
        </w:rPr>
        <w:t xml:space="preserve">	124</w:t>
      </w:r>
    </w:p>
    <w:p>
      <w:pPr>
        <w:tabs>
          <w:tab w:val="right" w:pos="9360" w:leader="dot"/>
        </w:tabs>
        <w:spacing w:after="60"/>
        <w:ind w:left="720"/>
      </w:pPr>
      <w:r>
        <w:rPr>
          <w:rFonts w:ascii="Cambria" w:cs="Cambria" w:eastAsia="Cambria" w:hAnsi="Cambria"/>
          <w:b w:val="false"/>
          <w:bCs w:val="false"/>
          <w:color w:val="000000"/>
          <w:sz w:val="20"/>
          <w:szCs w:val="20"/>
        </w:rPr>
        <w:t xml:space="preserve">6.8.9 Complete Audit Ledger and Independent Verification</w:t>
      </w:r>
      <w:r>
        <w:rPr>
          <w:rFonts w:ascii="Cambria" w:cs="Cambria" w:eastAsia="Cambria" w:hAnsi="Cambria"/>
          <w:color w:val="000000"/>
          <w:sz w:val="20"/>
          <w:szCs w:val="20"/>
        </w:rPr>
        <w:t xml:space="preserve">	124</w:t>
      </w:r>
    </w:p>
    <w:p>
      <w:pPr>
        <w:tabs>
          <w:tab w:val="right" w:pos="9360" w:leader="dot"/>
        </w:tabs>
        <w:spacing w:after="60"/>
        <w:ind w:left="720"/>
      </w:pPr>
      <w:r>
        <w:rPr>
          <w:rFonts w:ascii="Cambria" w:cs="Cambria" w:eastAsia="Cambria" w:hAnsi="Cambria"/>
          <w:b w:val="false"/>
          <w:bCs w:val="false"/>
          <w:color w:val="000000"/>
          <w:sz w:val="20"/>
          <w:szCs w:val="20"/>
        </w:rPr>
        <w:t xml:space="preserve">6.8.10 Correspondence Between the Subsystems and the Framework</w:t>
      </w:r>
      <w:r>
        <w:rPr>
          <w:rFonts w:ascii="Cambria" w:cs="Cambria" w:eastAsia="Cambria" w:hAnsi="Cambria"/>
          <w:color w:val="000000"/>
          <w:sz w:val="20"/>
          <w:szCs w:val="20"/>
        </w:rPr>
        <w:t xml:space="preserve">	125</w:t>
      </w:r>
    </w:p>
    <w:p>
      <w:pPr>
        <w:tabs>
          <w:tab w:val="right" w:pos="9360" w:leader="dot"/>
        </w:tabs>
        <w:spacing w:after="60"/>
        <w:ind w:left="720"/>
      </w:pPr>
      <w:r>
        <w:rPr>
          <w:rFonts w:ascii="Cambria" w:cs="Cambria" w:eastAsia="Cambria" w:hAnsi="Cambria"/>
          <w:b w:val="false"/>
          <w:bCs w:val="false"/>
          <w:color w:val="000000"/>
          <w:sz w:val="20"/>
          <w:szCs w:val="20"/>
        </w:rPr>
        <w:t xml:space="preserve">6.8.11 Overall System Demonstration</w:t>
      </w:r>
      <w:r>
        <w:rPr>
          <w:rFonts w:ascii="Cambria" w:cs="Cambria" w:eastAsia="Cambria" w:hAnsi="Cambria"/>
          <w:color w:val="000000"/>
          <w:sz w:val="20"/>
          <w:szCs w:val="20"/>
        </w:rPr>
        <w:t xml:space="preserve">	126</w:t>
      </w:r>
    </w:p>
    <w:p>
      <w:pPr>
        <w:tabs>
          <w:tab w:val="right" w:pos="9360" w:leader="dot"/>
        </w:tabs>
        <w:spacing w:after="60"/>
        <w:ind w:left="720"/>
      </w:pPr>
      <w:r>
        <w:rPr>
          <w:rFonts w:ascii="Cambria" w:cs="Cambria" w:eastAsia="Cambria" w:hAnsi="Cambria"/>
          <w:b w:val="false"/>
          <w:bCs w:val="false"/>
          <w:color w:val="000000"/>
          <w:sz w:val="20"/>
          <w:szCs w:val="20"/>
        </w:rPr>
        <w:t xml:space="preserve">6.8.12 Verification Links</w:t>
      </w:r>
      <w:r>
        <w:rPr>
          <w:rFonts w:ascii="Cambria" w:cs="Cambria" w:eastAsia="Cambria" w:hAnsi="Cambria"/>
          <w:color w:val="000000"/>
          <w:sz w:val="20"/>
          <w:szCs w:val="20"/>
        </w:rPr>
        <w:t xml:space="preserve">	127</w:t>
      </w:r>
    </w:p>
    <w:p>
      <w:pPr>
        <w:tabs>
          <w:tab w:val="right" w:pos="9360" w:leader="dot"/>
        </w:tabs>
        <w:spacing w:after="60"/>
        <w:ind w:left="0"/>
      </w:pPr>
      <w:r>
        <w:rPr>
          <w:rFonts w:ascii="Cambria" w:cs="Cambria" w:eastAsia="Cambria" w:hAnsi="Cambria"/>
          <w:b/>
          <w:bCs/>
          <w:sz w:val="24"/>
          <w:szCs w:val="24"/>
        </w:rPr>
        <w:t xml:space="preserve">7 Current Progress Status</w:t>
      </w:r>
      <w:r>
        <w:rPr>
          <w:rFonts w:ascii="Cambria" w:cs="Cambria" w:eastAsia="Cambria" w:hAnsi="Cambria"/>
          <w:sz w:val="22"/>
          <w:szCs w:val="22"/>
        </w:rPr>
        <w:t xml:space="preserve">	128</w:t>
      </w:r>
    </w:p>
    <w:p>
      <w:pPr>
        <w:tabs>
          <w:tab w:val="right" w:pos="9360" w:leader="dot"/>
        </w:tabs>
        <w:spacing w:after="60"/>
        <w:ind w:left="360"/>
      </w:pPr>
      <w:r>
        <w:rPr>
          <w:rFonts w:ascii="Cambria" w:cs="Cambria" w:eastAsia="Cambria" w:hAnsi="Cambria"/>
          <w:b w:val="false"/>
          <w:bCs w:val="false"/>
          <w:sz w:val="22"/>
          <w:szCs w:val="22"/>
        </w:rPr>
        <w:t xml:space="preserve">7.1 Progress of RO1: Trust-Centric Consent Model</w:t>
      </w:r>
      <w:r>
        <w:rPr>
          <w:rFonts w:ascii="Cambria" w:cs="Cambria" w:eastAsia="Cambria" w:hAnsi="Cambria"/>
          <w:sz w:val="22"/>
          <w:szCs w:val="22"/>
        </w:rPr>
        <w:t xml:space="preserve">	128</w:t>
      </w:r>
    </w:p>
    <w:p>
      <w:pPr>
        <w:tabs>
          <w:tab w:val="right" w:pos="9360" w:leader="dot"/>
        </w:tabs>
        <w:spacing w:after="60"/>
        <w:ind w:left="360"/>
      </w:pPr>
      <w:r>
        <w:rPr>
          <w:rFonts w:ascii="Cambria" w:cs="Cambria" w:eastAsia="Cambria" w:hAnsi="Cambria"/>
          <w:b w:val="false"/>
          <w:bCs w:val="false"/>
          <w:sz w:val="22"/>
          <w:szCs w:val="22"/>
        </w:rPr>
        <w:t xml:space="preserve">7.2 Progress of RO2: Decentralised Identity and Authority</w:t>
      </w:r>
      <w:r>
        <w:rPr>
          <w:rFonts w:ascii="Cambria" w:cs="Cambria" w:eastAsia="Cambria" w:hAnsi="Cambria"/>
          <w:sz w:val="22"/>
          <w:szCs w:val="22"/>
        </w:rPr>
        <w:t xml:space="preserve">	128</w:t>
      </w:r>
    </w:p>
    <w:p>
      <w:pPr>
        <w:tabs>
          <w:tab w:val="right" w:pos="9360" w:leader="dot"/>
        </w:tabs>
        <w:spacing w:after="60"/>
        <w:ind w:left="360"/>
      </w:pPr>
      <w:r>
        <w:rPr>
          <w:rFonts w:ascii="Cambria" w:cs="Cambria" w:eastAsia="Cambria" w:hAnsi="Cambria"/>
          <w:b w:val="false"/>
          <w:bCs w:val="false"/>
          <w:sz w:val="22"/>
          <w:szCs w:val="22"/>
        </w:rPr>
        <w:t xml:space="preserve">7.3 Progress of RO3: Trustworthy Multi-Party Authorisation</w:t>
      </w:r>
      <w:r>
        <w:rPr>
          <w:rFonts w:ascii="Cambria" w:cs="Cambria" w:eastAsia="Cambria" w:hAnsi="Cambria"/>
          <w:sz w:val="22"/>
          <w:szCs w:val="22"/>
        </w:rPr>
        <w:t xml:space="preserve">	129</w:t>
      </w:r>
    </w:p>
    <w:p>
      <w:pPr>
        <w:tabs>
          <w:tab w:val="right" w:pos="9360" w:leader="dot"/>
        </w:tabs>
        <w:spacing w:after="60"/>
        <w:ind w:left="360"/>
      </w:pPr>
      <w:r>
        <w:rPr>
          <w:rFonts w:ascii="Cambria" w:cs="Cambria" w:eastAsia="Cambria" w:hAnsi="Cambria"/>
          <w:b w:val="false"/>
          <w:bCs w:val="false"/>
          <w:sz w:val="22"/>
          <w:szCs w:val="22"/>
        </w:rPr>
        <w:t xml:space="preserve">7.4 Progress of RO4: Policy-Aware Access Control</w:t>
      </w:r>
      <w:r>
        <w:rPr>
          <w:rFonts w:ascii="Cambria" w:cs="Cambria" w:eastAsia="Cambria" w:hAnsi="Cambria"/>
          <w:sz w:val="22"/>
          <w:szCs w:val="22"/>
        </w:rPr>
        <w:t xml:space="preserve">	129</w:t>
      </w:r>
    </w:p>
    <w:p>
      <w:pPr>
        <w:tabs>
          <w:tab w:val="right" w:pos="9360" w:leader="dot"/>
        </w:tabs>
        <w:spacing w:after="60"/>
        <w:ind w:left="360"/>
      </w:pPr>
      <w:r>
        <w:rPr>
          <w:rFonts w:ascii="Cambria" w:cs="Cambria" w:eastAsia="Cambria" w:hAnsi="Cambria"/>
          <w:b w:val="false"/>
          <w:bCs w:val="false"/>
          <w:sz w:val="22"/>
          <w:szCs w:val="22"/>
        </w:rPr>
        <w:t xml:space="preserve">7.5 Progress of RO5: Temporal and Lifecycle Trust</w:t>
      </w:r>
      <w:r>
        <w:rPr>
          <w:rFonts w:ascii="Cambria" w:cs="Cambria" w:eastAsia="Cambria" w:hAnsi="Cambria"/>
          <w:sz w:val="22"/>
          <w:szCs w:val="22"/>
        </w:rPr>
        <w:t xml:space="preserve">	130</w:t>
      </w:r>
    </w:p>
    <w:p>
      <w:pPr>
        <w:tabs>
          <w:tab w:val="right" w:pos="9360" w:leader="dot"/>
        </w:tabs>
        <w:spacing w:after="60"/>
        <w:ind w:left="360"/>
      </w:pPr>
      <w:r>
        <w:rPr>
          <w:rFonts w:ascii="Cambria" w:cs="Cambria" w:eastAsia="Cambria" w:hAnsi="Cambria"/>
          <w:b w:val="false"/>
          <w:bCs w:val="false"/>
          <w:sz w:val="22"/>
          <w:szCs w:val="22"/>
        </w:rPr>
        <w:t xml:space="preserve">7.6 Progress of RO6: Security Assurance and Validation</w:t>
      </w:r>
      <w:r>
        <w:rPr>
          <w:rFonts w:ascii="Cambria" w:cs="Cambria" w:eastAsia="Cambria" w:hAnsi="Cambria"/>
          <w:sz w:val="22"/>
          <w:szCs w:val="22"/>
        </w:rPr>
        <w:t xml:space="preserve">	130</w:t>
      </w:r>
    </w:p>
    <w:p>
      <w:pPr>
        <w:tabs>
          <w:tab w:val="right" w:pos="9360" w:leader="dot"/>
        </w:tabs>
        <w:spacing w:after="60"/>
        <w:ind w:left="0"/>
      </w:pPr>
      <w:r>
        <w:rPr>
          <w:rFonts w:ascii="Cambria" w:cs="Cambria" w:eastAsia="Cambria" w:hAnsi="Cambria"/>
          <w:b/>
          <w:bCs/>
          <w:sz w:val="24"/>
          <w:szCs w:val="24"/>
        </w:rPr>
        <w:t xml:space="preserve">8 Publications Summary</w:t>
      </w:r>
      <w:r>
        <w:rPr>
          <w:rFonts w:ascii="Cambria" w:cs="Cambria" w:eastAsia="Cambria" w:hAnsi="Cambria"/>
          <w:sz w:val="22"/>
          <w:szCs w:val="22"/>
        </w:rPr>
        <w:t xml:space="preserve">	132</w:t>
      </w:r>
    </w:p>
    <w:p>
      <w:pPr>
        <w:tabs>
          <w:tab w:val="right" w:pos="9360" w:leader="dot"/>
        </w:tabs>
        <w:spacing w:after="60"/>
        <w:ind w:left="0"/>
      </w:pPr>
      <w:r>
        <w:rPr>
          <w:rFonts w:ascii="Cambria" w:cs="Cambria" w:eastAsia="Cambria" w:hAnsi="Cambria"/>
          <w:b/>
          <w:bCs/>
          <w:sz w:val="24"/>
          <w:szCs w:val="24"/>
        </w:rPr>
        <w:t xml:space="preserve">9 Research Plan</w:t>
      </w:r>
      <w:r>
        <w:rPr>
          <w:rFonts w:ascii="Cambria" w:cs="Cambria" w:eastAsia="Cambria" w:hAnsi="Cambria"/>
          <w:sz w:val="22"/>
          <w:szCs w:val="22"/>
        </w:rPr>
        <w:t xml:space="preserve">	133</w:t>
      </w:r>
    </w:p>
    <w:p>
      <w:pPr>
        <w:tabs>
          <w:tab w:val="right" w:pos="9360" w:leader="dot"/>
        </w:tabs>
        <w:spacing w:after="60"/>
        <w:ind w:left="360"/>
      </w:pPr>
      <w:r>
        <w:rPr>
          <w:rFonts w:ascii="Cambria" w:cs="Cambria" w:eastAsia="Cambria" w:hAnsi="Cambria"/>
          <w:b w:val="false"/>
          <w:bCs w:val="false"/>
          <w:sz w:val="22"/>
          <w:szCs w:val="22"/>
        </w:rPr>
        <w:t xml:space="preserve">9.1 Current Stage: Completed and Current Work</w:t>
      </w:r>
      <w:r>
        <w:rPr>
          <w:rFonts w:ascii="Cambria" w:cs="Cambria" w:eastAsia="Cambria" w:hAnsi="Cambria"/>
          <w:sz w:val="22"/>
          <w:szCs w:val="22"/>
        </w:rPr>
        <w:t xml:space="preserve">	133</w:t>
      </w:r>
    </w:p>
    <w:p>
      <w:pPr>
        <w:tabs>
          <w:tab w:val="right" w:pos="9360" w:leader="dot"/>
        </w:tabs>
        <w:spacing w:after="60"/>
        <w:ind w:left="360"/>
      </w:pPr>
      <w:r>
        <w:rPr>
          <w:rFonts w:ascii="Cambria" w:cs="Cambria" w:eastAsia="Cambria" w:hAnsi="Cambria"/>
          <w:b w:val="false"/>
          <w:bCs w:val="false"/>
          <w:sz w:val="22"/>
          <w:szCs w:val="22"/>
        </w:rPr>
        <w:t xml:space="preserve">9.2 Next Stage: Planned Work</w:t>
      </w:r>
      <w:r>
        <w:rPr>
          <w:rFonts w:ascii="Cambria" w:cs="Cambria" w:eastAsia="Cambria" w:hAnsi="Cambria"/>
          <w:sz w:val="22"/>
          <w:szCs w:val="22"/>
        </w:rPr>
        <w:t xml:space="preserve">	133</w:t>
      </w:r>
    </w:p>
    <w:p>
      <w:pPr>
        <w:tabs>
          <w:tab w:val="right" w:pos="9360" w:leader="dot"/>
        </w:tabs>
        <w:spacing w:after="60"/>
        <w:ind w:left="0"/>
      </w:pPr>
      <w:r>
        <w:rPr>
          <w:rFonts w:ascii="Cambria" w:cs="Cambria" w:eastAsia="Cambria" w:hAnsi="Cambria"/>
          <w:b/>
          <w:bCs/>
          <w:sz w:val="24"/>
          <w:szCs w:val="24"/>
        </w:rPr>
        <w:t xml:space="preserve">References</w:t>
      </w:r>
      <w:r>
        <w:rPr>
          <w:rFonts w:ascii="Cambria" w:cs="Cambria" w:eastAsia="Cambria" w:hAnsi="Cambria"/>
          <w:sz w:val="22"/>
          <w:szCs w:val="22"/>
        </w:rPr>
        <w:t xml:space="preserve">	138</w:t>
      </w:r>
    </w:p>
    <w:p>
      <w:pPr>
        <w:pStyle w:val="Heading1"/>
        <w:pageBreakBefore/>
        <w:spacing w:after="160" w:before="400"/>
      </w:pPr>
      <w:r>
        <w:t xml:space="preserve">1  Introduction</w:t>
      </w:r>
    </w:p>
    <w:p>
      <w:pPr>
        <w:pStyle w:val="Heading2"/>
        <w:spacing w:after="160" w:before="280"/>
      </w:pPr>
      <w:r>
        <w:t xml:space="preserve">1.1  Research Context</w:t>
      </w:r>
    </w:p>
    <w:p>
      <w:pPr>
        <w:spacing w:after="140" w:line="300"/>
        <w:jc w:val="both"/>
      </w:pPr>
      <w:r>
        <w:rPr>
          <w:rFonts w:ascii="Cambria" w:cs="Cambria" w:eastAsia="Cambria" w:hAnsi="Cambria"/>
          <w:sz w:val="24"/>
          <w:szCs w:val="24"/>
        </w:rP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[6, 19].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spacing w:after="140" w:line="300"/>
        <w:jc w:val="both"/>
      </w:pPr>
      <w:r>
        <w:rPr>
          <w:rFonts w:ascii="Cambria" w:cs="Cambria" w:eastAsia="Cambria" w:hAnsi="Cambria"/>
          <w:sz w:val="24"/>
          <w:szCs w:val="24"/>
        </w:rP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to participate in data-sharing processes </w:t>
      </w:r>
      <w:r>
        <w:rPr>
          <w:rFonts w:ascii="Cambria" w:cs="Cambria" w:eastAsia="Cambria" w:hAnsi="Cambria"/>
          <w:b w:val="false"/>
          <w:bCs w:val="false"/>
          <w:sz w:val="24"/>
          <w:szCs w:val="24"/>
        </w:rPr>
        <w:t xml:space="preserve">[31, 14]</w:t>
      </w:r>
      <w:r>
        <w:rPr>
          <w:rFonts w:ascii="Cambria" w:cs="Cambria" w:eastAsia="Cambria" w:hAnsi="Cambria"/>
          <w:sz w:val="24"/>
          <w:szCs w:val="24"/>
        </w:rP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 [24, 22, 12].</w:t>
      </w:r>
    </w:p>
    <w:p>
      <w:pPr>
        <w:spacing w:after="140" w:line="300"/>
        <w:jc w:val="both"/>
      </w:pPr>
      <w:r>
        <w:rPr>
          <w:rFonts w:ascii="Cambria" w:cs="Cambria" w:eastAsia="Cambria" w:hAnsi="Cambria"/>
          <w:sz w:val="24"/>
          <w:szCs w:val="24"/>
        </w:rPr>
        <w:t xml:space="preserve">Traditional access-control architectures are commonly based on centralised identity providers, institution-specific authentication systems, and relatively static permission-management mechanisms [28, 25, 11].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spacing w:after="140" w:line="300"/>
        <w:jc w:val="both"/>
      </w:pPr>
      <w:r>
        <w:rPr>
          <w:rFonts w:ascii="Cambria" w:cs="Cambria" w:eastAsia="Cambria" w:hAnsi="Cambria"/>
          <w:sz w:val="24"/>
          <w:szCs w:val="24"/>
        </w:rPr>
        <w:t xml:space="preserve">This problem is particularly relevant in healthcare, where data-sharing decisions may require the coordinated participation of patients, guardians, healthcare professionals, institutional authorities, and other authorised stakeholders [21, 9].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spacing w:after="140" w:line="300"/>
        <w:jc w:val="both"/>
      </w:pPr>
      <w:r>
        <w:rPr>
          <w:rFonts w:ascii="Cambria" w:cs="Cambria" w:eastAsia="Cambria" w:hAnsi="Cambria"/>
          <w:sz w:val="24"/>
          <w:szCs w:val="24"/>
        </w:rP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resources [2, 7, 3]. More broadly, blockchain-based approaches have demonstrated the potential to improve the integrity, transparency, and traceability of decentralised data-management processes [8, 1].</w:t>
      </w:r>
    </w:p>
    <w:p>
      <w:pPr>
        <w:spacing w:after="140" w:line="300"/>
        <w:jc w:val="both"/>
      </w:pPr>
      <w:r>
        <w:rPr>
          <w:rFonts w:ascii="Cambria" w:cs="Cambria" w:eastAsia="Cambria" w:hAnsi="Cambria"/>
          <w:sz w:val="24"/>
          <w:szCs w:val="24"/>
        </w:rP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spacing w:after="140" w:line="300"/>
        <w:jc w:val="both"/>
      </w:pPr>
      <w:r>
        <w:rPr>
          <w:rFonts w:ascii="Cambria" w:cs="Cambria" w:eastAsia="Cambria" w:hAnsi="Cambria"/>
          <w:sz w:val="24"/>
          <w:szCs w:val="24"/>
        </w:rP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an active and evaluable component of a broader authorisation process.</w:t>
      </w:r>
    </w:p>
    <w:p>
      <w:pPr>
        <w:pStyle w:val="Heading2"/>
        <w:spacing w:after="160" w:before="280"/>
      </w:pPr>
      <w:r>
        <w:t xml:space="preserve">1.2  Problem Statement</w:t>
      </w:r>
    </w:p>
    <w:p>
      <w:pPr>
        <w:spacing w:after="140" w:line="300"/>
        <w:jc w:val="both"/>
      </w:pPr>
      <w:r>
        <w:rPr>
          <w:rFonts w:ascii="Cambria" w:cs="Cambria" w:eastAsia="Cambria" w:hAnsi="Cambria"/>
          <w:sz w:val="24"/>
          <w:szCs w:val="24"/>
        </w:rP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spacing w:after="140" w:line="300"/>
        <w:jc w:val="both"/>
      </w:pPr>
      <w:r>
        <w:rPr>
          <w:rFonts w:ascii="Cambria" w:cs="Cambria" w:eastAsia="Cambria" w:hAnsi="Cambria"/>
          <w:sz w:val="24"/>
          <w:szCs w:val="24"/>
        </w:rPr>
        <w:t xml:space="preserve">This creates a fundamental distinction between consent representation and trustworthy authorisation enforcement.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spacing w:after="140" w:line="300"/>
        <w:jc w:val="both"/>
      </w:pPr>
      <w:r>
        <w:rPr>
          <w:rFonts w:ascii="Cambria" w:cs="Cambria" w:eastAsia="Cambria" w:hAnsi="Cambria"/>
          <w:sz w:val="24"/>
          <w:szCs w:val="24"/>
        </w:rP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spacing w:after="140" w:line="300"/>
        <w:jc w:val="both"/>
      </w:pPr>
      <w:r>
        <w:rPr>
          <w:rFonts w:ascii="Cambria" w:cs="Cambria" w:eastAsia="Cambria" w:hAnsi="Cambria"/>
          <w:sz w:val="24"/>
          <w:szCs w:val="24"/>
        </w:rP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spacing w:after="140" w:line="300"/>
        <w:jc w:val="both"/>
      </w:pPr>
      <w:r>
        <w:rPr>
          <w:rFonts w:ascii="Cambria" w:cs="Cambria" w:eastAsia="Cambria" w:hAnsi="Cambria"/>
          <w:sz w:val="24"/>
          <w:szCs w:val="24"/>
        </w:rPr>
        <w:t xml:space="preserve">The central problem addressed by this research is therefore the absence of an integrated trust-oriented mechanism that connects these different conditions within a coherent authorisation decision. Existing approaches provide important technological components, including decentralised identity, verifiable credentials, blockchain-based records, multi-party approval mechanisms, and policy-based access control [20, 15]. However, these mechanisms are often investigated independently or integrated primarily at the implementation level without providing a unified Trust Computing model explaining how their combined operation establishes a trustworthy authorisation outcome.</w:t>
      </w:r>
    </w:p>
    <w:p>
      <w:pPr>
        <w:spacing w:after="140" w:line="300"/>
        <w:jc w:val="both"/>
      </w:pPr>
      <w:r>
        <w:rPr>
          <w:rFonts w:ascii="Cambria" w:cs="Cambria" w:eastAsia="Cambria" w:hAnsi="Cambria"/>
          <w:sz w:val="24"/>
          <w:szCs w:val="24"/>
        </w:rP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spacing w:after="140" w:line="300"/>
        <w:jc w:val="both"/>
      </w:pPr>
      <w:r>
        <w:rPr>
          <w:rFonts w:ascii="Cambria" w:cs="Cambria" w:eastAsia="Cambria" w:hAnsi="Cambria"/>
          <w:sz w:val="24"/>
          <w:szCs w:val="24"/>
        </w:rP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p>
      <w:pPr>
        <w:pStyle w:val="Heading2"/>
        <w:spacing w:after="160" w:before="280"/>
      </w:pPr>
      <w:r>
        <w:t xml:space="preserve">1.3  Research Motivation</w:t>
      </w:r>
    </w:p>
    <w:p>
      <w:pPr>
        <w:spacing w:after="140" w:line="300"/>
        <w:jc w:val="both"/>
      </w:pPr>
      <w:r>
        <w:rPr>
          <w:rFonts w:ascii="Cambria" w:cs="Cambria" w:eastAsia="Cambria" w:hAnsi="Cambria"/>
          <w:color w:val="000000"/>
          <w:sz w:val="24"/>
          <w:szCs w:val="24"/>
        </w:rPr>
        <w:t xml:space="preserve">The framework has been extended to incorporate temporal validity and lifecycle trust. In particular, validity periods and expiration are enforced at the point of evaluation and mirrored on-chain, revocation is executed as a verifiable blockchain transaction, and consent progresses through controlled state transitions. This is important because trust cannot be regarded as permanently established at the moment a consent is created.</w:t>
      </w:r>
    </w:p>
    <w:p>
      <w:pPr>
        <w:spacing w:after="140" w:line="300"/>
        <w:jc w:val="both"/>
      </w:pPr>
      <w:r>
        <w:rPr>
          <w:rFonts w:ascii="Cambria" w:cs="Cambria" w:eastAsia="Cambria" w:hAnsi="Cambria"/>
          <w:color w:val="000000"/>
          <w:sz w:val="24"/>
          <w:szCs w:val="24"/>
        </w:rPr>
        <w:t xml:space="preserve">Adversarial and negative testing has been undertaken using the HALAH prototype, encompassing per-dimension denial scenarios, signature-rejection tests, and zero-knowledge tamper and expiry tests, together with a live negative evaluation on the Sepolia network. Consequently, formal security analysis remains the subject of the next research stage.</w:t>
      </w:r>
    </w:p>
    <w:p>
      <w:pPr>
        <w:spacing w:after="140" w:line="300"/>
        <w:jc w:val="both"/>
      </w:pPr>
      <w:r>
        <w:rPr>
          <w:rFonts w:ascii="Cambria" w:cs="Cambria" w:eastAsia="Cambria" w:hAnsi="Cambria"/>
          <w:sz w:val="24"/>
          <w:szCs w:val="24"/>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spacing w:after="140" w:line="300"/>
        <w:jc w:val="both"/>
      </w:pPr>
      <w:r>
        <w:rPr>
          <w:rFonts w:ascii="Cambria" w:cs="Cambria" w:eastAsia="Cambria" w:hAnsi="Cambria"/>
          <w:sz w:val="24"/>
          <w:szCs w:val="24"/>
        </w:rP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Multi-party authorisation concerns whether all required independent participants have jointly established the authorisation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spacing w:after="140" w:line="300"/>
        <w:jc w:val="both"/>
      </w:pPr>
      <w:r>
        <w:rPr>
          <w:rFonts w:ascii="Cambria" w:cs="Cambria" w:eastAsia="Cambria" w:hAnsi="Cambria"/>
          <w:sz w:val="24"/>
          <w:szCs w:val="24"/>
        </w:rP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spacing w:after="140" w:line="300"/>
        <w:jc w:val="both"/>
      </w:pPr>
      <w:r>
        <w:rPr>
          <w:rFonts w:ascii="Cambria" w:cs="Cambria" w:eastAsia="Cambria" w:hAnsi="Cambria"/>
          <w:sz w:val="24"/>
          <w:szCs w:val="24"/>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w:t>
      </w:r>
    </w:p>
    <w:p>
      <w:pPr>
        <w:spacing w:after="140" w:line="300"/>
        <w:jc w:val="both"/>
      </w:pPr>
      <w:r>
        <w:rPr>
          <w:rFonts w:ascii="Cambria" w:cs="Cambria" w:eastAsia="Cambria" w:hAnsi="Cambria"/>
          <w:sz w:val="24"/>
          <w:szCs w:val="24"/>
        </w:rPr>
        <w:t xml:space="preserve">These four dimensions collectively define the foundational scope of Multi-Party Patient Consent.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spacing w:after="140" w:line="300"/>
        <w:jc w:val="both"/>
      </w:pPr>
      <w:r>
        <w:rPr>
          <w:rFonts w:ascii="Cambria" w:cs="Cambria" w:eastAsia="Cambria" w:hAnsi="Cambria"/>
          <w:sz w:val="24"/>
          <w:szCs w:val="24"/>
        </w:rPr>
        <w:t xml:space="preserve">A consent that was valid when initially approved may subsequently become invalid due to expiration, revocation, or a change in its authorised lifecycle state.</w:t>
      </w:r>
    </w:p>
    <w:p>
      <w:pPr>
        <w:spacing w:after="140" w:line="300"/>
        <w:jc w:val="both"/>
      </w:pPr>
      <w:r>
        <w:rPr>
          <w:rFonts w:ascii="Cambria" w:cs="Cambria" w:eastAsia="Cambria" w:hAnsi="Cambria"/>
          <w:sz w:val="24"/>
          <w:szCs w:val="24"/>
        </w:rPr>
        <w:t xml:space="preserve">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The distinction between the current contribution and the subsequent research is summarised in Table 1.</w:t>
      </w:r>
    </w:p>
    <w:p>
      <w:pPr>
        <w:spacing w:after="140" w:line="300"/>
        <w:jc w:val="both"/>
      </w:pPr>
      <w:r>
        <w:rPr>
          <w:rFonts w:ascii="Cambria" w:cs="Cambria" w:eastAsia="Cambria" w:hAnsi="Cambria"/>
          <w:color w:val="000000"/>
          <w:sz w:val="24"/>
          <w:szCs w:val="24"/>
        </w:rPr>
        <w:t xml:space="preserve">Table 1 summarises the research dimensions, distinguishing those realised in the implemented HALAH prototype from the formal security assurance that remains for the subsequent research.</w:t>
      </w:r>
    </w:p>
    <w:p>
      <w:pPr>
        <w:spacing w:after="140" w:line="300"/>
        <w:jc w:val="both"/>
      </w:pPr>
      <w:r>
        <w:rPr>
          <w:rFonts w:ascii="Cambria" w:cs="Cambria" w:eastAsia="Cambria" w:hAnsi="Cambria"/>
          <w:sz w:val="24"/>
          <w:szCs w:val="24"/>
        </w:rPr>
        <w:t xml:space="preserve">This separation establishes a clear progression between the current and subsequent stages of the research.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research is concerned primarily with establishing the conceptual and technical foundations through which trustworthy multi-party authorisation can be constructed.</w:t>
      </w:r>
    </w:p>
    <w:p>
      <w:pPr>
        <w:spacing w:after="140" w:line="300"/>
        <w:jc w:val="both"/>
      </w:pPr>
      <w:r>
        <w:rPr>
          <w:rFonts w:ascii="Cambria" w:cs="Cambria" w:eastAsia="Cambria" w:hAnsi="Cambria"/>
          <w:color w:val="000000"/>
          <w:sz w:val="24"/>
          <w:szCs w:val="24"/>
        </w:rPr>
        <w:t xml:space="preserve">The current research is concerned primarily with establishing the conceptual and technical foundations through which trustworthy multi-party authorisation can be constructed.</w:t>
      </w:r>
    </w:p>
    <w:p>
      <w:pPr>
        <w:spacing w:after="140" w:line="300"/>
        <w:jc w:val="both"/>
      </w:pPr>
      <w:r>
        <w:rPr>
          <w:rFonts w:ascii="Cambria" w:cs="Cambria" w:eastAsia="Cambria" w:hAnsi="Cambria"/>
          <w:sz w:val="24"/>
          <w:szCs w:val="24"/>
        </w:rP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in which these independently verifiable conditions contribute collectively to a defensible and explainable decision about whether a particular healthcare data-access request should be permitted.</w:t>
      </w:r>
    </w:p>
    <w:p>
      <w:pPr>
        <w:keepNext/>
        <w:spacing w:after="80" w:before="160"/>
        <w:jc w:val="center"/>
      </w:pPr>
      <w:r>
        <w:rPr>
          <w:rFonts w:ascii="Cambria" w:cs="Cambria" w:eastAsia="Cambria" w:hAnsi="Cambria"/>
          <w:b/>
          <w:bCs/>
          <w:sz w:val="21"/>
          <w:szCs w:val="21"/>
        </w:rPr>
        <w:t xml:space="preserve">Table 1: </w:t>
      </w:r>
      <w:r>
        <w:rPr>
          <w:rFonts w:ascii="Cambria" w:cs="Cambria" w:eastAsia="Cambria" w:hAnsi="Cambria"/>
          <w:sz w:val="21"/>
          <w:szCs w:val="21"/>
        </w:rPr>
        <w:t xml:space="preserve">Research Scope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Stage</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Dimension</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Purpose and Core Objective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Modelling</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decentralised identifiers and verifiable credentials while explicitly separating identity authentication from authorisation authority.</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trust by requiring multiple independently verified participants to satisfy predefined authorisation conditions before sensitive healthcare data access can be granted.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authorisation model with validity periods, expiration, revocation, and controlled consent-state transitions to support dynamic and lifecycle-aware trust evaluation.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 (empirical) / Next (formal)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and analyse the security and authorisation properties of the proposed framework and empirically evaluate the complete HALAH implementation using representative healthcare data-sharing, negative, and adversarial scenarios.</w:t>
            </w:r>
          </w:p>
        </w:tc>
      </w:tr>
    </w:tbl>
    <w:p>
      <w:pPr>
        <w:spacing w:after="180"/>
      </w:pPr>
    </w:p>
    <w:p>
      <w:pPr>
        <w:pStyle w:val="Heading1"/>
        <w:pageBreakBefore/>
        <w:spacing w:after="160" w:before="400"/>
      </w:pPr>
      <w:r>
        <w:t xml:space="preserve">2  Systematic Literature Review</w:t>
      </w:r>
    </w:p>
    <w:p>
      <w:pPr>
        <w:pStyle w:val="Heading2"/>
        <w:spacing w:after="160" w:before="280"/>
      </w:pPr>
      <w:r>
        <w:t xml:space="preserve">2.1  Overview</w:t>
      </w:r>
    </w:p>
    <w:p>
      <w:pPr>
        <w:spacing w:after="140" w:line="300"/>
        <w:jc w:val="both"/>
      </w:pPr>
      <w:r>
        <w:rPr>
          <w:rFonts w:ascii="Cambria" w:cs="Cambria" w:eastAsia="Cambria" w:hAnsi="Cambria"/>
          <w:sz w:val="24"/>
          <w:szCs w:val="24"/>
        </w:rP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spacing w:after="140" w:line="300"/>
        <w:jc w:val="both"/>
      </w:pPr>
      <w:r>
        <w:rPr>
          <w:rFonts w:ascii="Cambria" w:cs="Cambria" w:eastAsia="Cambria" w:hAnsi="Cambria"/>
          <w:sz w:val="24"/>
          <w:szCs w:val="24"/>
        </w:rP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w:t>
      </w:r>
      <w:r>
        <w:rPr>
          <w:rFonts w:ascii="Cambria" w:cs="Cambria" w:eastAsia="Cambria" w:hAnsi="Cambria"/>
          <w:color w:val="000000"/>
          <w:sz w:val="24"/>
          <w:szCs w:val="24"/>
        </w:rPr>
        <w:t xml:space="preserve">decentralised trust</w:t>
      </w:r>
      <w:r>
        <w:rPr>
          <w:rFonts w:ascii="Cambria" w:cs="Cambria" w:eastAsia="Cambria" w:hAnsi="Cambria"/>
          <w:sz w:val="24"/>
          <w:szCs w:val="24"/>
        </w:rPr>
        <w:t xml:space="preserve">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spacing w:after="140" w:line="300"/>
        <w:jc w:val="both"/>
      </w:pPr>
      <w:r>
        <w:rPr>
          <w:rFonts w:ascii="Cambria" w:cs="Cambria" w:eastAsia="Cambria" w:hAnsi="Cambria"/>
          <w:sz w:val="24"/>
          <w:szCs w:val="24"/>
        </w:rP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p>
      <w:pPr>
        <w:pStyle w:val="Heading2"/>
        <w:spacing w:after="160" w:before="280"/>
      </w:pPr>
      <w:r>
        <w:t xml:space="preserve">2.2  Systematic Literature Review Methodology</w:t>
      </w:r>
    </w:p>
    <w:p>
      <w:pPr>
        <w:spacing w:after="140" w:line="300"/>
        <w:jc w:val="both"/>
      </w:pPr>
      <w:r>
        <w:rPr>
          <w:rFonts w:ascii="Cambria" w:cs="Cambria" w:eastAsia="Cambria" w:hAnsi="Cambria"/>
          <w:b w:val="false"/>
          <w:bCs w:val="false"/>
          <w:sz w:val="24"/>
          <w:szCs w:val="24"/>
        </w:rPr>
        <w:t xml:space="preserve">The review corpus comprises the 33 studies identified through the search and screening process described in the remainder of this section. </w:t>
      </w:r>
      <w:r>
        <w:rPr>
          <w:rFonts w:ascii="Cambria" w:cs="Cambria" w:eastAsia="Cambria" w:hAnsi="Cambria"/>
          <w:b w:val="false"/>
          <w:bCs w:val="false"/>
          <w:color w:val="000000"/>
          <w:sz w:val="24"/>
          <w:szCs w:val="24"/>
        </w:rPr>
        <w:t xml:space="preserve">Thirty-two of the 33 included studies were published between 2022 and 2026; one earlier foundational study [31] was retained under the eligibility provision for necessary foundational contributions. The corpus concentrates</w:t>
      </w:r>
      <w:r>
        <w:rPr>
          <w:rFonts w:ascii="Cambria" w:cs="Cambria" w:eastAsia="Cambria" w:hAnsi="Cambria"/>
          <w:b w:val="false"/>
          <w:bCs w:val="false"/>
          <w:sz w:val="24"/>
          <w:szCs w:val="24"/>
        </w:rPr>
        <w:t xml:space="preserve"> on blockchain-based data governance, decentralised identity, verifiable credentials, healthcare access control, and consent management.</w:t>
      </w:r>
    </w:p>
    <w:p>
      <w:pPr>
        <w:spacing w:after="140" w:line="300"/>
        <w:jc w:val="both"/>
      </w:pPr>
      <w:r>
        <w:rPr>
          <w:rFonts w:ascii="Cambria" w:cs="Cambria" w:eastAsia="Cambria" w:hAnsi="Cambria"/>
          <w:b w:val="false"/>
          <w:bCs w:val="false"/>
          <w:sz w:val="24"/>
          <w:szCs w:val="24"/>
        </w:rPr>
        <w:t xml:space="preserve">Within this corpus, references </w:t>
      </w:r>
      <w:r>
        <w:rPr>
          <w:rFonts w:ascii="Cambria" w:cs="Cambria" w:eastAsia="Cambria" w:hAnsi="Cambria"/>
          <w:b w:val="false"/>
          <w:bCs w:val="false"/>
          <w:color w:val="000000"/>
          <w:sz w:val="24"/>
          <w:szCs w:val="24"/>
        </w:rPr>
        <w:t xml:space="preserve">[1, 2, 3, 7, 9, 10, 11, 12, 13, 14, 21, 22, 24, 25, 28, 31, 32]</w:t>
      </w:r>
      <w:r>
        <w:rPr>
          <w:rFonts w:ascii="Cambria" w:cs="Cambria" w:eastAsia="Cambria" w:hAnsi="Cambria"/>
          <w:b w:val="false"/>
          <w:bCs w:val="false"/>
          <w:sz w:val="24"/>
          <w:szCs w:val="24"/>
        </w:rPr>
        <w:t xml:space="preserve"> address the healthcare data sharing, consent, and access-control dimensions of the review, while references </w:t>
      </w:r>
      <w:r>
        <w:rPr>
          <w:rFonts w:ascii="Cambria" w:cs="Cambria" w:eastAsia="Cambria" w:hAnsi="Cambria"/>
          <w:b w:val="false"/>
          <w:bCs w:val="false"/>
          <w:color w:val="000000"/>
          <w:sz w:val="24"/>
          <w:szCs w:val="24"/>
        </w:rPr>
        <w:t xml:space="preserve">[4, 5, 15, 16, 20, 27, 33]</w:t>
      </w:r>
      <w:r>
        <w:rPr>
          <w:rFonts w:ascii="Cambria" w:cs="Cambria" w:eastAsia="Cambria" w:hAnsi="Cambria"/>
          <w:b w:val="false"/>
          <w:bCs w:val="false"/>
          <w:sz w:val="24"/>
          <w:szCs w:val="24"/>
        </w:rPr>
        <w:t xml:space="preserve"> address the decentralised identifier, verifiable credential, and trust-architecture dimensions; the remaining studies contribute to multi-party governance and security assurance.</w:t>
      </w:r>
    </w:p>
    <w:p>
      <w:pPr>
        <w:pStyle w:val="Heading3"/>
        <w:spacing w:after="160" w:before="280"/>
      </w:pPr>
      <w:r>
        <w:t xml:space="preserve">2.2.1  Review Design and Reporting Framework</w:t>
      </w:r>
    </w:p>
    <w:p>
      <w:pPr>
        <w:spacing w:after="140" w:line="300"/>
        <w:jc w:val="both"/>
      </w:pPr>
      <w:r>
        <w:rPr>
          <w:rFonts w:ascii="Cambria" w:cs="Cambria" w:eastAsia="Cambria" w:hAnsi="Cambria"/>
          <w:sz w:val="24"/>
          <w:szCs w:val="24"/>
        </w:rPr>
        <w:t xml:space="preserve">A systematic literature review (SLR) was conducted to identify, classify, and critically evaluate existing research on multi-party healthcare data sharing, patient consent management,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privacy-preserving access control, and auditability. The review was designed to establish the conceptual and technical foundations of the research and thus </w:t>
      </w:r>
      <w:r>
        <w:rPr>
          <w:rFonts w:ascii="Cambria" w:cs="Cambria" w:eastAsia="Cambria" w:hAnsi="Cambria"/>
          <w:color w:val="000000"/>
          <w:sz w:val="24"/>
          <w:szCs w:val="24"/>
        </w:rPr>
        <w:t xml:space="preserve">of the</w:t>
      </w:r>
      <w:r>
        <w:rPr>
          <w:rFonts w:ascii="Cambria" w:cs="Cambria" w:eastAsia="Cambria" w:hAnsi="Cambria"/>
          <w:sz w:val="24"/>
          <w:szCs w:val="24"/>
        </w:rPr>
        <w:t xml:space="preserve"> proposed framework,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enforcement, privacy preservation, and auditable data access.</w:t>
      </w:r>
    </w:p>
    <w:p>
      <w:pPr>
        <w:spacing w:after="140" w:line="300"/>
        <w:jc w:val="both"/>
      </w:pPr>
      <w:r>
        <w:rPr>
          <w:rFonts w:ascii="Cambria" w:cs="Cambria" w:eastAsia="Cambria" w:hAnsi="Cambria"/>
          <w:sz w:val="24"/>
          <w:szCs w:val="24"/>
        </w:rPr>
        <w:t xml:space="preserve">The review process was structured according to the Preferred Reporting Items for Systematic Reviews and Meta-Analyses (PRISMA) framework </w:t>
      </w:r>
      <w:r>
        <w:rPr>
          <w:rFonts w:ascii="Cambria" w:cs="Cambria" w:eastAsia="Cambria" w:hAnsi="Cambria"/>
          <w:color w:val="000000"/>
          <w:sz w:val="24"/>
          <w:szCs w:val="24"/>
        </w:rPr>
        <w:t xml:space="preserve">[34]</w:t>
      </w:r>
      <w:r>
        <w:rPr>
          <w:rFonts w:ascii="Cambria" w:cs="Cambria" w:eastAsia="Cambria" w:hAnsi="Cambria"/>
          <w:sz w:val="24"/>
          <w:szCs w:val="24"/>
        </w:rPr>
        <w:t xml:space="preserve">.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w:t>
      </w:r>
    </w:p>
    <w:p>
      <w:pPr>
        <w:pStyle w:val="Heading3"/>
        <w:spacing w:after="160" w:before="280"/>
      </w:pPr>
      <w:r>
        <w:t xml:space="preserve">2.2.2  Questions for Review</w:t>
      </w:r>
    </w:p>
    <w:p>
      <w:pPr>
        <w:spacing w:after="140" w:line="300"/>
        <w:jc w:val="both"/>
      </w:pPr>
      <w:r>
        <w:rPr>
          <w:rFonts w:ascii="Cambria" w:cs="Cambria" w:eastAsia="Cambria" w:hAnsi="Cambria"/>
          <w:sz w:val="24"/>
          <w:szCs w:val="24"/>
        </w:rPr>
        <w:t xml:space="preserve">This systematic literature review is guided by the following questions</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sz w:val="24"/>
          <w:szCs w:val="24"/>
        </w:rPr>
        <w:t xml:space="preserve">1. What multi-party trust approaches have been proposed for healthcare data sharing and patient consent management?</w:t>
      </w:r>
    </w:p>
    <w:p>
      <w:pPr>
        <w:spacing w:after="140" w:line="300"/>
        <w:jc w:val="both"/>
      </w:pPr>
      <w:r>
        <w:rPr>
          <w:rFonts w:ascii="Cambria" w:cs="Cambria" w:eastAsia="Cambria" w:hAnsi="Cambria"/>
          <w:sz w:val="24"/>
          <w:szCs w:val="24"/>
        </w:rPr>
        <w:t xml:space="preserve">2. How do existing approaches represent, verify, and enforce patient consent and data access permissions?</w:t>
      </w:r>
    </w:p>
    <w:p>
      <w:pPr>
        <w:spacing w:after="140" w:line="300"/>
        <w:jc w:val="both"/>
      </w:pPr>
      <w:r>
        <w:rPr>
          <w:rFonts w:ascii="Cambria" w:cs="Cambria" w:eastAsia="Cambria" w:hAnsi="Cambria"/>
          <w:sz w:val="24"/>
          <w:szCs w:val="24"/>
        </w:rPr>
        <w:t xml:space="preserve">3. What mechanisms are used to support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verifiable credentials, and authentication in healthcare data ecosystems?</w:t>
      </w:r>
    </w:p>
    <w:p>
      <w:pPr>
        <w:spacing w:after="140" w:line="300"/>
        <w:jc w:val="both"/>
      </w:pPr>
      <w:r>
        <w:rPr>
          <w:rFonts w:ascii="Cambria" w:cs="Cambria" w:eastAsia="Cambria" w:hAnsi="Cambria"/>
          <w:sz w:val="24"/>
          <w:szCs w:val="24"/>
        </w:rPr>
        <w:t xml:space="preserve">4. How do existing systems address privacy preservation, selective disclosure, interoperability, and auditability?</w:t>
      </w:r>
    </w:p>
    <w:p>
      <w:pPr>
        <w:spacing w:after="140" w:line="300"/>
        <w:jc w:val="both"/>
      </w:pPr>
      <w:r>
        <w:rPr>
          <w:rFonts w:ascii="Cambria" w:cs="Cambria" w:eastAsia="Cambria" w:hAnsi="Cambria"/>
          <w:sz w:val="24"/>
          <w:szCs w:val="24"/>
        </w:rPr>
        <w:t xml:space="preserve">5. What limitations remain regarding the integration of consent management, identity verification, access control, and auditable healthcare data sharing?</w:t>
      </w:r>
    </w:p>
    <w:p>
      <w:pPr>
        <w:spacing w:after="140" w:line="300"/>
        <w:jc w:val="both"/>
      </w:pPr>
      <w:r>
        <w:rPr>
          <w:rFonts w:ascii="Cambria" w:cs="Cambria" w:eastAsia="Cambria" w:hAnsi="Cambria"/>
          <w:color w:val="000000"/>
          <w:sz w:val="24"/>
          <w:szCs w:val="24"/>
        </w:rPr>
        <w:t xml:space="preserve">6. How do existing systems manage the temporal validity and lifecycle of consent, including expiration, revocation, and state transitions, after consent has been granted?</w:t>
      </w:r>
    </w:p>
    <w:p>
      <w:pPr>
        <w:spacing w:after="140" w:line="300"/>
        <w:jc w:val="both"/>
      </w:pPr>
      <w:r>
        <w:rPr>
          <w:rFonts w:ascii="Cambria" w:cs="Cambria" w:eastAsia="Cambria" w:hAnsi="Cambria"/>
          <w:color w:val="000000"/>
          <w:sz w:val="24"/>
          <w:szCs w:val="24"/>
        </w:rPr>
        <w:t xml:space="preserve">7. How are the security properties of existing consent and access-control systems evaluated, and to what extent is formal security analysis employed alongside empirical prototyping?</w:t>
      </w:r>
    </w:p>
    <w:p>
      <w:pPr>
        <w:spacing w:after="140" w:line="300"/>
        <w:jc w:val="both"/>
      </w:pPr>
      <w:r>
        <w:rPr>
          <w:rFonts w:ascii="Cambria" w:cs="Cambria" w:eastAsia="Cambria" w:hAnsi="Cambria"/>
          <w:sz w:val="24"/>
          <w:szCs w:val="24"/>
        </w:rP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p>
      <w:pPr>
        <w:pStyle w:val="Heading3"/>
        <w:spacing w:after="160" w:before="280"/>
      </w:pPr>
      <w:r>
        <w:t xml:space="preserve">2.2.3  Search Databases and Search Strategy</w:t>
      </w:r>
    </w:p>
    <w:p>
      <w:pPr>
        <w:spacing w:after="140" w:line="300"/>
        <w:jc w:val="both"/>
      </w:pPr>
      <w:r>
        <w:rPr>
          <w:rFonts w:ascii="Cambria" w:cs="Cambria" w:eastAsia="Cambria" w:hAnsi="Cambria"/>
          <w:sz w:val="24"/>
          <w:szCs w:val="24"/>
        </w:rPr>
        <w:t xml:space="preserve">The literature search was conducted using the following academic databases</w:t>
      </w:r>
      <w:r>
        <w:rPr>
          <w:rFonts w:ascii="Cambria" w:cs="Cambria" w:eastAsia="Cambria" w:hAnsi="Cambria"/>
          <w:color w:val="000000"/>
          <w:sz w:val="24"/>
          <w:szCs w:val="24"/>
        </w:rPr>
        <w:t xml:space="preserve">: 1) IEEE Xplore, 2) ACM Digital Library, 3) ScienceDirect, 4) SpringerLink, 5) PubMed, 6) Scopus, and 7) Web of Science</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These databases were selected because they provide complementary coverage of computer science, cybersecurity, healthcare informatics, distributed systems, and information management research. IEEE Xplore and ACM Digital Library were used to identify studies on multi-party trust architectures, cryptographic mechanisms,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spacing w:after="140" w:line="300"/>
        <w:jc w:val="both"/>
      </w:pPr>
      <w:r>
        <w:rPr>
          <w:rFonts w:ascii="Cambria" w:cs="Cambria" w:eastAsia="Cambria" w:hAnsi="Cambria"/>
          <w:sz w:val="24"/>
          <w:szCs w:val="24"/>
        </w:rP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w:t>
      </w:r>
      <w:r>
        <w:rPr>
          <w:rFonts w:ascii="Cambria" w:cs="Cambria" w:eastAsia="Cambria" w:hAnsi="Cambria"/>
          <w:color w:val="000000"/>
          <w:sz w:val="24"/>
          <w:szCs w:val="24"/>
        </w:rPr>
        <w:t xml:space="preserve">blockchain and distributed-ledger technology,</w:t>
      </w:r>
      <w:r>
        <w:rPr>
          <w:rFonts w:ascii="Cambria" w:cs="Cambria" w:eastAsia="Cambria" w:hAnsi="Cambria"/>
          <w:sz w:val="24"/>
          <w:szCs w:val="24"/>
        </w:rPr>
        <w:t xml:space="preserve"> healthcare data, patient consent,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access control, privacy, and auditability. The general search string was defined as shown in Figure 1.</w:t>
      </w:r>
    </w:p>
    <w:p>
      <w:pPr>
        <w:spacing w:after="140" w:line="300"/>
        <w:jc w:val="both"/>
      </w:pPr>
      <w:r>
        <w:rPr>
          <w:rFonts w:ascii="Cambria" w:cs="Cambria" w:eastAsia="Cambria" w:hAnsi="Cambria"/>
          <w:b w:val="false"/>
          <w:bCs w:val="false"/>
          <w:sz w:val="24"/>
          <w:szCs w:val="24"/>
        </w:rPr>
        <w:t xml:space="preserve">The supporting-requirements block of the search string additionally captured trusted-execution terminology (trusted computing, trusted execution environment, attestation), which yielded the secure-execution studies reviewed in Section 2.3.6.</w:t>
      </w:r>
    </w:p>
    <w:p>
      <w:pPr>
        <w:keepNext/>
        <w:spacing w:after="60" w:before="140"/>
        <w:jc w:val="center"/>
      </w:pPr>
      <w:r>
        <w:drawing>
          <wp:inline distT="0" distB="0" distL="0" distR="0">
            <wp:extent cx="5715000" cy="4010025"/>
            <wp:effectExtent t="0" r="0" b="0" l="0"/>
            <wp:docPr id="1" name="gfig1f.png" descr="Figure 1: SLR Search String Definition" title="Figure 1: SLR Search String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100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 SLR Search String Definition</w:t>
      </w:r>
    </w:p>
    <w:p>
      <w:pPr>
        <w:jc w:val="center"/>
      </w:pPr>
      <w:r>
        <w:rPr>
          <w:rFonts w:ascii="Cambria" w:cs="Cambria" w:eastAsia="Cambria" w:hAnsi="Cambria"/>
          <w:i/>
          <w:iCs/>
          <w:sz w:val="20"/>
          <w:szCs w:val="20"/>
        </w:rPr>
        <w:t xml:space="preserve">[Figure 1: SLR Search String Definition (updated: blockchain and distributed-ledger terminology added to the Multi-Party Trust block, and trusted computing, trusted execution environment, and attestation added to the Supporting Requirements block, in line with Section 2.2.3)]</w:t>
      </w:r>
    </w:p>
    <w:p>
      <w:pPr>
        <w:pStyle w:val="Heading3"/>
        <w:spacing w:after="160" w:before="280"/>
      </w:pPr>
      <w:r>
        <w:t xml:space="preserve">2.2.4  Search Period and Search Execution</w:t>
      </w:r>
    </w:p>
    <w:p>
      <w:pPr>
        <w:spacing w:after="140" w:line="300"/>
        <w:jc w:val="both"/>
      </w:pPr>
      <w:r>
        <w:rPr>
          <w:rFonts w:ascii="Cambria" w:cs="Cambria" w:eastAsia="Cambria" w:hAnsi="Cambria"/>
          <w:sz w:val="24"/>
          <w:szCs w:val="24"/>
        </w:rPr>
        <w:t xml:space="preserve">The search was restricted to studies published between </w:t>
      </w:r>
      <w:r>
        <w:rPr>
          <w:rFonts w:ascii="Cambria" w:cs="Cambria" w:eastAsia="Cambria" w:hAnsi="Cambria"/>
          <w:color w:val="000000"/>
          <w:sz w:val="24"/>
          <w:szCs w:val="24"/>
        </w:rPr>
        <w:t xml:space="preserve">January 2022 and the search date, and was performed in August 2026</w:t>
      </w:r>
      <w:r>
        <w:rPr>
          <w:rFonts w:ascii="Cambria" w:cs="Cambria" w:eastAsia="Cambria" w:hAnsi="Cambria"/>
          <w:sz w:val="24"/>
          <w:szCs w:val="24"/>
        </w:rPr>
        <w:t xml:space="preserve">. The search period was selected to capture the rapid development of multi-party trust healthcare data management,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consent-aware access control while maintaining a sufficiently contemporary evidence base. Earlier foundational studies were retained when they provided critical contributions to the technical or conceptual development of the reviewed approaches.</w:t>
      </w:r>
    </w:p>
    <w:p>
      <w:pPr>
        <w:spacing w:after="140" w:line="300"/>
        <w:jc w:val="both"/>
      </w:pPr>
      <w:r>
        <w:rPr>
          <w:rFonts w:ascii="Cambria" w:cs="Cambria" w:eastAsia="Cambria" w:hAnsi="Cambria"/>
          <w:sz w:val="24"/>
          <w:szCs w:val="24"/>
        </w:rPr>
        <w:t xml:space="preserve">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w:t>
      </w:r>
    </w:p>
    <w:p>
      <w:pPr>
        <w:pStyle w:val="Heading3"/>
        <w:spacing w:after="160" w:before="280"/>
      </w:pPr>
      <w:r>
        <w:t xml:space="preserve">2.2.5  Eligibility Criteria</w:t>
      </w:r>
    </w:p>
    <w:p>
      <w:pPr>
        <w:spacing w:after="140" w:line="300"/>
        <w:jc w:val="both"/>
      </w:pPr>
      <w:r>
        <w:rPr>
          <w:rFonts w:ascii="Cambria" w:cs="Cambria" w:eastAsia="Cambria" w:hAnsi="Cambria"/>
          <w:sz w:val="24"/>
          <w:szCs w:val="24"/>
        </w:rPr>
        <w:t xml:space="preserve">The eligibility criteria were defined before the screening process to ensure consistency in the selection of studies. The criteria were designed to identify research that was directly relevant to the objectives of the SLR.</w:t>
      </w:r>
    </w:p>
    <w:p>
      <w:pPr>
        <w:spacing w:after="140" w:line="300"/>
        <w:jc w:val="both"/>
      </w:pPr>
      <w:r>
        <w:rPr>
          <w:rFonts w:ascii="Cambria" w:cs="Cambria" w:eastAsia="Cambria" w:hAnsi="Cambria"/>
          <w:sz w:val="24"/>
          <w:szCs w:val="24"/>
        </w:rPr>
        <w:t xml:space="preserve">A study was included if it satisfied the following criteria</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sz w:val="24"/>
          <w:szCs w:val="24"/>
        </w:rPr>
        <w:t xml:space="preserve">1. The study was published as a peer-reviewed journal article, conference paper, or systematic review relevant to the research questions.</w:t>
      </w:r>
    </w:p>
    <w:p>
      <w:pPr>
        <w:spacing w:after="140" w:line="300"/>
        <w:jc w:val="both"/>
      </w:pPr>
      <w:r>
        <w:rPr>
          <w:rFonts w:ascii="Cambria" w:cs="Cambria" w:eastAsia="Cambria" w:hAnsi="Cambria"/>
          <w:sz w:val="24"/>
          <w:szCs w:val="24"/>
        </w:rPr>
        <w:t xml:space="preserve">2. The study addressed healthcare data sharing, electronic health records, patient consent, healthcare access control,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privacy preservation, or a closely related topic.</w:t>
      </w:r>
    </w:p>
    <w:p>
      <w:pPr>
        <w:spacing w:after="140" w:line="300"/>
        <w:jc w:val="both"/>
      </w:pPr>
      <w:r>
        <w:rPr>
          <w:rFonts w:ascii="Cambria" w:cs="Cambria" w:eastAsia="Cambria" w:hAnsi="Cambria"/>
          <w:sz w:val="24"/>
          <w:szCs w:val="24"/>
        </w:rPr>
        <w:t xml:space="preserve">3. The study proposed, implemented, evaluated, or critically reviewed a technical, architectural, conceptual, or governance-oriented approach relevant to the research questions.</w:t>
      </w:r>
    </w:p>
    <w:p>
      <w:pPr>
        <w:spacing w:after="140" w:line="300"/>
        <w:jc w:val="both"/>
      </w:pPr>
      <w:r>
        <w:rPr>
          <w:rFonts w:ascii="Cambria" w:cs="Cambria" w:eastAsia="Cambria" w:hAnsi="Cambria"/>
          <w:sz w:val="24"/>
          <w:szCs w:val="24"/>
        </w:rPr>
        <w:t xml:space="preserve">4. The study provided sufficient methodological or conceptual information to support the extraction of relevant findings.</w:t>
      </w:r>
    </w:p>
    <w:p>
      <w:pPr>
        <w:spacing w:after="140" w:line="300"/>
        <w:jc w:val="both"/>
      </w:pPr>
      <w:r>
        <w:rPr>
          <w:rFonts w:ascii="Cambria" w:cs="Cambria" w:eastAsia="Cambria" w:hAnsi="Cambria"/>
          <w:sz w:val="24"/>
          <w:szCs w:val="24"/>
        </w:rPr>
        <w:t xml:space="preserve">5. The full text was available for inspection.</w:t>
      </w:r>
    </w:p>
    <w:p>
      <w:pPr>
        <w:spacing w:after="140" w:line="300"/>
        <w:jc w:val="both"/>
      </w:pPr>
      <w:r>
        <w:rPr>
          <w:rFonts w:ascii="Cambria" w:cs="Cambria" w:eastAsia="Cambria" w:hAnsi="Cambria"/>
          <w:sz w:val="24"/>
          <w:szCs w:val="24"/>
        </w:rPr>
        <w:t xml:space="preserve">6. The publication language was English.</w:t>
      </w:r>
    </w:p>
    <w:p>
      <w:pPr>
        <w:spacing w:after="140" w:line="300"/>
        <w:jc w:val="both"/>
      </w:pPr>
      <w:r>
        <w:rPr>
          <w:rFonts w:ascii="Cambria" w:cs="Cambria" w:eastAsia="Cambria" w:hAnsi="Cambria"/>
          <w:sz w:val="24"/>
          <w:szCs w:val="24"/>
        </w:rPr>
        <w:t xml:space="preserve">Studies were excluded if they satisfied one or more of the following conditions</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sz w:val="24"/>
          <w:szCs w:val="24"/>
        </w:rPr>
        <w:t xml:space="preserve">1. The study was unrelated to healthcare data sharing, patient consent, identity management, access control, privacy, or auditability.</w:t>
      </w:r>
    </w:p>
    <w:p>
      <w:pPr>
        <w:spacing w:after="140" w:line="300"/>
        <w:jc w:val="both"/>
      </w:pPr>
      <w:r>
        <w:rPr>
          <w:rFonts w:ascii="Cambria" w:cs="Cambria" w:eastAsia="Cambria" w:hAnsi="Cambria"/>
          <w:sz w:val="24"/>
          <w:szCs w:val="24"/>
        </w:rPr>
        <w:t xml:space="preserve">2. The study was a duplicate of another retrieved record.</w:t>
      </w:r>
    </w:p>
    <w:p>
      <w:pPr>
        <w:spacing w:after="140" w:line="300"/>
        <w:jc w:val="both"/>
      </w:pPr>
      <w:r>
        <w:rPr>
          <w:rFonts w:ascii="Cambria" w:cs="Cambria" w:eastAsia="Cambria" w:hAnsi="Cambria"/>
          <w:sz w:val="24"/>
          <w:szCs w:val="24"/>
        </w:rPr>
        <w:t xml:space="preserve">3. The study was a short abstract, editorial, opinion article, thesis, book chapter, or non-peer-reviewed publication without sufficient methodological detail, unless it provided a necessary foundational contribution.</w:t>
      </w:r>
    </w:p>
    <w:p>
      <w:pPr>
        <w:spacing w:after="140" w:line="300"/>
        <w:jc w:val="both"/>
      </w:pPr>
      <w:r>
        <w:rPr>
          <w:rFonts w:ascii="Cambria" w:cs="Cambria" w:eastAsia="Cambria" w:hAnsi="Cambria"/>
          <w:sz w:val="24"/>
          <w:szCs w:val="24"/>
        </w:rPr>
        <w:t xml:space="preserve">4. The study did not provide sufficient information to evaluate its contribution to the research questions.</w:t>
      </w:r>
    </w:p>
    <w:p>
      <w:pPr>
        <w:spacing w:after="140" w:line="300"/>
        <w:jc w:val="both"/>
      </w:pPr>
      <w:r>
        <w:rPr>
          <w:rFonts w:ascii="Cambria" w:cs="Cambria" w:eastAsia="Cambria" w:hAnsi="Cambria"/>
          <w:sz w:val="24"/>
          <w:szCs w:val="24"/>
        </w:rPr>
        <w:t xml:space="preserve">5. The full text was unavailable.</w:t>
      </w:r>
    </w:p>
    <w:p>
      <w:pPr>
        <w:spacing w:after="140" w:line="300"/>
        <w:jc w:val="both"/>
      </w:pPr>
      <w:r>
        <w:rPr>
          <w:rFonts w:ascii="Cambria" w:cs="Cambria" w:eastAsia="Cambria" w:hAnsi="Cambria"/>
          <w:sz w:val="24"/>
          <w:szCs w:val="24"/>
        </w:rPr>
        <w:t xml:space="preserve">6. The study focused exclusively on a technical problem that was outside the scope of healthcare data management and did not provide transferable insights relevant to the review.</w:t>
      </w:r>
    </w:p>
    <w:p>
      <w:pPr>
        <w:spacing w:after="140" w:line="300"/>
        <w:jc w:val="both"/>
      </w:pPr>
      <w:r>
        <w:rPr>
          <w:rFonts w:ascii="Cambria" w:cs="Cambria" w:eastAsia="Cambria" w:hAnsi="Cambria"/>
          <w:sz w:val="24"/>
          <w:szCs w:val="24"/>
        </w:rP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p>
      <w:pPr>
        <w:spacing w:after="140" w:line="300"/>
        <w:jc w:val="both"/>
      </w:pPr>
      <w:r>
        <w:rPr>
          <w:rFonts w:ascii="Cambria" w:cs="Cambria" w:eastAsia="Cambria" w:hAnsi="Cambria"/>
          <w:color w:val="000000"/>
          <w:sz w:val="24"/>
          <w:szCs w:val="24"/>
        </w:rPr>
        <w:t xml:space="preserve">A small number of included studies address domains other than healthcare, such as cross-organisational livestock data sharing, archival record-keeping, smart agriculture, electric-vehicle charging, and smart-city data governance [6, 8, 17, 27, 30]. These studies were retained under criterion 6 because they provide transferable insights on decentralised trust, verifiable credentials, and auditable data governance that bear directly on the review questions.</w:t>
      </w:r>
    </w:p>
    <w:p>
      <w:pPr>
        <w:pStyle w:val="Heading3"/>
        <w:spacing w:after="160" w:before="280"/>
      </w:pPr>
      <w:r>
        <w:t xml:space="preserve">2.2.6  Screening and Study Selection</w:t>
      </w:r>
    </w:p>
    <w:p>
      <w:pPr>
        <w:spacing w:after="140" w:line="300"/>
        <w:jc w:val="both"/>
      </w:pPr>
      <w:r>
        <w:rPr>
          <w:rFonts w:ascii="Cambria" w:cs="Cambria" w:eastAsia="Cambria" w:hAnsi="Cambria"/>
          <w:sz w:val="24"/>
          <w:szCs w:val="24"/>
        </w:rPr>
        <w:t xml:space="preserve">The screening process consisted of three sequential stages: title and abstract screening, full-text eligibility assessment, and final inclusion.</w:t>
      </w:r>
    </w:p>
    <w:p>
      <w:pPr>
        <w:spacing w:after="140" w:line="300"/>
        <w:jc w:val="both"/>
      </w:pPr>
      <w:r>
        <w:rPr>
          <w:rFonts w:ascii="Cambria" w:cs="Cambria" w:eastAsia="Cambria" w:hAnsi="Cambria"/>
          <w:sz w:val="24"/>
          <w:szCs w:val="24"/>
        </w:rP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privacy, and healthcare data sharing.</w:t>
      </w:r>
    </w:p>
    <w:p>
      <w:pPr>
        <w:spacing w:after="140" w:line="300"/>
        <w:jc w:val="both"/>
      </w:pPr>
      <w:r>
        <w:rPr>
          <w:rFonts w:ascii="Cambria" w:cs="Cambria" w:eastAsia="Cambria" w:hAnsi="Cambria"/>
          <w:sz w:val="24"/>
          <w:szCs w:val="24"/>
        </w:rP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keepNext/>
        <w:spacing w:after="60" w:before="140"/>
        <w:jc w:val="center"/>
      </w:pPr>
      <w:r>
        <w:drawing>
          <wp:inline distT="0" distB="0" distL="0" distR="0">
            <wp:extent cx="5715000" cy="3981450"/>
            <wp:effectExtent t="0" r="0" b="0" l="0"/>
            <wp:docPr id="1" name="gfig2.png" descr="Figure 2: PRISMA Study Selection Summary" title="Figure 2: PRISMA Study Selecti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81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 PRISMA Study Selection Summary</w:t>
      </w:r>
    </w:p>
    <w:p>
      <w:pPr>
        <w:jc w:val="center"/>
      </w:pPr>
      <w:r>
        <w:rPr>
          <w:rFonts w:ascii="Cambria" w:cs="Cambria" w:eastAsia="Cambria" w:hAnsi="Cambria"/>
          <w:i/>
          <w:iCs/>
          <w:sz w:val="20"/>
          <w:szCs w:val="20"/>
        </w:rPr>
        <w:t xml:space="preserve">[Figure 2: PRISMA Study Selection Summary]</w:t>
      </w:r>
    </w:p>
    <w:p>
      <w:pPr>
        <w:spacing w:after="140" w:line="300"/>
        <w:jc w:val="both"/>
      </w:pPr>
      <w:r>
        <w:rPr>
          <w:rFonts w:ascii="Cambria" w:cs="Cambria" w:eastAsia="Cambria" w:hAnsi="Cambria"/>
          <w:sz w:val="24"/>
          <w:szCs w:val="24"/>
        </w:rPr>
        <w:t xml:space="preserve">Figure 2 presents the PRISMA flow diagram for this review</w:t>
      </w:r>
      <w:r>
        <w:rPr>
          <w:rFonts w:ascii="Cambria" w:cs="Cambria" w:eastAsia="Cambria" w:hAnsi="Cambria"/>
          <w:color w:val="000000"/>
          <w:sz w:val="24"/>
          <w:szCs w:val="24"/>
        </w:rPr>
        <w:t xml:space="preserve">, which summarises</w:t>
      </w:r>
      <w:r>
        <w:rPr>
          <w:rFonts w:ascii="Cambria" w:cs="Cambria" w:eastAsia="Cambria" w:hAnsi="Cambria"/>
          <w:sz w:val="24"/>
          <w:szCs w:val="24"/>
        </w:rPr>
        <w:t xml:space="preserve"> the identification, screening, eligibility, and inclusion stages of the SLR. The final number of included studies was derived after completing the screening and eligibility assessment across the identified literature base.</w:t>
      </w:r>
    </w:p>
    <w:p>
      <w:pPr>
        <w:spacing w:after="140" w:line="300"/>
        <w:jc w:val="both"/>
      </w:pPr>
      <w:r>
        <w:rPr>
          <w:rFonts w:ascii="Cambria" w:cs="Cambria" w:eastAsia="Cambria" w:hAnsi="Cambria"/>
          <w:b w:val="false"/>
          <w:bCs w:val="false"/>
          <w:sz w:val="24"/>
          <w:szCs w:val="24"/>
        </w:rPr>
        <w:t xml:space="preserve">Seven of the removed records were flagged as ineligible during automated pre-screening (non-English sources and non-peer-reviewed material) and were excluded before the manual title and abstract screening.</w:t>
      </w:r>
    </w:p>
    <w:p>
      <w:pPr>
        <w:spacing w:after="140" w:line="300"/>
        <w:jc w:val="both"/>
      </w:pPr>
      <w:r>
        <w:rPr>
          <w:rFonts w:ascii="Cambria" w:cs="Cambria" w:eastAsia="Cambria" w:hAnsi="Cambria"/>
          <w:color w:val="000000"/>
          <w:sz w:val="24"/>
          <w:szCs w:val="24"/>
        </w:rPr>
        <w:t xml:space="preserve">In numerical terms, the database searches returned 125 records. Before screening, 35 duplicate records and the seven records flagged during automated pre-screening were removed, leaving 83 records for title and abstract screening. Of these, 40 records were excluded as unrelated to the review scope and 43 reports were sought for retrieval; three full texts were inaccessible, so 40 reports were assessed for eligibility. Seven reports were excluded at this stage, three for insufficient technical or architectural detail and four for scope mismatch with the consent and decentralised-identity focus of the review, and 33 studies were included in the final qualitative synthesis, exactly as reported in Figure 2.</w:t>
      </w:r>
    </w:p>
    <w:p>
      <w:pPr>
        <w:pStyle w:val="Heading3"/>
        <w:spacing w:after="160" w:before="280"/>
      </w:pPr>
      <w:r>
        <w:t xml:space="preserve">2.2.7  Data Extraction and Synthesis</w:t>
      </w:r>
    </w:p>
    <w:p>
      <w:pPr>
        <w:spacing w:after="140" w:line="300"/>
        <w:jc w:val="both"/>
      </w:pPr>
      <w:r>
        <w:rPr>
          <w:rFonts w:ascii="Cambria" w:cs="Cambria" w:eastAsia="Cambria" w:hAnsi="Cambria"/>
          <w:sz w:val="24"/>
          <w:szCs w:val="24"/>
        </w:rP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spacing w:after="140" w:line="300"/>
        <w:jc w:val="both"/>
      </w:pPr>
      <w:r>
        <w:rPr>
          <w:rFonts w:ascii="Cambria" w:cs="Cambria" w:eastAsia="Cambria" w:hAnsi="Cambria"/>
          <w:sz w:val="24"/>
          <w:szCs w:val="24"/>
        </w:rPr>
        <w:t xml:space="preserve">The extracted data were </w:t>
      </w:r>
      <w:r>
        <w:rPr>
          <w:rFonts w:ascii="Cambria" w:cs="Cambria" w:eastAsia="Cambria" w:hAnsi="Cambria"/>
          <w:color w:val="000000"/>
          <w:sz w:val="24"/>
          <w:szCs w:val="24"/>
        </w:rPr>
        <w:t xml:space="preserve">organised</w:t>
      </w:r>
      <w:r>
        <w:rPr>
          <w:rFonts w:ascii="Cambria" w:cs="Cambria" w:eastAsia="Cambria" w:hAnsi="Cambria"/>
          <w:sz w:val="24"/>
          <w:szCs w:val="24"/>
        </w:rPr>
        <w:t xml:space="preserve"> into thematic categories corresponding to the research questions. These categories included consent specification and management,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credential verification,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access control, privacy preservation, interoperability, auditability, and system evaluation.</w:t>
      </w:r>
    </w:p>
    <w:p>
      <w:pPr>
        <w:spacing w:after="140" w:line="300"/>
        <w:jc w:val="both"/>
      </w:pPr>
      <w:r>
        <w:rPr>
          <w:rFonts w:ascii="Cambria" w:cs="Cambria" w:eastAsia="Cambria" w:hAnsi="Cambria"/>
          <w:sz w:val="24"/>
          <w:szCs w:val="24"/>
        </w:rP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auditable access records, and mechanisms for preserving patient autonomy.</w:t>
      </w:r>
    </w:p>
    <w:p>
      <w:pPr>
        <w:spacing w:after="140" w:line="300"/>
        <w:jc w:val="both"/>
      </w:pPr>
      <w:r>
        <w:rPr>
          <w:rFonts w:ascii="Cambria" w:cs="Cambria" w:eastAsia="Cambria" w:hAnsi="Cambria"/>
          <w:color w:val="000000"/>
          <w:sz w:val="24"/>
          <w:szCs w:val="24"/>
        </w:rPr>
        <w:t xml:space="preserve">Each study assessed at the full-text stage was additionally evaluated against four predefined quality criteria: clarity of the research objective, adequacy of the methodological description, rigour of the reported evaluation or validation, and relevance of the evidence to the review questions. Studies that failed more than one criterion were excluded during the full-text assessment, so the quality assessment operated as part of the eligibility decision rather than as a separate scoring exercise.</w:t>
      </w:r>
    </w:p>
    <w:p>
      <w:pPr>
        <w:spacing w:after="140" w:line="300"/>
        <w:jc w:val="both"/>
      </w:pPr>
      <w:r>
        <w:rPr>
          <w:rFonts w:ascii="Cambria" w:cs="Cambria" w:eastAsia="Cambria" w:hAnsi="Cambria"/>
          <w:sz w:val="24"/>
          <w:szCs w:val="24"/>
        </w:rPr>
        <w:t xml:space="preserve">The final review set was used to establish the state of the art in multi-party-trust healthcare data sharing and consent management. The findings were subsequently used to identify research gaps and to inform the design requirements of the proposed framework.</w:t>
      </w:r>
    </w:p>
    <w:p>
      <w:pPr>
        <w:keepNext/>
        <w:spacing w:after="60" w:before="140"/>
        <w:jc w:val="center"/>
      </w:pPr>
      <w:r>
        <w:drawing>
          <wp:inline distT="0" distB="0" distL="0" distR="0">
            <wp:extent cx="5715000" cy="2114550"/>
            <wp:effectExtent t="0" r="0" b="0" l="0"/>
            <wp:docPr id="1" name="gfig2a.png" descr="Figure 3: Profile of the 33 included studies: distribution by publication year and by review stream. The single 2019 study is the foundational source [31] retained outside the systematic search window; a study may contribute to more than one stream." title="Figure 3: Profile of the 33 included studies: distribution by publication year and by review stream. The single 2019 study is the foundational source [31] retained outside the systematic search window; a study may contribute to more than one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14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 Profile of the 33 included studies: distribution by publication year and by review stream. The single 2019 study is the foundational source [31] retained outside the systematic search window; a study may contribute to more than one stream.</w:t>
      </w:r>
    </w:p>
    <w:p>
      <w:pPr>
        <w:pStyle w:val="Heading2"/>
        <w:spacing w:after="160" w:before="280"/>
      </w:pPr>
      <w:r>
        <w:t xml:space="preserve">2.3  Review</w:t>
      </w:r>
    </w:p>
    <w:p>
      <w:pPr>
        <w:spacing w:after="140" w:line="300"/>
        <w:jc w:val="both"/>
      </w:pPr>
      <w:r>
        <w:rPr>
          <w:rFonts w:ascii="Cambria" w:cs="Cambria" w:eastAsia="Cambria" w:hAnsi="Cambria"/>
          <w:color w:val="000000"/>
          <w:sz w:val="24"/>
          <w:szCs w:val="24"/>
        </w:rPr>
        <w:t xml:space="preserve">The thematic sections that follow (Sections 2.3.1–2.3.6), together with the comparative analysis in Section 2.3.7, address the review questions as follows. Review question 1 is addressed principally in Sections 2.3.2 and 2.3.4; review question 2 in Sections 2.3.1 and 2.3.5; review question 3 in Section 2.3.3; review question 4 in Sections 2.3.2 and 2.3.5, with its selective-disclosure dimension addressed in Section 2.3.3; and review question 5 is synthesised in Sections 2.3.7 and 2.4, where it motivates the research gap. The lifecycle and evaluation questions 6 and 7 are addressed in Sections 2.3.1 and 2.3.6 respectively.</w:t>
      </w:r>
    </w:p>
    <w:p>
      <w:pPr>
        <w:spacing w:after="140" w:line="300"/>
        <w:jc w:val="both"/>
      </w:pPr>
      <w:r>
        <w:rPr>
          <w:rFonts w:ascii="Cambria" w:cs="Cambria" w:eastAsia="Cambria" w:hAnsi="Cambria"/>
          <w:color w:val="000000"/>
          <w:sz w:val="24"/>
          <w:szCs w:val="24"/>
        </w:rPr>
        <w:t xml:space="preserve">Consistent with the scope established in Section 2.1, the following subsections examine each research stream in turn: healthcare consent governance, blockchain-based data governance, decentralised identity and verifiable credentials, multi-party authorisation, policy-based and context-aware access control, and Trusted Computing. Each subsection evaluates how the reviewed approaches contribute to the conditions required for a trustworthy authorisation decision and identifies the limitations that motivate the proposed framework.</w:t>
      </w:r>
    </w:p>
    <w:p>
      <w:pPr>
        <w:keepNext/>
        <w:spacing w:after="60" w:before="140"/>
        <w:jc w:val="center"/>
      </w:pPr>
      <w:r>
        <w:drawing>
          <wp:inline distT="0" distB="0" distL="0" distR="0">
            <wp:extent cx="5334000" cy="4276725"/>
            <wp:effectExtent t="0" r="0" b="0" l="0"/>
            <wp:docPr id="1" name="gfig2b.png" descr="Figure 4: Correspondence between the seven review questions of Section 2.2.2 and the sections of the review in which they are addressed, ending in the research gap carried into Chapter 3." title="Figure 4: Correspondence between the seven review questions of Section 2.2.2 and the sections of the review in which they are addressed, ending in the research gap carried into Chapt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276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4: Correspondence between the seven review questions of Section 2.2.2 and the sections of the review in which they are addressed, ending in the research gap carried into Chapter 3.</w:t>
      </w:r>
    </w:p>
    <w:p>
      <w:pPr>
        <w:pStyle w:val="Heading3"/>
        <w:spacing w:after="160" w:before="280"/>
      </w:pPr>
      <w:r>
        <w:t xml:space="preserve">2.3.1  Healthcare Consent and Decentralised Data Governance</w:t>
      </w:r>
    </w:p>
    <w:p>
      <w:pPr>
        <w:spacing w:after="140" w:line="300"/>
        <w:jc w:val="both"/>
      </w:pPr>
      <w:r>
        <w:rPr>
          <w:rFonts w:ascii="Cambria" w:cs="Cambria" w:eastAsia="Cambria" w:hAnsi="Cambria"/>
          <w:sz w:val="24"/>
          <w:szCs w:val="24"/>
        </w:rPr>
        <w:t xml:space="preserve">Healthcare data sharing is fundamentally different from conventional information exchange because the data involved </w:t>
      </w:r>
      <w:r>
        <w:rPr>
          <w:rFonts w:ascii="Cambria" w:cs="Cambria" w:eastAsia="Cambria" w:hAnsi="Cambria"/>
          <w:color w:val="000000"/>
          <w:sz w:val="24"/>
          <w:szCs w:val="24"/>
        </w:rPr>
        <w:t xml:space="preserve">are</w:t>
      </w:r>
      <w:r>
        <w:rPr>
          <w:rFonts w:ascii="Cambria" w:cs="Cambria" w:eastAsia="Cambria" w:hAnsi="Cambria"/>
          <w:sz w:val="24"/>
          <w:szCs w:val="24"/>
        </w:rPr>
        <w:t xml:space="preserve">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 [31, 22, 14, 12].</w:t>
      </w:r>
    </w:p>
    <w:p>
      <w:pPr>
        <w:spacing w:after="140" w:line="300"/>
        <w:jc w:val="both"/>
      </w:pPr>
      <w:r>
        <w:rPr>
          <w:rFonts w:ascii="Cambria" w:cs="Cambria" w:eastAsia="Cambria" w:hAnsi="Cambria"/>
          <w:sz w:val="24"/>
          <w:szCs w:val="24"/>
        </w:rP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[24]. At the same time, privacy-preserving interoperability remains difficult because healthcare systems must balance individual autonomy with the operational requirements of clinical care, coordination, and legitimate secondary data use [21, 9]. These competing requirements make healthcare consent a governance problem rather than simply a binary access-control decision.</w:t>
      </w:r>
    </w:p>
    <w:p>
      <w:pPr>
        <w:spacing w:after="140" w:line="300"/>
        <w:jc w:val="both"/>
      </w:pPr>
      <w:r>
        <w:rPr>
          <w:rFonts w:ascii="Cambria" w:cs="Cambria" w:eastAsia="Cambria" w:hAnsi="Cambria"/>
          <w:sz w:val="24"/>
          <w:szCs w:val="24"/>
        </w:rPr>
        <w:t xml:space="preserve">Traditional consent-management approaches frequently represent consent as a permission indicating whether a particular party is allowed to perform a specified operation</w:t>
      </w:r>
      <w:r>
        <w:rPr>
          <w:rFonts w:ascii="Cambria" w:cs="Cambria" w:eastAsia="Cambria" w:hAnsi="Cambria"/>
          <w:color w:val="000000"/>
          <w:sz w:val="24"/>
          <w:szCs w:val="24"/>
        </w:rPr>
        <w:t xml:space="preserve"> [13, 10]</w:t>
      </w:r>
      <w:r>
        <w:rPr>
          <w:rFonts w:ascii="Cambria" w:cs="Cambria" w:eastAsia="Cambria" w:hAnsi="Cambria"/>
          <w:sz w:val="24"/>
          <w:szCs w:val="24"/>
        </w:rPr>
        <w:t xml:space="preserve">. Dynamic consent research has attempted to provide greater flexibility by allowing consent preferences to evolve over time, while privacy-first approaches have explored decentralised controllers and privacy-preserving mechanisms for improving data-subject control [13]. Consent receipts and auditable consent records have also been proposed to improve transparency and accountability by providing evidence of how consent was obtained and exercised [10].</w:t>
      </w:r>
    </w:p>
    <w:p>
      <w:pPr>
        <w:spacing w:after="140" w:line="300"/>
        <w:jc w:val="both"/>
      </w:pPr>
      <w:r>
        <w:rPr>
          <w:rFonts w:ascii="Cambria" w:cs="Cambria" w:eastAsia="Cambria" w:hAnsi="Cambria"/>
          <w:sz w:val="24"/>
          <w:szCs w:val="24"/>
        </w:rPr>
        <w:t xml:space="preserve">Despite these developments, a significant conceptual limitation remains. The existence of a consent record does not necessarily explain whether the conditions required for a subsequent access request are still satisfied. 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spacing w:after="140" w:line="300"/>
        <w:jc w:val="both"/>
      </w:pPr>
      <w:r>
        <w:rPr>
          <w:rFonts w:ascii="Cambria" w:cs="Cambria" w:eastAsia="Cambria" w:hAnsi="Cambria"/>
          <w:sz w:val="24"/>
          <w:szCs w:val="24"/>
        </w:rP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p>
      <w:pPr>
        <w:spacing w:after="140" w:line="300"/>
        <w:jc w:val="both"/>
      </w:pPr>
      <w:r>
        <w:rPr>
          <w:rFonts w:ascii="Cambria" w:cs="Cambria" w:eastAsia="Cambria" w:hAnsi="Cambria"/>
          <w:color w:val="000000"/>
          <w:sz w:val="24"/>
          <w:szCs w:val="24"/>
        </w:rPr>
        <w:t xml:space="preserve">Within this stream, dynamic-consent research [13] and consent-receipt mechanisms [10] already recognise that a patient's permission changes over time; however, the reviewed systems provide limited support for treating expiration, revocation, and consent state transitions as first-class and independently verifiable authorisation conditions after consent has been granted. This limitation motivates the lifecycle dimension examined by review question 6.</w:t>
      </w:r>
    </w:p>
    <w:p>
      <w:pPr>
        <w:pStyle w:val="Heading3"/>
        <w:spacing w:after="160" w:before="280"/>
      </w:pPr>
      <w:r>
        <w:t xml:space="preserve">2.3.2  Blockchain-Based Consent and Data Governance</w:t>
      </w:r>
    </w:p>
    <w:p>
      <w:pPr>
        <w:spacing w:after="140" w:line="300"/>
        <w:jc w:val="both"/>
      </w:pPr>
      <w:r>
        <w:rPr>
          <w:rFonts w:ascii="Cambria" w:cs="Cambria" w:eastAsia="Cambria" w:hAnsi="Cambria"/>
          <w:sz w:val="24"/>
          <w:szCs w:val="24"/>
        </w:rP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 [1, 2, 7, 3]. More generally, blockchain has been studied as an infrastructure for trustworthy data sharing and decentralised decision-making across organisational boundaries [29, 30, 26].</w:t>
      </w:r>
    </w:p>
    <w:p>
      <w:pPr>
        <w:spacing w:after="140" w:line="300"/>
        <w:jc w:val="both"/>
      </w:pPr>
      <w:r>
        <w:rPr>
          <w:rFonts w:ascii="Cambria" w:cs="Cambria" w:eastAsia="Cambria" w:hAnsi="Cambria"/>
          <w:sz w:val="24"/>
          <w:szCs w:val="24"/>
        </w:rPr>
        <w:t xml:space="preserve">A major contribution of blockchain is its ability to preserve tamper-resistant evidence of transactions and state changes. This characteristic is particularly valuable for sensitive documentation and data governance because it can strengthen auditability and provide evidence that recorded information has not been modified without detection [8]. Analytical research has also investigated how blockchain immutability contributes to tamper-resilient trust and integrity within distributed systems [18].</w:t>
      </w:r>
    </w:p>
    <w:p>
      <w:pPr>
        <w:spacing w:after="140" w:line="300"/>
        <w:jc w:val="both"/>
      </w:pPr>
      <w:r>
        <w:rPr>
          <w:rFonts w:ascii="Cambria" w:cs="Cambria" w:eastAsia="Cambria" w:hAnsi="Cambria"/>
          <w:sz w:val="24"/>
          <w:szCs w:val="24"/>
        </w:rP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 [2, 7, 3, 28].</w:t>
      </w:r>
    </w:p>
    <w:p>
      <w:pPr>
        <w:spacing w:after="140" w:line="300"/>
        <w:jc w:val="both"/>
      </w:pPr>
      <w:r>
        <w:rPr>
          <w:rFonts w:ascii="Cambria" w:cs="Cambria" w:eastAsia="Cambria" w:hAnsi="Cambria"/>
          <w:sz w:val="24"/>
          <w:szCs w:val="24"/>
        </w:rP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spacing w:after="140" w:line="300"/>
        <w:jc w:val="both"/>
      </w:pPr>
      <w:r>
        <w:rPr>
          <w:rFonts w:ascii="Cambria" w:cs="Cambria" w:eastAsia="Cambria" w:hAnsi="Cambria"/>
          <w:sz w:val="24"/>
          <w:szCs w:val="24"/>
        </w:rP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spacing w:after="140" w:line="300"/>
        <w:jc w:val="both"/>
      </w:pPr>
      <w:r>
        <w:rPr>
          <w:rFonts w:ascii="Cambria" w:cs="Cambria" w:eastAsia="Cambria" w:hAnsi="Cambria"/>
          <w:sz w:val="24"/>
          <w:szCs w:val="24"/>
        </w:rP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p>
      <w:pPr>
        <w:pStyle w:val="Heading3"/>
        <w:spacing w:after="160" w:before="280"/>
      </w:pPr>
      <w:r>
        <w:t xml:space="preserve">2.3.3  Decentralised Identity and Verifiable Credentials</w:t>
      </w:r>
    </w:p>
    <w:p>
      <w:pPr>
        <w:spacing w:after="140" w:line="300"/>
        <w:jc w:val="both"/>
      </w:pPr>
      <w:r>
        <w:rPr>
          <w:rFonts w:ascii="Cambria" w:cs="Cambria" w:eastAsia="Cambria" w:hAnsi="Cambria"/>
          <w:color w:val="000000"/>
          <w:sz w:val="24"/>
          <w:szCs w:val="24"/>
        </w:rPr>
        <w:t xml:space="preserve">Decentralised Identifiers (DIDs)</w:t>
      </w:r>
      <w:r>
        <w:rPr>
          <w:rFonts w:ascii="Cambria" w:cs="Cambria" w:eastAsia="Cambria" w:hAnsi="Cambria"/>
          <w:sz w:val="24"/>
          <w:szCs w:val="24"/>
        </w:rPr>
        <w:t xml:space="preserve"> 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 [20, 33, 4, 16].</w:t>
      </w:r>
    </w:p>
    <w:p>
      <w:pPr>
        <w:spacing w:after="140" w:line="300"/>
        <w:jc w:val="both"/>
      </w:pPr>
      <w:r>
        <w:rPr>
          <w:rFonts w:ascii="Cambria" w:cs="Cambria" w:eastAsia="Cambria" w:hAnsi="Cambria"/>
          <w:sz w:val="24"/>
          <w:szCs w:val="24"/>
        </w:rP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 established or validated [33, 4]. Other studies have examined privacy-preserving authentication and selective disclosure, allowing participants to prove selected attributes without unnecessarily revealing additional information [27, 5].</w:t>
      </w:r>
    </w:p>
    <w:p>
      <w:pPr>
        <w:spacing w:after="140" w:line="300"/>
        <w:jc w:val="both"/>
      </w:pPr>
      <w:r>
        <w:rPr>
          <w:rFonts w:ascii="Cambria" w:cs="Cambria" w:eastAsia="Cambria" w:hAnsi="Cambria"/>
          <w:sz w:val="24"/>
          <w:szCs w:val="24"/>
        </w:rPr>
        <w:t xml:space="preserve">These mechanisms are particularly relevant to healthcare and other sensitive data-sharing environments because they can reduce dependence on a single identity provider and provide stronger control over the disclosure of participant attributes. However, the literature also reveals an important conceptual distinction between identity and authority.</w:t>
      </w:r>
    </w:p>
    <w:p>
      <w:pPr>
        <w:spacing w:after="140" w:line="300"/>
        <w:jc w:val="both"/>
      </w:pPr>
      <w:r>
        <w:rPr>
          <w:rFonts w:ascii="Cambria" w:cs="Cambria" w:eastAsia="Cambria" w:hAnsi="Cambria"/>
          <w:sz w:val="24"/>
          <w:szCs w:val="24"/>
        </w:rP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spacing w:after="140" w:line="300"/>
        <w:jc w:val="both"/>
      </w:pPr>
      <w:r>
        <w:rPr>
          <w:rFonts w:ascii="Cambria" w:cs="Cambria" w:eastAsia="Cambria" w:hAnsi="Cambria"/>
          <w:sz w:val="24"/>
          <w:szCs w:val="24"/>
        </w:rPr>
        <w:t xml:space="preserve">The proposed research therefore extends the role of DID and VC technologies from identity representation and credential verification towards their use as trusted inputs to a broader authorisation process. Under this approach,</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(1)</w:t>
      </w:r>
    </w:p>
    <w:p>
      <w:pPr>
        <w:spacing w:after="140" w:line="300"/>
        <w:jc w:val="both"/>
      </w:pPr>
      <w:r>
        <w:rPr>
          <w:rFonts w:ascii="Cambria" w:cs="Cambria" w:eastAsia="Cambria" w:hAnsi="Cambria"/>
          <w:sz w:val="24"/>
          <w:szCs w:val="24"/>
        </w:rP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spacing w:after="140" w:line="300"/>
        <w:jc w:val="both"/>
      </w:pPr>
      <w:r>
        <w:rPr>
          <w:rFonts w:ascii="Cambria" w:cs="Cambria" w:eastAsia="Cambria" w:hAnsi="Cambria"/>
          <w:sz w:val="24"/>
          <w:szCs w:val="24"/>
        </w:rPr>
        <w:t xml:space="preserve">The literature provides increasingly sophisticated mechanisms for decentralised identity and credential validation. However, there remains a need to integrate these mechanisms with collective authorisation and policy evaluation so that verified identities and credentials contribute to, rather than replace, a comprehensive trust decision.</w:t>
      </w:r>
    </w:p>
    <w:p>
      <w:pPr>
        <w:spacing w:after="140" w:line="300"/>
        <w:jc w:val="both"/>
      </w:pPr>
      <w:r>
        <w:rPr>
          <w:rFonts w:ascii="Cambria" w:cs="Cambria" w:eastAsia="Cambria" w:hAnsi="Cambria"/>
          <w:b w:val="false"/>
          <w:bCs w:val="false"/>
          <w:sz w:val="24"/>
          <w:szCs w:val="24"/>
        </w:rPr>
        <w:t xml:space="preserve">Recent reviews of blockchain-based identity management further consolidate this stream, surveying identity management, access control and trust mechanisms for connected environments and confirming the maturity of DID- and VC-based designs [15].</w:t>
      </w:r>
    </w:p>
    <w:p>
      <w:pPr>
        <w:pStyle w:val="Heading3"/>
        <w:spacing w:after="160" w:before="280"/>
      </w:pPr>
      <w:r>
        <w:t xml:space="preserve">2.3.4  Multi-Party Authorisation and Collaborative Consent</w:t>
      </w:r>
    </w:p>
    <w:p>
      <w:pPr>
        <w:spacing w:after="140" w:line="300"/>
        <w:jc w:val="both"/>
      </w:pPr>
      <w:r>
        <w:rPr>
          <w:rFonts w:ascii="Cambria" w:cs="Cambria" w:eastAsia="Cambria" w:hAnsi="Cambria"/>
          <w:sz w:val="24"/>
          <w:szCs w:val="24"/>
        </w:rP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 different responsibilities and authority levels [21, 9</w:t>
      </w:r>
      <w:r>
        <w:rPr>
          <w:rFonts w:ascii="Cambria" w:cs="Cambria" w:eastAsia="Cambria" w:hAnsi="Cambria"/>
          <w:color w:val="000000"/>
          <w:sz w:val="24"/>
          <w:szCs w:val="24"/>
        </w:rPr>
        <w:t xml:space="preserve">, 31</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More generally, multi-party data-sharing environments require mechanisms capable of supporting collaborative governance. Research on decentralised data trusts has explored platforms through which multiple parties can participate in data-sharing arrangements and governance processes [19]. Decentralised decision-making has also been investigated in combination with blockchain and large-scale data systems [29]. FutureDID further demonstrates that multi-party verification can be incorporated into decentralised identity processes [4].</w:t>
      </w:r>
    </w:p>
    <w:p>
      <w:pPr>
        <w:spacing w:after="140" w:line="300"/>
        <w:jc w:val="both"/>
      </w:pPr>
      <w:r>
        <w:rPr>
          <w:rFonts w:ascii="Cambria" w:cs="Cambria" w:eastAsia="Cambria" w:hAnsi="Cambria"/>
          <w:sz w:val="24"/>
          <w:szCs w:val="24"/>
        </w:rP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spacing w:after="140" w:line="300"/>
        <w:jc w:val="both"/>
      </w:pPr>
      <w:r>
        <w:rPr>
          <w:rFonts w:ascii="Cambria" w:cs="Cambria" w:eastAsia="Cambria" w:hAnsi="Cambria"/>
          <w:sz w:val="24"/>
          <w:szCs w:val="24"/>
        </w:rP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p>
      <w:pPr>
        <w:spacing w:after="140" w:line="300"/>
        <w:jc w:val="both"/>
      </w:pPr>
      <w:r>
        <w:rPr>
          <w:rFonts w:ascii="Cambria" w:cs="Cambria" w:eastAsia="Cambria" w:hAnsi="Cambria"/>
          <w:b w:val="false"/>
          <w:bCs w:val="false"/>
          <w:sz w:val="24"/>
          <w:szCs w:val="24"/>
        </w:rPr>
        <w:t xml:space="preserve">Beyond healthcare, decentralised trust mechanisms have also been applied to empower independent stakeholders in cross-organisational data sharing, demonstrating that multi-party governance generalises across application domains [6].</w:t>
      </w:r>
    </w:p>
    <w:p>
      <w:pPr>
        <w:spacing w:after="140" w:line="300"/>
        <w:jc w:val="both"/>
      </w:pPr>
      <w:r>
        <w:rPr>
          <w:rFonts w:ascii="Cambria" w:cs="Cambria" w:eastAsia="Cambria" w:hAnsi="Cambria"/>
          <w:color w:val="000000"/>
          <w:sz w:val="24"/>
          <w:szCs w:val="24"/>
        </w:rPr>
        <w:t xml:space="preserve">Where the reviewed systems support multiple approvers, approval is typically implemented as a workflow or signature-collection step [19, 29] rather than represented as a verifiable threshold condition bound to the consent object itself. It is this representational absence, rather than the absence of multi-party mechanisms as such, that the proposed framework addresses.</w:t>
      </w:r>
    </w:p>
    <w:p>
      <w:pPr>
        <w:pStyle w:val="Heading3"/>
        <w:spacing w:after="160" w:before="280"/>
      </w:pPr>
      <w:r>
        <w:t xml:space="preserve">2.3.5  Policy-Based and Context-Aware Access Control</w:t>
      </w:r>
    </w:p>
    <w:p>
      <w:pPr>
        <w:spacing w:after="140" w:line="300"/>
        <w:jc w:val="both"/>
      </w:pPr>
      <w:r>
        <w:rPr>
          <w:rFonts w:ascii="Cambria" w:cs="Cambria" w:eastAsia="Cambria" w:hAnsi="Cambria"/>
          <w:sz w:val="24"/>
          <w:szCs w:val="24"/>
        </w:rP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[32]. Risk-aware and usage-control models have further investigated how access decisions can incorporate dynamic conditions and constraints beyond traditional role-based permissions [11].</w:t>
      </w:r>
    </w:p>
    <w:p>
      <w:pPr>
        <w:spacing w:after="140" w:line="300"/>
        <w:jc w:val="both"/>
      </w:pPr>
      <w:r>
        <w:rPr>
          <w:rFonts w:ascii="Cambria" w:cs="Cambria" w:eastAsia="Cambria" w:hAnsi="Cambria"/>
          <w:sz w:val="24"/>
          <w:szCs w:val="24"/>
        </w:rPr>
        <w:t xml:space="preserve">Recent surveys demonstrate the continuing development of blockchain-based healthcare access control and healthcare IoT security, highlighting the importance of privacy preservation, interoperability, scalability, and dynamic access management [28, 25]. These approaches provide important mechanisms for determining whether an operation should be permitted under a particular set of access-control rules.</w:t>
      </w:r>
    </w:p>
    <w:p>
      <w:pPr>
        <w:spacing w:after="140" w:line="300"/>
        <w:jc w:val="both"/>
      </w:pPr>
      <w:r>
        <w:rPr>
          <w:rFonts w:ascii="Cambria" w:cs="Cambria" w:eastAsia="Cambria" w:hAnsi="Cambria"/>
          <w:sz w:val="24"/>
          <w:szCs w:val="24"/>
        </w:rPr>
        <w:t xml:space="preserve">However, access control becomes more complex when policies must be connected directly to a decentralised consent process. A requester may possess a valid identity, valid credentials, and even the required multi-party approval while still requesting information outside the scope authorised by the patient. Therefore, the validity of the requester and the validity of the requested operation must be evaluated separately.</w:t>
      </w:r>
    </w:p>
    <w:p>
      <w:pPr>
        <w:spacing w:after="140" w:line="300"/>
        <w:jc w:val="both"/>
      </w:pPr>
      <w:r>
        <w:rPr>
          <w:rFonts w:ascii="Cambria" w:cs="Cambria" w:eastAsia="Cambria" w:hAnsi="Cambria"/>
          <w:sz w:val="24"/>
          <w:szCs w:val="24"/>
        </w:rPr>
        <w:t xml:space="preserve">The proposed framework consequently treats policy compliance as an explicit authorisation condition. Let C represent the consent object and R represent a requested operation. Policy validity can be represented conceptually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(2)</w:t>
      </w:r>
    </w:p>
    <w:p>
      <w:pPr>
        <w:spacing w:after="140" w:line="300"/>
        <w:jc w:val="both"/>
      </w:pPr>
      <w:r>
        <w:rPr>
          <w:rFonts w:ascii="Cambria" w:cs="Cambria" w:eastAsia="Cambria" w:hAnsi="Cambria"/>
          <w:sz w:val="24"/>
          <w:szCs w:val="24"/>
        </w:rPr>
        <w:t xml:space="preserve">For example, if a consent authorises access to observations and medications,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(3)</w:t>
      </w:r>
    </w:p>
    <w:p>
      <w:pPr>
        <w:spacing w:after="140" w:line="300"/>
        <w:jc w:val="both"/>
      </w:pPr>
      <w:r>
        <w:rPr>
          <w:rFonts w:ascii="Cambria" w:cs="Cambria" w:eastAsia="Cambria" w:hAnsi="Cambria"/>
          <w:sz w:val="24"/>
          <w:szCs w:val="24"/>
        </w:rPr>
        <w:t xml:space="preserve">then a request for observations, medications, and procedures,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w:t>
      </w:r>
    </w:p>
    <w:p>
      <w:pPr>
        <w:spacing w:after="140" w:line="300"/>
        <w:jc w:val="both"/>
      </w:pPr>
      <w:r>
        <w:rPr>
          <w:rFonts w:ascii="Cambria" w:cs="Cambria" w:eastAsia="Cambria" w:hAnsi="Cambria"/>
          <w:sz w:val="24"/>
          <w:szCs w:val="24"/>
        </w:rPr>
        <w:t xml:space="preserve">should be rejected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w:t>
      </w:r>
    </w:p>
    <w:p>
      <w:pPr>
        <w:spacing w:after="140" w:line="300"/>
        <w:jc w:val="both"/>
      </w:pPr>
      <w:r>
        <w:rPr>
          <w:rFonts w:ascii="Cambria" w:cs="Cambria" w:eastAsia="Cambria" w:hAnsi="Cambria"/>
          <w:sz w:val="24"/>
          <w:szCs w:val="24"/>
        </w:rP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p>
      <w:pPr>
        <w:spacing w:after="140" w:line="300"/>
        <w:jc w:val="both"/>
      </w:pPr>
      <w:r>
        <w:rPr>
          <w:rFonts w:ascii="Cambria" w:cs="Cambria" w:eastAsia="Cambria" w:hAnsi="Cambria"/>
          <w:color w:val="000000"/>
          <w:sz w:val="24"/>
          <w:szCs w:val="24"/>
        </w:rPr>
        <w:t xml:space="preserve">Across the reviewed access-control approaches [32, 11, 28, 25], policy evaluation is bound primarily to the requester's roles, attributes, or risk context rather than to the purpose and data scope authorised by the patient's consent. It is this missing relationship between the evaluated policy and the consent object itself that the proposed framework formalises.</w:t>
      </w:r>
    </w:p>
    <w:p>
      <w:pPr>
        <w:pStyle w:val="Heading3"/>
        <w:spacing w:after="160" w:before="280"/>
      </w:pPr>
      <w:r>
        <w:t xml:space="preserve">2.3.6  Trusted Computing, Secure Execution, and Security Assurance</w:t>
      </w:r>
    </w:p>
    <w:p>
      <w:pPr>
        <w:spacing w:after="140" w:line="300"/>
        <w:jc w:val="both"/>
      </w:pPr>
      <w:r>
        <w:rPr>
          <w:rFonts w:ascii="Cambria" w:cs="Cambria" w:eastAsia="Cambria" w:hAnsi="Cambria"/>
          <w:sz w:val="24"/>
          <w:szCs w:val="24"/>
        </w:rPr>
        <w:t xml:space="preserve">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[23]. Remote attestation mechanisms can further provide evidence concerning the integrity of the execution environment in which a security-sensitive process is performed</w:t>
      </w:r>
      <w:r>
        <w:rPr>
          <w:rFonts w:ascii="Cambria" w:cs="Cambria" w:eastAsia="Cambria" w:hAnsi="Cambria"/>
          <w:color w:val="000000"/>
          <w:sz w:val="24"/>
          <w:szCs w:val="24"/>
        </w:rPr>
        <w:t xml:space="preserve"> [23]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Recent research has explored the integration of trusted execution and distributed trust mechanisms in different application domains. Trust-aware sensing and consensus mechanisms have demonstrated how TEE-supported sensing can contribute to resilient decision-making in conjunction with blockchain coordination [17]. These studies illustrate the potential of Trusted Computing to provide an additional assurance layer beyond conventional software-based access-control mechanisms.</w:t>
      </w:r>
    </w:p>
    <w:p>
      <w:pPr>
        <w:spacing w:after="140" w:line="300"/>
        <w:jc w:val="both"/>
      </w:pPr>
      <w:r>
        <w:rPr>
          <w:rFonts w:ascii="Cambria" w:cs="Cambria" w:eastAsia="Cambria" w:hAnsi="Cambria"/>
          <w:sz w:val="24"/>
          <w:szCs w:val="24"/>
        </w:rP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spacing w:after="140" w:line="300"/>
        <w:jc w:val="both"/>
      </w:pPr>
      <w:r>
        <w:rPr>
          <w:rFonts w:ascii="Cambria" w:cs="Cambria" w:eastAsia="Cambria" w:hAnsi="Cambria"/>
          <w:sz w:val="24"/>
          <w:szCs w:val="24"/>
        </w:rPr>
        <w:t xml:space="preserve">The reviewed literature therefore suggests an important opportunity for integration. A trust-oriented authorisation framework can define the conditions under which access should be permitted, while Trusted Computing mechanisms can provide stronger assurance that the relevant security-sensitive evaluation is performed within an integrity-protected environment.</w:t>
      </w:r>
    </w:p>
    <w:p>
      <w:pPr>
        <w:spacing w:after="140" w:line="300"/>
        <w:jc w:val="both"/>
      </w:pPr>
      <w:r>
        <w:rPr>
          <w:rFonts w:ascii="Cambria" w:cs="Cambria" w:eastAsia="Cambria" w:hAnsi="Cambria"/>
          <w:color w:val="000000"/>
          <w:sz w:val="24"/>
          <w:szCs w:val="24"/>
        </w:rPr>
        <w:t xml:space="preserve">This research establishes the conceptual foundation for such integration and, moreover, demonstrates it through an implemented and empirically evaluated prototype. Future work can therefore investigate how trusted execution and remote attestation can strengthen the enforcement and verification of decentralised consent decisions.</w:t>
      </w:r>
    </w:p>
    <w:p>
      <w:pPr>
        <w:spacing w:after="140" w:line="300"/>
        <w:jc w:val="both"/>
      </w:pPr>
      <w:r>
        <w:rPr>
          <w:rFonts w:ascii="Cambria" w:cs="Cambria" w:eastAsia="Cambria" w:hAnsi="Cambria"/>
          <w:sz w:val="24"/>
          <w:szCs w:val="24"/>
        </w:rP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w:t>
      </w:r>
    </w:p>
    <w:p>
      <w:pPr>
        <w:spacing w:after="140" w:line="300"/>
        <w:jc w:val="both"/>
      </w:pPr>
      <w:r>
        <w:rPr>
          <w:rFonts w:ascii="Cambria" w:cs="Cambria" w:eastAsia="Cambria" w:hAnsi="Cambria"/>
          <w:color w:val="000000"/>
          <w:sz w:val="24"/>
          <w:szCs w:val="24"/>
        </w:rPr>
        <w:t xml:space="preserve">The present prototype addresses this concern empirically through adversarial and negative testing across each verification dimension. Nevertheless, formal analysis remains necessary in order to demonstrate that these properties hold under defined assumptions.</w:t>
      </w:r>
    </w:p>
    <w:p>
      <w:pPr>
        <w:spacing w:after="140" w:line="300"/>
        <w:jc w:val="both"/>
      </w:pPr>
      <w:r>
        <w:rPr>
          <w:rFonts w:ascii="Cambria" w:cs="Cambria" w:eastAsia="Cambria" w:hAnsi="Cambria"/>
          <w:b w:val="false"/>
          <w:bCs w:val="false"/>
          <w:sz w:val="24"/>
          <w:szCs w:val="24"/>
        </w:rPr>
        <w:t xml:space="preserve">Complementary work in this stream applies entropy-based measurement to quantify blockchain immutability and tamper-resilient trust, providing an analytical basis for treating the ledger itself as part of the trusted computing base [18].</w:t>
      </w:r>
    </w:p>
    <w:p>
      <w:pPr>
        <w:spacing w:after="140" w:line="300"/>
        <w:jc w:val="both"/>
      </w:pPr>
      <w:r>
        <w:rPr>
          <w:rFonts w:ascii="Cambria" w:cs="Cambria" w:eastAsia="Cambria" w:hAnsi="Cambria"/>
          <w:color w:val="000000"/>
          <w:sz w:val="24"/>
          <w:szCs w:val="24"/>
        </w:rPr>
        <w:t xml:space="preserve">Formal security analysis nevertheless remains rare across the reviewed corpus: security arguments are predominantly architectural or empirical, and only a minority of studies accompany their designs with formal reasoning about the stated security properties [17, 18]. This observation grounds review question 7 and motivates the formal-assurance direction of the research. While Trusted Computing mechanisms could further harden the execution of the proposed authorisation evaluation, hardware-supported execution is treated as an orthogonal assurance layer and lies outside the scope of the present research questions.</w:t>
      </w:r>
    </w:p>
    <w:p>
      <w:pPr>
        <w:pStyle w:val="Heading3"/>
        <w:spacing w:after="160" w:before="280"/>
      </w:pPr>
      <w:r>
        <w:t xml:space="preserve">2.3.7  Comparative Analysis of Existing Approaches</w:t>
      </w:r>
    </w:p>
    <w:p>
      <w:pPr>
        <w:spacing w:after="140" w:line="300"/>
        <w:jc w:val="both"/>
      </w:pPr>
      <w:r>
        <w:rPr>
          <w:rFonts w:ascii="Cambria" w:cs="Cambria" w:eastAsia="Cambria" w:hAnsi="Cambria"/>
          <w:sz w:val="24"/>
          <w:szCs w:val="24"/>
        </w:rPr>
        <w:t xml:space="preserve">The reviewed literature demonstrates that existing approaches provide strong solutions for individual dimensions of trustworthy data sharing. Blockchain-based systems provide tamper-resistant recording and auditability</w:t>
      </w:r>
      <w:r>
        <w:rPr>
          <w:rFonts w:ascii="Cambria" w:cs="Cambria" w:eastAsia="Cambria" w:hAnsi="Cambria"/>
          <w:color w:val="000000"/>
          <w:sz w:val="24"/>
          <w:szCs w:val="24"/>
        </w:rPr>
        <w:t xml:space="preserve"> [2, 7, 28]</w:t>
      </w:r>
      <w:r>
        <w:rPr>
          <w:rFonts w:ascii="Cambria" w:cs="Cambria" w:eastAsia="Cambria" w:hAnsi="Cambria"/>
          <w:sz w:val="24"/>
          <w:szCs w:val="24"/>
        </w:rPr>
        <w:t xml:space="preserve">; DID and VC mechanisms provide decentralised identity and verifiable attributes</w:t>
      </w:r>
      <w:r>
        <w:rPr>
          <w:rFonts w:ascii="Cambria" w:cs="Cambria" w:eastAsia="Cambria" w:hAnsi="Cambria"/>
          <w:color w:val="000000"/>
          <w:sz w:val="24"/>
          <w:szCs w:val="24"/>
        </w:rPr>
        <w:t xml:space="preserve"> [20, 4, 5]</w:t>
      </w:r>
      <w:r>
        <w:rPr>
          <w:rFonts w:ascii="Cambria" w:cs="Cambria" w:eastAsia="Cambria" w:hAnsi="Cambria"/>
          <w:sz w:val="24"/>
          <w:szCs w:val="24"/>
        </w:rPr>
        <w:t xml:space="preserve">; policy-based and cryptographic access-control mechanisms provide fine-grained data protection</w:t>
      </w:r>
      <w:r>
        <w:rPr>
          <w:rFonts w:ascii="Cambria" w:cs="Cambria" w:eastAsia="Cambria" w:hAnsi="Cambria"/>
          <w:color w:val="000000"/>
          <w:sz w:val="24"/>
          <w:szCs w:val="24"/>
        </w:rPr>
        <w:t xml:space="preserve"> [32, 11, 25]</w:t>
      </w:r>
      <w:r>
        <w:rPr>
          <w:rFonts w:ascii="Cambria" w:cs="Cambria" w:eastAsia="Cambria" w:hAnsi="Cambria"/>
          <w:sz w:val="24"/>
          <w:szCs w:val="24"/>
        </w:rPr>
        <w:t xml:space="preserve">; collaborative governance mechanisms support distributed participation</w:t>
      </w:r>
      <w:r>
        <w:rPr>
          <w:rFonts w:ascii="Cambria" w:cs="Cambria" w:eastAsia="Cambria" w:hAnsi="Cambria"/>
          <w:color w:val="000000"/>
          <w:sz w:val="24"/>
          <w:szCs w:val="24"/>
        </w:rPr>
        <w:t xml:space="preserve"> [19, 29, 6]</w:t>
      </w:r>
      <w:r>
        <w:rPr>
          <w:rFonts w:ascii="Cambria" w:cs="Cambria" w:eastAsia="Cambria" w:hAnsi="Cambria"/>
          <w:sz w:val="24"/>
          <w:szCs w:val="24"/>
        </w:rPr>
        <w:t xml:space="preserve">; and Trusted Computing provides secure execution and attestation capabilities</w:t>
      </w:r>
      <w:r>
        <w:rPr>
          <w:rFonts w:ascii="Cambria" w:cs="Cambria" w:eastAsia="Cambria" w:hAnsi="Cambria"/>
          <w:color w:val="000000"/>
          <w:sz w:val="24"/>
          <w:szCs w:val="24"/>
        </w:rPr>
        <w:t xml:space="preserve"> [23, 17]</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spacing w:after="140" w:line="300"/>
        <w:jc w:val="both"/>
      </w:pPr>
      <w:r>
        <w:rPr>
          <w:rFonts w:ascii="Cambria" w:cs="Cambria" w:eastAsia="Cambria" w:hAnsi="Cambria"/>
          <w:sz w:val="24"/>
          <w:szCs w:val="24"/>
        </w:rPr>
        <w:t xml:space="preserve">Table 2 summarises the principal focus and limitations of the major research streams and positions the proposed framework relative to the existing literature.</w:t>
      </w:r>
    </w:p>
    <w:p>
      <w:pPr>
        <w:keepNext/>
        <w:spacing w:after="80" w:before="160"/>
        <w:jc w:val="center"/>
      </w:pPr>
      <w:r>
        <w:rPr>
          <w:rFonts w:ascii="Cambria" w:cs="Cambria" w:eastAsia="Cambria" w:hAnsi="Cambria"/>
          <w:b/>
          <w:bCs/>
          <w:sz w:val="21"/>
          <w:szCs w:val="21"/>
        </w:rPr>
        <w:t xml:space="preserve">Table 2: </w:t>
      </w:r>
      <w:r>
        <w:rPr>
          <w:rFonts w:ascii="Cambria" w:cs="Cambria" w:eastAsia="Cambria" w:hAnsi="Cambria"/>
          <w:sz w:val="21"/>
          <w:szCs w:val="21"/>
        </w:rPr>
        <w:t xml:space="preserve">Comparison of Existing Research Approaches and the Proposed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Stream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Contribution</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Main Limitation for Authorisation</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Representative References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Healthcare consent and privacy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Patient autonomy, informed consent, and controlled data sharing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Consent is treated as permission rather than an evaluable authorisation object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[31, 22, 14, 24, 12, 13, 10]</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Blockchain-based data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Tamper-resistant records, distributed auditability, and transparency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Immutable records do not establish participant legitimacy, authority, or policy compliance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[1, 2, 7, 3, 30, 26, 8, 29]</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Decentralised identity and verifiable credentials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Self-controlled identity, verifiable attributes, and authentication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 and credential validity do not independently determine if access is authorised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[20, 33, 4, 16, 27, 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and decentralised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Collaborative participation and distributed verification or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Limited integration between collective approval thresholds, consent, and access decisions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[19, 4, 21, 9]</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Policy-based and healthcare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Fine-grained restriction based on attributes, risk, context, and constraints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enforcement is separated from decentralised identity and multi-party consent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[32, 11, 28, 25]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Trusted Computing and secure execution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Hardware-supported isolation, execution integrity, and attestation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Secure execution does not determine whether underlying authorisation conditions are sufficient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[23, 17, 18]</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Proposed Framework</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evaluation of consent, identity, authority, multi-party approval, and policy compliance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Lifecycle trust and empirical validation realised in the implemented prototype; formal security assurance requires further extension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This research</w:t>
            </w:r>
          </w:p>
        </w:tc>
      </w:tr>
    </w:tbl>
    <w:p>
      <w:pPr>
        <w:spacing w:after="180"/>
      </w:pPr>
    </w:p>
    <w:p>
      <w:pPr>
        <w:spacing w:after="140" w:line="300"/>
        <w:jc w:val="both"/>
      </w:pPr>
      <w:r>
        <w:rPr>
          <w:rFonts w:ascii="Cambria" w:cs="Cambria" w:eastAsia="Cambria" w:hAnsi="Cambria"/>
          <w:sz w:val="24"/>
          <w:szCs w:val="24"/>
        </w:rP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p>
      <w:pPr>
        <w:pStyle w:val="Heading2"/>
        <w:spacing w:after="160" w:before="280"/>
      </w:pPr>
      <w:r>
        <w:t xml:space="preserve">2.4  Synthesis and Research Gap</w:t>
      </w:r>
    </w:p>
    <w:p>
      <w:pPr>
        <w:spacing w:after="140" w:line="300"/>
        <w:jc w:val="both"/>
      </w:pPr>
      <w:r>
        <w:rPr>
          <w:rFonts w:ascii="Cambria" w:cs="Cambria" w:eastAsia="Cambria" w:hAnsi="Cambria"/>
          <w:sz w:val="24"/>
          <w:szCs w:val="24"/>
        </w:rPr>
        <w:t xml:space="preserve">The literature review identifies a consistent pattern of fragmentation across existing research. Blockchain-based approaches primarily address the integrity and traceability of recorded events</w:t>
      </w:r>
      <w:r>
        <w:rPr>
          <w:rFonts w:ascii="Cambria" w:cs="Cambria" w:eastAsia="Cambria" w:hAnsi="Cambria"/>
          <w:color w:val="000000"/>
          <w:sz w:val="24"/>
          <w:szCs w:val="24"/>
        </w:rPr>
        <w:t xml:space="preserve"> [2, 7, 28]</w:t>
      </w:r>
      <w:r>
        <w:rPr>
          <w:rFonts w:ascii="Cambria" w:cs="Cambria" w:eastAsia="Cambria" w:hAnsi="Cambria"/>
          <w:sz w:val="24"/>
          <w:szCs w:val="24"/>
        </w:rPr>
        <w:t xml:space="preserve">. Decentralised identity and verifiable credential systems address the identification and attribute verification of participating entities</w:t>
      </w:r>
      <w:r>
        <w:rPr>
          <w:rFonts w:ascii="Cambria" w:cs="Cambria" w:eastAsia="Cambria" w:hAnsi="Cambria"/>
          <w:color w:val="000000"/>
          <w:sz w:val="24"/>
          <w:szCs w:val="24"/>
        </w:rPr>
        <w:t xml:space="preserve"> [20, 33, 4]</w:t>
      </w:r>
      <w:r>
        <w:rPr>
          <w:rFonts w:ascii="Cambria" w:cs="Cambria" w:eastAsia="Cambria" w:hAnsi="Cambria"/>
          <w:sz w:val="24"/>
          <w:szCs w:val="24"/>
        </w:rPr>
        <w:t xml:space="preserve">. Multi-party governance mechanisms address distributed participation and collective decision-making</w:t>
      </w:r>
      <w:r>
        <w:rPr>
          <w:rFonts w:ascii="Cambria" w:cs="Cambria" w:eastAsia="Cambria" w:hAnsi="Cambria"/>
          <w:color w:val="000000"/>
          <w:sz w:val="24"/>
          <w:szCs w:val="24"/>
        </w:rPr>
        <w:t xml:space="preserve"> [19, 29]</w:t>
      </w:r>
      <w:r>
        <w:rPr>
          <w:rFonts w:ascii="Cambria" w:cs="Cambria" w:eastAsia="Cambria" w:hAnsi="Cambria"/>
          <w:sz w:val="24"/>
          <w:szCs w:val="24"/>
        </w:rPr>
        <w:t xml:space="preserve">. Policy-based access-control approaches determine whether requested operations comply with predefined constraints</w:t>
      </w:r>
      <w:r>
        <w:rPr>
          <w:rFonts w:ascii="Cambria" w:cs="Cambria" w:eastAsia="Cambria" w:hAnsi="Cambria"/>
          <w:color w:val="000000"/>
          <w:sz w:val="24"/>
          <w:szCs w:val="24"/>
        </w:rPr>
        <w:t xml:space="preserve"> [32, 11, 25]</w:t>
      </w:r>
      <w:r>
        <w:rPr>
          <w:rFonts w:ascii="Cambria" w:cs="Cambria" w:eastAsia="Cambria" w:hAnsi="Cambria"/>
          <w:sz w:val="24"/>
          <w:szCs w:val="24"/>
        </w:rPr>
        <w:t xml:space="preserve">. Trusted Computing technologies protect the execution of security-sensitive computation</w:t>
      </w:r>
      <w:r>
        <w:rPr>
          <w:rFonts w:ascii="Cambria" w:cs="Cambria" w:eastAsia="Cambria" w:hAnsi="Cambria"/>
          <w:color w:val="000000"/>
          <w:sz w:val="24"/>
          <w:szCs w:val="24"/>
        </w:rPr>
        <w:t xml:space="preserve"> [23, 17]</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spacing w:after="140" w:line="300"/>
        <w:jc w:val="both"/>
      </w:pPr>
      <w:r>
        <w:rPr>
          <w:rFonts w:ascii="Cambria" w:cs="Cambria" w:eastAsia="Cambria" w:hAnsi="Cambria"/>
          <w:sz w:val="24"/>
          <w:szCs w:val="24"/>
        </w:rPr>
        <w:t xml:space="preserve">The central research gap therefore concerns the absence of a sufficiently integrated </w:t>
      </w:r>
      <w:r>
        <w:rPr>
          <w:rFonts w:ascii="Cambria" w:cs="Cambria" w:eastAsia="Cambria" w:hAnsi="Cambria"/>
          <w:color w:val="000000"/>
          <w:sz w:val="24"/>
          <w:szCs w:val="24"/>
        </w:rPr>
        <w:t xml:space="preserve">trust-oriented authorisation</w:t>
      </w:r>
      <w:r>
        <w:rPr>
          <w:rFonts w:ascii="Cambria" w:cs="Cambria" w:eastAsia="Cambria" w:hAnsi="Cambria"/>
          <w:sz w:val="24"/>
          <w:szCs w:val="24"/>
        </w:rPr>
        <w:t xml:space="preserve">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spacing w:after="140" w:line="300"/>
        <w:jc w:val="both"/>
      </w:pPr>
      <w:r>
        <w:rPr>
          <w:rFonts w:ascii="Cambria" w:cs="Cambria" w:eastAsia="Cambria" w:hAnsi="Cambria"/>
          <w:color w:val="000000"/>
          <w:sz w:val="24"/>
          <w:szCs w:val="24"/>
        </w:rPr>
        <w:t xml:space="preserve">The reviewed literature also identifies persistent challenges of privacy preservation, scalability, and interoperability in blockchain-based healthcare systems [2, 7, 3, 28]; while these concerns inform the design constraints of the proposed framework, they are treated as engineering constraints rather than as the conceptual gap pursued by this research.</w:t>
      </w:r>
    </w:p>
    <w:p>
      <w:pPr>
        <w:spacing w:after="140" w:line="300"/>
        <w:jc w:val="both"/>
      </w:pPr>
      <w:r>
        <w:rPr>
          <w:rFonts w:ascii="Cambria" w:cs="Cambria" w:eastAsia="Cambria" w:hAnsi="Cambria"/>
          <w:color w:val="000000"/>
          <w:sz w:val="24"/>
          <w:szCs w:val="24"/>
        </w:rPr>
        <w:t xml:space="preserve">In the same way, the consent-lifecycle limitation identified in Section 2.3.1 and the scarcity of formal security analysis identified in Section 2.3.6 define the temporal-lifecycle and formal-assurance dimensions that the next stage of this research addresses.</w:t>
      </w:r>
    </w:p>
    <w:p>
      <w:pPr>
        <w:spacing w:after="140" w:line="300"/>
        <w:jc w:val="both"/>
      </w:pPr>
      <w:r>
        <w:rPr>
          <w:rFonts w:ascii="Cambria" w:cs="Cambria" w:eastAsia="Cambria" w:hAnsi="Cambria"/>
          <w:sz w:val="24"/>
          <w:szCs w:val="24"/>
        </w:rP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spacing w:after="140" w:line="300"/>
        <w:jc w:val="both"/>
      </w:pPr>
      <w:r>
        <w:rPr>
          <w:rFonts w:ascii="Cambria" w:cs="Cambria" w:eastAsia="Cambria" w:hAnsi="Cambria"/>
          <w:sz w:val="24"/>
          <w:szCs w:val="24"/>
        </w:rPr>
        <w:t xml:space="preserve">The foundational authorisation decision investigated in the current stage of the research can therefore be represented as</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represents the validity of the identity and relevant authority evidence associated with participant u,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(C) represents the satisfaction of the required multi-party authorisation condition for consent C, and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(C, R) represents compliance between the consent and the requested operation R.</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p>
    <w:p>
      <w:pPr>
        <w:spacing w:after="140" w:line="300"/>
        <w:jc w:val="both"/>
      </w:pPr>
      <w:r>
        <w:rPr>
          <w:rFonts w:ascii="Cambria" w:cs="Cambria" w:eastAsia="Cambria" w:hAnsi="Cambria"/>
          <w:color w:val="000000"/>
          <w:sz w:val="24"/>
          <w:szCs w:val="24"/>
        </w:rPr>
        <w:t xml:space="preserve">This is the rule enforced by the implemented Consent Engine: every access request is evaluated over the complete tuple, where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(C, t) additionally represents the temporal validity of the request instant and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the jurisdictional constraint; the temporal and jurisdictional predicates are already operational rather than deferred to subsequent research.</w:t>
      </w:r>
    </w:p>
    <w:p>
      <w:pPr>
        <w:spacing w:after="140" w:line="300"/>
        <w:jc w:val="both"/>
      </w:pPr>
      <w:r>
        <w:rPr>
          <w:rFonts w:ascii="Cambria" w:cs="Cambria" w:eastAsia="Cambria" w:hAnsi="Cambria"/>
          <w:sz w:val="24"/>
          <w:szCs w:val="24"/>
        </w:rP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spacing w:after="140" w:line="300"/>
        <w:jc w:val="both"/>
      </w:pPr>
      <w:r>
        <w:rPr>
          <w:rFonts w:ascii="Cambria" w:cs="Cambria" w:eastAsia="Cambria" w:hAnsi="Cambria"/>
          <w:sz w:val="24"/>
          <w:szCs w:val="24"/>
        </w:rPr>
        <w:t xml:space="preserve">The current research therefore concentrates on establishing the foundational relationship between trust-centric consent modelling, decentralised identity and authority verification, multi-party authorisation, and policy-aware access control.</w:t>
      </w:r>
    </w:p>
    <w:p>
      <w:pPr>
        <w:spacing w:after="140" w:line="300"/>
        <w:jc w:val="both"/>
      </w:pPr>
      <w:r>
        <w:rPr>
          <w:rFonts w:ascii="Cambria" w:cs="Cambria" w:eastAsia="Cambria" w:hAnsi="Cambria"/>
          <w:sz w:val="24"/>
          <w:szCs w:val="24"/>
        </w:rPr>
        <w:t xml:space="preserve">Accordingly, the literature suggests that the principal research opportunity is not the development of another isolated blockchain consent mechanism or identity-management system. Instead, the opportunity lies in constructing a coherent </w:t>
      </w:r>
      <w:r>
        <w:rPr>
          <w:rFonts w:ascii="Cambria" w:cs="Cambria" w:eastAsia="Cambria" w:hAnsi="Cambria"/>
          <w:color w:val="000000"/>
          <w:sz w:val="24"/>
          <w:szCs w:val="24"/>
        </w:rPr>
        <w:t xml:space="preserve">trust-oriented authorisation</w:t>
      </w:r>
      <w:r>
        <w:rPr>
          <w:rFonts w:ascii="Cambria" w:cs="Cambria" w:eastAsia="Cambria" w:hAnsi="Cambria"/>
          <w:sz w:val="24"/>
          <w:szCs w:val="24"/>
        </w:rPr>
        <w:t xml:space="preserve">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p>
      <w:pPr>
        <w:keepNext/>
        <w:spacing w:after="60" w:before="140"/>
        <w:jc w:val="center"/>
      </w:pPr>
      <w:r>
        <w:drawing>
          <wp:inline distT="0" distB="0" distL="0" distR="0">
            <wp:extent cx="5715000" cy="2676525"/>
            <wp:effectExtent t="0" r="0" b="0" l="0"/>
            <wp:docPr id="1" name="gfig2c.png" descr="Figure 5: Synthesis of the review: the five research streams provide strong but fragmented mechanisms; their lack of integration constitutes the research gap, which the proposed framework addresses by treating consent as an evaluable authorisation object." title="Figure 5: Synthesis of the review: the five research streams provide strong but fragmented mechanisms; their lack of integration constitutes the research gap, which the proposed framework addresses by treating consent as an evaluable authorisation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76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5: Synthesis of the review: the five research streams provide strong but fragmented mechanisms; their lack of integration constitutes the research gap, which the proposed framework addresses by treating consent as an evaluable authorisation object.</w:t>
      </w:r>
    </w:p>
    <w:p>
      <w:pPr>
        <w:pStyle w:val="Heading1"/>
        <w:pageBreakBefore/>
        <w:spacing w:after="160" w:before="400"/>
      </w:pPr>
      <w:r>
        <w:t xml:space="preserve">3  Research Gaps and Questions</w:t>
      </w:r>
    </w:p>
    <w:p>
      <w:pPr>
        <w:pStyle w:val="Heading2"/>
        <w:spacing w:after="160" w:before="280"/>
      </w:pPr>
      <w:r>
        <w:t xml:space="preserve">3.1  Research Gap</w:t>
      </w:r>
    </w:p>
    <w:p>
      <w:pPr>
        <w:spacing w:after="140" w:line="300"/>
        <w:jc w:val="both"/>
      </w:pPr>
      <w:r>
        <w:rPr>
          <w:rFonts w:ascii="Cambria" w:cs="Cambria" w:eastAsia="Cambria" w:hAnsi="Cambria"/>
          <w:sz w:val="24"/>
          <w:szCs w:val="24"/>
        </w:rPr>
        <w:t xml:space="preserve">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spacing w:after="140" w:line="300"/>
        <w:jc w:val="both"/>
      </w:pPr>
      <w:r>
        <w:rPr>
          <w:rFonts w:ascii="Cambria" w:cs="Cambria" w:eastAsia="Cambria" w:hAnsi="Cambria"/>
          <w:sz w:val="24"/>
          <w:szCs w:val="24"/>
        </w:rP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spacing w:after="140" w:line="300"/>
        <w:jc w:val="both"/>
      </w:pPr>
      <w:r>
        <w:rPr>
          <w:rFonts w:ascii="Cambria" w:cs="Cambria" w:eastAsia="Cambria" w:hAnsi="Cambria"/>
          <w:sz w:val="24"/>
          <w:szCs w:val="24"/>
        </w:rPr>
        <w:t xml:space="preserve">This distinction is important because recording consent and enforcing trustworthy authorisation 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spacing w:after="140" w:line="300"/>
        <w:jc w:val="both"/>
      </w:pPr>
      <w:r>
        <w:rPr>
          <w:rFonts w:ascii="Cambria" w:cs="Cambria" w:eastAsia="Cambria" w:hAnsi="Cambria"/>
          <w:sz w:val="24"/>
          <w:szCs w:val="24"/>
        </w:rP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spacing w:after="140" w:line="300"/>
        <w:jc w:val="both"/>
      </w:pPr>
      <w:r>
        <w:rPr>
          <w:rFonts w:ascii="Cambria" w:cs="Cambria" w:eastAsia="Cambria" w:hAnsi="Cambria"/>
          <w:sz w:val="24"/>
          <w:szCs w:val="24"/>
        </w:rPr>
        <w:t xml:space="preserve">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spacing w:after="140" w:line="300"/>
        <w:jc w:val="both"/>
      </w:pPr>
      <w:r>
        <w:rPr>
          <w:rFonts w:ascii="Cambria" w:cs="Cambria" w:eastAsia="Cambria" w:hAnsi="Cambria"/>
          <w:sz w:val="24"/>
          <w:szCs w:val="24"/>
        </w:rPr>
        <w:t xml:space="preserve">The identified gap can therefore be stated as follows: existing healthcare consent and access-control research provides many of the necessary technological building blocks, but there remains a need for an integrated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spacing w:after="140" w:line="300"/>
        <w:jc w:val="both"/>
      </w:pPr>
      <w:r>
        <w:rPr>
          <w:rFonts w:ascii="Cambria" w:cs="Cambria" w:eastAsia="Cambria" w:hAnsi="Cambria"/>
          <w:sz w:val="24"/>
          <w:szCs w:val="24"/>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pPr>
        <w:pStyle w:val="Heading2"/>
        <w:spacing w:after="160" w:before="280"/>
      </w:pPr>
      <w:r>
        <w:t xml:space="preserve">3.2  Main Research Question</w:t>
      </w:r>
    </w:p>
    <w:p>
      <w:pPr>
        <w:spacing w:after="140" w:line="300"/>
        <w:jc w:val="both"/>
      </w:pPr>
      <w:r>
        <w:rPr>
          <w:rFonts w:ascii="Cambria" w:cs="Cambria" w:eastAsia="Cambria" w:hAnsi="Cambria"/>
          <w:color w:val="000000"/>
          <w:sz w:val="24"/>
          <w:szCs w:val="24"/>
        </w:rPr>
        <w:t xml:space="preserve">Temporal and lifecycle trust has been operationalised in the current prototype, and empirical validation has been partially completed through automated and live negative testing. Consequently, formal security assurance forms the subsequent research scope and will be developed further in CA3.</w:t>
      </w:r>
    </w:p>
    <w:p>
      <w:pPr>
        <w:spacing w:after="140" w:line="300"/>
        <w:jc w:val="both"/>
      </w:pPr>
      <w:r>
        <w:rPr>
          <w:rFonts w:ascii="Cambria" w:cs="Cambria" w:eastAsia="Cambria" w:hAnsi="Cambria"/>
          <w:sz w:val="24"/>
          <w:szCs w:val="24"/>
        </w:rPr>
        <w:t xml:space="preserve">Based on the identified research gap, the overarching research question is formulated as follows:</w:t>
      </w:r>
    </w:p>
    <w:p>
      <w:pPr>
        <w:spacing w:after="140" w:line="300"/>
        <w:ind w:left="720" w:right="720"/>
        <w:jc w:val="both"/>
      </w:pPr>
      <w:r>
        <w:rPr>
          <w:rFonts w:ascii="Cambria" w:cs="Cambria" w:eastAsia="Cambria" w:hAnsi="Cambria"/>
          <w:i/>
          <w:iCs/>
          <w:sz w:val="24"/>
          <w:szCs w:val="24"/>
        </w:rPr>
        <w:t xml:space="preserve">How can a trust-oriented computing framework establish and enforce trustworthy multi-party consent for decentralised healthcare data sharing under identity, authority, and policy constraints?</w:t>
      </w:r>
    </w:p>
    <w:p>
      <w:pPr>
        <w:spacing w:after="140" w:line="300"/>
        <w:jc w:val="both"/>
      </w:pPr>
      <w:r>
        <w:rPr>
          <w:rFonts w:ascii="Cambria" w:cs="Cambria" w:eastAsia="Cambria" w:hAnsi="Cambria"/>
          <w:sz w:val="24"/>
          <w:szCs w:val="24"/>
        </w:rPr>
        <w:t xml:space="preserve">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spacing w:after="140" w:line="300"/>
        <w:jc w:val="both"/>
      </w:pPr>
      <w:r>
        <w:rPr>
          <w:rFonts w:ascii="Cambria" w:cs="Cambria" w:eastAsia="Cambria" w:hAnsi="Cambria"/>
          <w:sz w:val="24"/>
          <w:szCs w:val="24"/>
        </w:rP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spacing w:after="140" w:line="300"/>
        <w:jc w:val="both"/>
      </w:pPr>
      <w:r>
        <w:rPr>
          <w:rFonts w:ascii="Cambria" w:cs="Cambria" w:eastAsia="Cambria" w:hAnsi="Cambria"/>
          <w:sz w:val="24"/>
          <w:szCs w:val="24"/>
        </w:rPr>
        <w:t xml:space="preserve">For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the investigation is deliberately focused on the foundational conditions required to establish trustworthy authorisation. These conditions are represented through </w:t>
      </w:r>
      <w:r>
        <w:rPr>
          <w:rFonts w:ascii="Cambria" w:cs="Cambria" w:eastAsia="Cambria" w:hAnsi="Cambria"/>
          <w:color w:val="000000"/>
          <w:sz w:val="24"/>
          <w:szCs w:val="24"/>
        </w:rPr>
        <w:t xml:space="preserve">the first four of the six interconnected sub-research questions presented in Section 3.3, concerning</w:t>
      </w:r>
      <w:r>
        <w:rPr>
          <w:rFonts w:ascii="Cambria" w:cs="Cambria" w:eastAsia="Cambria" w:hAnsi="Cambria"/>
          <w:sz w:val="24"/>
          <w:szCs w:val="24"/>
        </w:rPr>
        <w:t xml:space="preserve"> consent modelling, identity and authority trust, multi-party authorisation, and policy-aware access control. </w:t>
      </w:r>
      <w:r>
        <w:rPr>
          <w:rFonts w:ascii="Cambria" w:cs="Cambria" w:eastAsia="Cambria" w:hAnsi="Cambria"/>
          <w:color w:val="000000"/>
          <w:sz w:val="24"/>
          <w:szCs w:val="24"/>
        </w:rPr>
        <w:t xml:space="preserve">The remaining two sub-questions, addressing temporal and lifecycle trust and formal security assurance, complete the six-question structure; the fifth is operationalised in the current prototype, and the formal component of the sixth is carried into the next stage of the research.</w:t>
      </w:r>
    </w:p>
    <w:p>
      <w:pPr>
        <w:pStyle w:val="Heading2"/>
        <w:spacing w:after="160" w:before="280"/>
      </w:pPr>
      <w:r>
        <w:t xml:space="preserve">3.3  Sub-Research Questions</w:t>
      </w:r>
    </w:p>
    <w:p>
      <w:pPr>
        <w:spacing w:after="140" w:line="300"/>
        <w:jc w:val="both"/>
      </w:pPr>
      <w:r>
        <w:rPr>
          <w:rFonts w:ascii="Cambria" w:cs="Cambria" w:eastAsia="Cambria" w:hAnsi="Cambria"/>
          <w:sz w:val="24"/>
          <w:szCs w:val="24"/>
        </w:rP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p>
      <w:pPr>
        <w:pStyle w:val="Heading3"/>
        <w:spacing w:after="160" w:before="280"/>
      </w:pPr>
      <w:r>
        <w:t xml:space="preserve">3.3.1  SRQ1: Trust-Centric Consent Modelling</w:t>
      </w:r>
    </w:p>
    <w:p>
      <w:pPr>
        <w:spacing w:after="140" w:line="300"/>
        <w:jc w:val="both"/>
      </w:pPr>
      <w:r>
        <w:rPr>
          <w:rFonts w:ascii="Cambria" w:cs="Cambria" w:eastAsia="Cambria" w:hAnsi="Cambria"/>
          <w:sz w:val="24"/>
          <w:szCs w:val="24"/>
        </w:rPr>
        <w:t xml:space="preserve">The first sub-research question is:</w:t>
      </w:r>
    </w:p>
    <w:p>
      <w:pPr>
        <w:spacing w:after="140" w:line="300"/>
        <w:ind w:left="720" w:right="720"/>
        <w:jc w:val="both"/>
      </w:pPr>
      <w:r>
        <w:rPr>
          <w:rFonts w:ascii="Cambria" w:cs="Cambria" w:eastAsia="Cambria" w:hAnsi="Cambria"/>
          <w:i/>
          <w:iCs/>
          <w:sz w:val="24"/>
          <w:szCs w:val="24"/>
        </w:rPr>
        <w:t xml:space="preserve">How can patient consent be modelled as a trust-aware authorisation object that explicitly represents identity, authority requirements, policy constraints, and authorisation evidence?</w:t>
      </w:r>
    </w:p>
    <w:p>
      <w:pPr>
        <w:spacing w:after="140" w:line="300"/>
        <w:jc w:val="both"/>
      </w:pPr>
      <w:r>
        <w:rPr>
          <w:rFonts w:ascii="Cambria" w:cs="Cambria" w:eastAsia="Cambria" w:hAnsi="Cambria"/>
          <w:sz w:val="24"/>
          <w:szCs w:val="24"/>
        </w:rP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(7)</w:t>
      </w:r>
    </w:p>
    <w:p>
      <w:pPr>
        <w:spacing w:after="140" w:line="300"/>
        <w:jc w:val="both"/>
      </w:pPr>
      <w:r>
        <w:rPr>
          <w:rFonts w:ascii="Cambria" w:cs="Cambria" w:eastAsia="Cambria" w:hAnsi="Cambria"/>
          <w:color w:val="000000"/>
          <w:sz w:val="24"/>
          <w:szCs w:val="24"/>
        </w:rPr>
        <w:t xml:space="preserve">where I represents the participating identities, A represents the authority and multi-party authorisation evidence, P represents the purpose and data-scope constraints, T represents the temporal validity window, L represents the jurisdictional constraint, and </w:t>
      </w:r>
      <w:r>
        <w:rPr>
          <w:rFonts w:ascii="Cambria" w:cs="Cambria" w:eastAsia="Cambria" w:hAnsi="Cambria"/>
          <w:color w:val="007A00"/>
          <w:sz w:val="24"/>
          <w:szCs w:val="24"/>
        </w:rPr>
        <w:t xml:space="preserve">E represents the authorisation evidence, including the record of whether the consent remains active or has been revoked</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sz w:val="24"/>
          <w:szCs w:val="24"/>
        </w:rP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spacing w:after="140" w:line="300"/>
        <w:jc w:val="both"/>
      </w:pPr>
      <w:r>
        <w:rPr>
          <w:rFonts w:ascii="Cambria" w:cs="Cambria" w:eastAsia="Cambria" w:hAnsi="Cambria"/>
          <w:sz w:val="24"/>
          <w:szCs w:val="24"/>
        </w:rPr>
        <w:t xml:space="preserve">SRQ1 therefore establishes the conceptual representation required by the subsequent identity, multi-party authorisation, policy, and security-assurance mechanisms.</w:t>
      </w:r>
    </w:p>
    <w:p>
      <w:pPr>
        <w:pStyle w:val="Heading3"/>
        <w:spacing w:after="160" w:before="280"/>
      </w:pPr>
      <w:r>
        <w:t xml:space="preserve">3.3.2  SRQ2: Decentralised Identity and Authority Trust</w:t>
      </w:r>
    </w:p>
    <w:p>
      <w:pPr>
        <w:spacing w:after="140" w:line="300"/>
        <w:jc w:val="both"/>
      </w:pPr>
      <w:r>
        <w:rPr>
          <w:rFonts w:ascii="Cambria" w:cs="Cambria" w:eastAsia="Cambria" w:hAnsi="Cambria"/>
          <w:sz w:val="24"/>
          <w:szCs w:val="24"/>
        </w:rPr>
        <w:t xml:space="preserve">The second sub-research question is:</w:t>
      </w:r>
    </w:p>
    <w:p>
      <w:pPr>
        <w:spacing w:after="140" w:line="300"/>
        <w:ind w:left="720" w:right="720"/>
        <w:jc w:val="both"/>
      </w:pPr>
      <w:r>
        <w:rPr>
          <w:rFonts w:ascii="Cambria" w:cs="Cambria" w:eastAsia="Cambria" w:hAnsi="Cambria"/>
          <w:i/>
          <w:iCs/>
          <w:sz w:val="24"/>
          <w:szCs w:val="24"/>
        </w:rPr>
        <w:t xml:space="preserve">How can decentralised identities and verifiable credentials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A fundamental principle of the proposed framework is that identity and authorisation should not be treated as equivalent. A valid decentralised identifier establishes the identity of a participant, while a verifiable credential provides evidence concerning the participant’s role or authority. </w:t>
      </w:r>
      <w:r>
        <w:rPr>
          <w:rFonts w:ascii="Cambria" w:cs="Cambria" w:eastAsia="Cambria" w:hAnsi="Cambria"/>
          <w:color w:val="000000"/>
          <w:sz w:val="24"/>
          <w:szCs w:val="24"/>
        </w:rPr>
        <w:t xml:space="preserve">Therefore, Identity</w:t>
      </w:r>
      <w:r>
        <w:rPr>
          <w:rFonts w:ascii="Cambria" w:cs="Cambria" w:eastAsia="Cambria" w:hAnsi="Cambria"/>
          <w:sz w:val="24"/>
          <w:szCs w:val="24"/>
        </w:rPr>
        <w:t xml:space="preserve"> ≠ Authorisation. The identity and authority validity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(8)</w:t>
      </w:r>
    </w:p>
    <w:p>
      <w:pPr>
        <w:spacing w:after="140" w:line="300"/>
        <w:jc w:val="both"/>
      </w:pPr>
      <w:r>
        <w:rPr>
          <w:rFonts w:ascii="Cambria" w:cs="Cambria" w:eastAsia="Cambria" w:hAnsi="Cambria"/>
          <w:sz w:val="24"/>
          <w:szCs w:val="24"/>
        </w:rP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spacing w:after="140" w:line="300"/>
        <w:jc w:val="both"/>
      </w:pPr>
      <w:r>
        <w:rPr>
          <w:rFonts w:ascii="Cambria" w:cs="Cambria" w:eastAsia="Cambria" w:hAnsi="Cambria"/>
          <w:sz w:val="24"/>
          <w:szCs w:val="24"/>
        </w:rPr>
        <w:t xml:space="preserve">SRQ2 therefore addresses how trustworthy participants can be established before their participation in collective authorisation decisions.</w:t>
      </w:r>
    </w:p>
    <w:p>
      <w:pPr>
        <w:pStyle w:val="Heading3"/>
        <w:spacing w:after="160" w:before="280"/>
      </w:pPr>
      <w:r>
        <w:t xml:space="preserve">3.3.3  SRQ3: Trustworthy Multi-Party Authorisation</w:t>
      </w:r>
    </w:p>
    <w:p>
      <w:pPr>
        <w:spacing w:after="140" w:line="300"/>
        <w:jc w:val="both"/>
      </w:pPr>
      <w:r>
        <w:rPr>
          <w:rFonts w:ascii="Cambria" w:cs="Cambria" w:eastAsia="Cambria" w:hAnsi="Cambria"/>
          <w:sz w:val="24"/>
          <w:szCs w:val="24"/>
        </w:rPr>
        <w:t xml:space="preserve">The third sub-research question is:</w:t>
      </w:r>
    </w:p>
    <w:p>
      <w:pPr>
        <w:spacing w:after="140" w:line="300"/>
        <w:ind w:left="720" w:right="720"/>
        <w:jc w:val="both"/>
      </w:pPr>
      <w:r>
        <w:rPr>
          <w:rFonts w:ascii="Cambria" w:cs="Cambria" w:eastAsia="Cambria" w:hAnsi="Cambria"/>
          <w:i/>
          <w:iCs/>
          <w:sz w:val="24"/>
          <w:szCs w:val="24"/>
        </w:rPr>
        <w:t xml:space="preserve">How can multiple independently verified participants jointly establish a trustworthy consent decision without allowing a single participant to unilaterally authorise sensitive healthcare data access?</w:t>
      </w:r>
    </w:p>
    <w:p>
      <w:pPr>
        <w:spacing w:after="140" w:line="300"/>
        <w:jc w:val="both"/>
      </w:pPr>
      <w:r>
        <w:rPr>
          <w:rFonts w:ascii="Cambria" w:cs="Cambria" w:eastAsia="Cambria" w:hAnsi="Cambria"/>
          <w:sz w:val="24"/>
          <w:szCs w:val="24"/>
        </w:rPr>
        <w:t xml:space="preserve">This question addresses the collaborative authorisation problem.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independently verified authorisation participants and let N denote the required authorisation threshold. Multi-party authorisation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(9)</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color w:val="000000"/>
          <w:sz w:val="22"/>
          <w:szCs w:val="22"/>
        </w:rPr>
        <w:t xml:space="preserve">|A</w:t>
      </w:r>
      <w:r>
        <w:rPr>
          <w:rFonts w:ascii="Cambria Math" w:cs="Cambria Math" w:eastAsia="Cambria Math" w:hAnsi="Cambria Math"/>
          <w:i/>
          <w:iCs/>
          <w:color w:val="000000"/>
          <w:sz w:val="22"/>
          <w:szCs w:val="22"/>
          <w:vertAlign w:val="subscript"/>
        </w:rPr>
        <w:t xml:space="preserve">v</w:t>
      </w:r>
      <w:r>
        <w:rPr>
          <w:rFonts w:ascii="Cambria Math" w:cs="Cambria Math" w:eastAsia="Cambria Math" w:hAnsi="Cambria Math"/>
          <w:i/>
          <w:iCs/>
          <w:color w:val="000000"/>
          <w:sz w:val="22"/>
          <w:szCs w:val="22"/>
        </w:rPr>
        <w:t xml:space="preserve">| &lt; N ⟹ Decision(C, R) = DENY.</w:t>
      </w:r>
      <w:r>
        <w:rPr>
          <w:rFonts w:ascii="Cambria" w:cs="Cambria" w:eastAsia="Cambria" w:hAnsi="Cambria"/>
          <w:color w:val="000000"/>
          <w:sz w:val="22"/>
          <w:szCs w:val="22"/>
        </w:rPr>
        <w:t xml:space="preserve">	(10)</w:t>
      </w:r>
    </w:p>
    <w:p>
      <w:pPr>
        <w:spacing w:after="140" w:line="300"/>
        <w:jc w:val="both"/>
      </w:pPr>
      <w:r>
        <w:rPr>
          <w:rFonts w:ascii="Cambria" w:cs="Cambria" w:eastAsia="Cambria" w:hAnsi="Cambria"/>
          <w:color w:val="000000"/>
          <w:sz w:val="24"/>
          <w:szCs w:val="24"/>
        </w:rPr>
        <w:t xml:space="preserve">Consequently, in the implemented framework N is instantiated as |G|, the number of designated guardians, so that activation requires the approval of every listed guardian; configurable k-of-n thresholds are identified as future work.</w:t>
      </w:r>
    </w:p>
    <w:p>
      <w:pPr>
        <w:spacing w:after="140" w:line="300"/>
        <w:jc w:val="both"/>
      </w:pPr>
      <w:r>
        <w:rPr>
          <w:rFonts w:ascii="Cambria" w:cs="Cambria" w:eastAsia="Cambria" w:hAnsi="Cambria"/>
          <w:sz w:val="24"/>
          <w:szCs w:val="24"/>
        </w:rP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spacing w:after="140" w:line="300"/>
        <w:jc w:val="both"/>
      </w:pPr>
      <w:r>
        <w:rPr>
          <w:rFonts w:ascii="Cambria" w:cs="Cambria" w:eastAsia="Cambria" w:hAnsi="Cambria"/>
          <w:sz w:val="24"/>
          <w:szCs w:val="24"/>
        </w:rPr>
        <w:t xml:space="preserve">More fundamentally, SRQ3 changes the interpretation of trust from an assumption concerning a single trusted entity to a property established through the joint satisfaction of independently verified authorisation requirements.</w:t>
      </w:r>
    </w:p>
    <w:p>
      <w:pPr>
        <w:pStyle w:val="Heading3"/>
        <w:spacing w:after="160" w:before="280"/>
      </w:pPr>
      <w:r>
        <w:t xml:space="preserve">3.3.4  SRQ4: Policy- and Context-Aware Access Control</w:t>
      </w:r>
    </w:p>
    <w:p>
      <w:pPr>
        <w:spacing w:after="140" w:line="300"/>
        <w:jc w:val="both"/>
      </w:pPr>
      <w:r>
        <w:rPr>
          <w:rFonts w:ascii="Cambria" w:cs="Cambria" w:eastAsia="Cambria" w:hAnsi="Cambria"/>
          <w:sz w:val="24"/>
          <w:szCs w:val="24"/>
        </w:rPr>
        <w:t xml:space="preserve">The fourth sub-research question is</w:t>
      </w:r>
    </w:p>
    <w:p>
      <w:pPr>
        <w:spacing w:after="140" w:line="300"/>
        <w:ind w:left="720" w:right="720"/>
        <w:jc w:val="both"/>
      </w:pPr>
      <w:r>
        <w:rPr>
          <w:rFonts w:ascii="Cambria" w:cs="Cambria" w:eastAsia="Cambria" w:hAnsi="Cambria"/>
          <w:i/>
          <w:iCs/>
          <w:sz w:val="24"/>
          <w:szCs w:val="24"/>
        </w:rPr>
        <w:t xml:space="preserve">How can policy, purpose, and data-scope constraints be incorporated into authorisation decisions so that valid identities and sufficient approvals cannot be used to obtain unauthorised healthcare data?</w:t>
      </w:r>
    </w:p>
    <w:p>
      <w:pPr>
        <w:spacing w:after="140" w:line="300"/>
        <w:jc w:val="both"/>
      </w:pPr>
      <w:r>
        <w:rPr>
          <w:rFonts w:ascii="Cambria" w:cs="Cambria" w:eastAsia="Cambria" w:hAnsi="Cambria"/>
          <w:sz w:val="24"/>
          <w:szCs w:val="24"/>
        </w:rP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(11)</w:t>
      </w:r>
    </w:p>
    <w:p>
      <w:pPr>
        <w:spacing w:after="140" w:line="300"/>
        <w:jc w:val="both"/>
      </w:pPr>
      <w:r>
        <w:rPr>
          <w:rFonts w:ascii="Cambria" w:cs="Cambria" w:eastAsia="Cambria" w:hAnsi="Cambria"/>
          <w:sz w:val="24"/>
          <w:szCs w:val="24"/>
        </w:rPr>
        <w:t xml:space="preserve">which evaluates whether the requested operation satisfies the purpose and data-scope constraints defined by the consent object.</w:t>
      </w:r>
    </w:p>
    <w:p>
      <w:pPr>
        <w:spacing w:after="140" w:line="300"/>
        <w:jc w:val="both"/>
      </w:pPr>
      <w:r>
        <w:rPr>
          <w:rFonts w:ascii="Cambria" w:cs="Cambria" w:eastAsia="Cambria" w:hAnsi="Cambria"/>
          <w:sz w:val="24"/>
          <w:szCs w:val="24"/>
        </w:rPr>
        <w:t xml:space="preserve">For example, if a consent authorises access to</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(12)</w:t>
      </w:r>
    </w:p>
    <w:p>
      <w:pPr>
        <w:spacing w:after="140" w:line="300"/>
        <w:jc w:val="both"/>
      </w:pPr>
      <w:r>
        <w:rPr>
          <w:rFonts w:ascii="Cambria" w:cs="Cambria" w:eastAsia="Cambria" w:hAnsi="Cambria"/>
          <w:sz w:val="24"/>
          <w:szCs w:val="24"/>
        </w:rPr>
        <w:t xml:space="preserve">while the request contains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(13)</w:t>
      </w:r>
    </w:p>
    <w:p>
      <w:pPr>
        <w:spacing w:after="140" w:line="300"/>
        <w:jc w:val="both"/>
      </w:pPr>
      <w:r>
        <w:rPr>
          <w:rFonts w:ascii="Cambria" w:cs="Cambria" w:eastAsia="Cambria" w:hAnsi="Cambria"/>
          <w:sz w:val="24"/>
          <w:szCs w:val="24"/>
        </w:rPr>
        <w:t xml:space="preserve">the request must be rejected when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(14)</w:t>
      </w:r>
    </w:p>
    <w:p>
      <w:pPr>
        <w:spacing w:after="140" w:line="300"/>
        <w:jc w:val="both"/>
      </w:pPr>
      <w:r>
        <w:rPr>
          <w:rFonts w:ascii="Cambria" w:cs="Cambria" w:eastAsia="Cambria" w:hAnsi="Cambria"/>
          <w:sz w:val="24"/>
          <w:szCs w:val="24"/>
        </w:rPr>
        <w:t xml:space="preserve">Similarly, a request may be rejected when its declared purpose is inconsistent with the purpose specified in the consent.</w:t>
      </w:r>
    </w:p>
    <w:p>
      <w:pPr>
        <w:spacing w:after="140" w:line="300"/>
        <w:jc w:val="both"/>
      </w:pPr>
      <w:r>
        <w:rPr>
          <w:rFonts w:ascii="Cambria" w:cs="Cambria" w:eastAsia="Cambria" w:hAnsi="Cambria"/>
          <w:sz w:val="24"/>
          <w:szCs w:val="24"/>
        </w:rPr>
        <w:t xml:space="preserve">Thus, trustworthy authorisation requires not only trusted participants and sufficient approvals, but also compliance between the requested operation and the authorisation policy.</w:t>
      </w:r>
    </w:p>
    <w:p>
      <w:pPr>
        <w:spacing w:after="140" w:line="300"/>
        <w:jc w:val="both"/>
      </w:pPr>
      <w:r>
        <w:rPr>
          <w:rFonts w:ascii="Cambria" w:cs="Cambria" w:eastAsia="Cambria" w:hAnsi="Cambria"/>
          <w:sz w:val="24"/>
          <w:szCs w:val="24"/>
        </w:rPr>
        <w:t xml:space="preserve">SRQ4 therefore completes the foundational access-control mechanisms by connecting participant trust and collective authorisation with the actual operation being requested.</w:t>
      </w:r>
    </w:p>
    <w:p>
      <w:pPr>
        <w:pStyle w:val="Heading3"/>
        <w:spacing w:after="160" w:before="280"/>
      </w:pPr>
      <w:r>
        <w:t xml:space="preserve">3.3.5  SRQ5: Temporal and Lifecycle Trust</w:t>
      </w:r>
    </w:p>
    <w:p>
      <w:pPr>
        <w:spacing w:after="140" w:line="300"/>
        <w:jc w:val="both"/>
      </w:pPr>
      <w:r>
        <w:rPr>
          <w:rFonts w:ascii="Cambria" w:cs="Cambria" w:eastAsia="Cambria" w:hAnsi="Cambria"/>
          <w:sz w:val="24"/>
          <w:szCs w:val="24"/>
        </w:rPr>
        <w:t xml:space="preserve">The fifth sub-research question is</w:t>
      </w:r>
    </w:p>
    <w:p>
      <w:pPr>
        <w:spacing w:after="140" w:line="300"/>
        <w:ind w:left="720" w:right="720"/>
        <w:jc w:val="both"/>
      </w:pPr>
      <w:r>
        <w:rPr>
          <w:rFonts w:ascii="Cambria" w:cs="Cambria" w:eastAsia="Cambria" w:hAnsi="Cambria"/>
          <w:i/>
          <w:iCs/>
          <w:sz w:val="24"/>
          <w:szCs w:val="24"/>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spacing w:after="140" w:line="300"/>
        <w:jc w:val="both"/>
      </w:pPr>
      <w:r>
        <w:rPr>
          <w:rFonts w:ascii="Cambria" w:cs="Cambria" w:eastAsia="Cambria" w:hAnsi="Cambria"/>
          <w:sz w:val="24"/>
          <w:szCs w:val="24"/>
        </w:rPr>
        <w:t xml:space="preserve">Trustworthy authorisation is inherently dynamic. A consent that is valid at one point in time cannot necessarily be assumed to remain valid indefinitely. Let the validity interval of a consent object be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Temporal validity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(15)</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sz w:val="22"/>
          <w:szCs w:val="22"/>
        </w:rPr>
        <w:t xml:space="preserve">t &lt;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&gt;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(16)</w:t>
      </w:r>
    </w:p>
    <w:p>
      <w:pPr>
        <w:spacing w:after="140" w:line="300"/>
        <w:jc w:val="both"/>
      </w:pPr>
      <w:r>
        <w:rPr>
          <w:rFonts w:ascii="Cambria" w:cs="Cambria" w:eastAsia="Cambria" w:hAnsi="Cambria"/>
          <w:sz w:val="24"/>
          <w:szCs w:val="24"/>
        </w:rPr>
        <w:t xml:space="preserve">Temporal validity must also be evaluated together with the lifecycle state of the consent. The lifecycle can be represented as</w:t>
      </w:r>
    </w:p>
    <w:p>
      <w:pPr>
        <w:tabs>
          <w:tab w:val="right" w:pos="9360"/>
        </w:tabs>
        <w:spacing w:after="160" w:before="60"/>
        <w:jc w:val="center"/>
      </w:pPr>
      <w:r>
        <w:rPr>
          <w:rFonts w:ascii="Cambria Math" w:cs="Cambria Math" w:eastAsia="Cambria Math" w:hAnsi="Cambria Math"/>
          <w:i/>
          <w:iCs/>
          <w:sz w:val="22"/>
          <w:szCs w:val="22"/>
        </w:rPr>
        <w:t xml:space="preserve">Specification → Verification → Approval → Active → Expiration/Revocation.</w:t>
      </w:r>
      <w:r>
        <w:rPr>
          <w:rFonts w:ascii="Cambria" w:cs="Cambria" w:eastAsia="Cambria" w:hAnsi="Cambria"/>
          <w:sz w:val="22"/>
          <w:szCs w:val="22"/>
        </w:rPr>
        <w:t xml:space="preserve">	(17)</w:t>
      </w:r>
    </w:p>
    <w:p>
      <w:pPr>
        <w:spacing w:after="140" w:line="300"/>
        <w:jc w:val="both"/>
      </w:pPr>
      <w:r>
        <w:rPr>
          <w:rFonts w:ascii="Cambria" w:cs="Cambria" w:eastAsia="Cambria" w:hAnsi="Cambria"/>
          <w:sz w:val="24"/>
          <w:szCs w:val="24"/>
        </w:rPr>
        <w:t xml:space="preserve">The lifecycle validity predicate </w:t>
      </w:r>
      <w:r>
        <w:rPr>
          <w:rFonts w:ascii="Cambria" w:cs="Cambria" w:eastAsia="Cambria" w:hAnsi="Cambria"/>
          <w:color w:val="007A00"/>
          <w:sz w:val="24"/>
          <w:szCs w:val="24"/>
        </w:rPr>
        <w:t xml:space="preserve">V</w:t>
      </w:r>
      <w:r>
        <w:rPr>
          <w:rFonts w:ascii="Cambria" w:cs="Cambria" w:eastAsia="Cambria" w:hAnsi="Cambria"/>
          <w:color w:val="007A00"/>
          <w:sz w:val="24"/>
          <w:szCs w:val="24"/>
          <w:vertAlign w:val="subscript"/>
        </w:rPr>
        <w:t xml:space="preserve">S</w:t>
      </w:r>
      <w:r>
        <w:rPr>
          <w:rFonts w:ascii="Cambria" w:cs="Cambria" w:eastAsia="Cambria" w:hAnsi="Cambria"/>
          <w:sz w:val="24"/>
          <w:szCs w:val="24"/>
        </w:rPr>
        <w:t xml:space="preserve"> can therefore be represented as</w:t>
      </w:r>
    </w:p>
    <w:p>
      <w:pPr>
        <w:tabs>
          <w:tab w:val="right" w:pos="9360"/>
        </w:tabs>
        <w:spacing w:after="160" w:before="60"/>
        <w:jc w:val="center"/>
      </w:pPr>
      <w:r>
        <w:rPr>
          <w:rFonts w:ascii="Cambria Math" w:cs="Cambria Math" w:eastAsia="Cambria Math" w:hAnsi="Cambria Math"/>
          <w:i/>
          <w:iCs/>
          <w:color w:val="007A00"/>
          <w:sz w:val="22"/>
          <w:szCs w:val="22"/>
        </w:rPr>
        <w:t xml:space="preserve">V</w:t>
      </w:r>
      <w:r>
        <w:rPr>
          <w:rFonts w:ascii="Cambria Math" w:cs="Cambria Math" w:eastAsia="Cambria Math" w:hAnsi="Cambria Math"/>
          <w:i/>
          <w:iCs/>
          <w:color w:val="007A00"/>
          <w:sz w:val="22"/>
          <w:szCs w:val="22"/>
          <w:vertAlign w:val="subscript"/>
        </w:rPr>
        <w:t xml:space="preserve">S</w:t>
      </w:r>
      <w:r>
        <w:rPr>
          <w:rFonts w:ascii="Cambria Math" w:cs="Cambria Math" w:eastAsia="Cambria Math" w:hAnsi="Cambria Math"/>
          <w:i/>
          <w:iCs/>
          <w:color w:val="007A00"/>
          <w:sz w:val="22"/>
          <w:szCs w:val="22"/>
        </w:rPr>
        <w:t xml:space="preserve">(C)</w:t>
      </w:r>
      <w:r>
        <w:rPr>
          <w:rFonts w:ascii="Cambria Math" w:cs="Cambria Math" w:eastAsia="Cambria Math" w:hAnsi="Cambria Math"/>
          <w:i/>
          <w:iCs/>
          <w:sz w:val="22"/>
          <w:szCs w:val="22"/>
        </w:rPr>
        <w:t xml:space="preserve"> = ValidState(C) ∧ ValidTransition(C).</w:t>
      </w:r>
      <w:r>
        <w:rPr>
          <w:rFonts w:ascii="Cambria" w:cs="Cambria" w:eastAsia="Cambria" w:hAnsi="Cambria"/>
          <w:sz w:val="22"/>
          <w:szCs w:val="22"/>
        </w:rPr>
        <w:t xml:space="preserve">	(18)</w:t>
      </w:r>
    </w:p>
    <w:p>
      <w:pPr>
        <w:spacing w:after="140" w:line="300"/>
        <w:jc w:val="both"/>
      </w:pPr>
      <w:r>
        <w:rPr>
          <w:rFonts w:ascii="Cambria" w:cs="Cambria" w:eastAsia="Cambria" w:hAnsi="Cambria"/>
          <w:sz w:val="24"/>
          <w:szCs w:val="24"/>
        </w:rP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 </w:t>
      </w:r>
      <w:r>
        <w:rPr>
          <w:rFonts w:ascii="Cambria" w:cs="Cambria" w:eastAsia="Cambria" w:hAnsi="Cambria"/>
          <w:color w:val="007A00"/>
          <w:sz w:val="24"/>
          <w:szCs w:val="24"/>
        </w:rPr>
        <w:t xml:space="preserve">In the implemented framework, the lifecycle validity predicate V</w:t>
      </w:r>
      <w:r>
        <w:rPr>
          <w:rFonts w:ascii="Cambria" w:cs="Cambria" w:eastAsia="Cambria" w:hAnsi="Cambria"/>
          <w:color w:val="007A00"/>
          <w:sz w:val="24"/>
          <w:szCs w:val="24"/>
          <w:vertAlign w:val="subscript"/>
        </w:rPr>
        <w:t xml:space="preserve">S</w:t>
      </w:r>
      <w:r>
        <w:rPr>
          <w:rFonts w:ascii="Cambria" w:cs="Cambria" w:eastAsia="Cambria" w:hAnsi="Cambria"/>
          <w:color w:val="007A00"/>
          <w:sz w:val="24"/>
          <w:szCs w:val="24"/>
        </w:rPr>
        <w:t xml:space="preserve"> is evaluated as part of the collective authorisation predicate V</w:t>
      </w:r>
      <w:r>
        <w:rPr>
          <w:rFonts w:ascii="Cambria" w:cs="Cambria" w:eastAsia="Cambria" w:hAnsi="Cambria"/>
          <w:color w:val="007A00"/>
          <w:sz w:val="24"/>
          <w:szCs w:val="24"/>
          <w:vertAlign w:val="subscript"/>
        </w:rPr>
        <w:t xml:space="preserve">A</w:t>
      </w:r>
      <w:r>
        <w:rPr>
          <w:rFonts w:ascii="Cambria" w:cs="Cambria" w:eastAsia="Cambria" w:hAnsi="Cambria"/>
          <w:color w:val="007A00"/>
          <w:sz w:val="24"/>
          <w:szCs w:val="24"/>
        </w:rPr>
        <w:t xml:space="preserve">. This is important because only a consent in the ACTIVE state can satisfy the authorisation condition. Consequently, the symbol V</w:t>
      </w:r>
      <w:r>
        <w:rPr>
          <w:rFonts w:ascii="Cambria" w:cs="Cambria" w:eastAsia="Cambria" w:hAnsi="Cambria"/>
          <w:color w:val="007A00"/>
          <w:sz w:val="24"/>
          <w:szCs w:val="24"/>
          <w:vertAlign w:val="subscript"/>
        </w:rPr>
        <w:t xml:space="preserve">L</w:t>
      </w:r>
      <w:r>
        <w:rPr>
          <w:rFonts w:ascii="Cambria" w:cs="Cambria" w:eastAsia="Cambria" w:hAnsi="Cambria"/>
          <w:color w:val="007A00"/>
          <w:sz w:val="24"/>
          <w:szCs w:val="24"/>
        </w:rPr>
        <w:t xml:space="preserve"> is reserved for the jurisdictional predicate, which corresponds to the component L of the consent object.</w:t>
      </w:r>
    </w:p>
    <w:p>
      <w:pPr>
        <w:spacing w:after="140" w:line="300"/>
        <w:jc w:val="both"/>
      </w:pPr>
      <w:r>
        <w:rPr>
          <w:rFonts w:ascii="Cambria" w:cs="Cambria" w:eastAsia="Cambria" w:hAnsi="Cambria"/>
          <w:sz w:val="24"/>
          <w:szCs w:val="24"/>
        </w:rPr>
        <w:t xml:space="preserve">SRQ5 therefore extends the foundational authorisation model into a dynamic consent environment in which trust is continuously evaluated according to both temporal conditions and lifecycle state.</w:t>
      </w:r>
    </w:p>
    <w:p>
      <w:pPr>
        <w:pStyle w:val="Heading3"/>
        <w:spacing w:after="160" w:before="280"/>
      </w:pPr>
      <w:r>
        <w:t xml:space="preserve">3.3.6  SRQ6: Formal Security Assurance and Empirical Validation</w:t>
      </w:r>
    </w:p>
    <w:p>
      <w:pPr>
        <w:spacing w:after="140" w:line="300"/>
        <w:jc w:val="both"/>
      </w:pPr>
      <w:r>
        <w:rPr>
          <w:rFonts w:ascii="Cambria" w:cs="Cambria" w:eastAsia="Cambria" w:hAnsi="Cambria"/>
          <w:sz w:val="24"/>
          <w:szCs w:val="24"/>
        </w:rPr>
        <w:t xml:space="preserve">The sixth sub-research question is</w:t>
      </w:r>
    </w:p>
    <w:p>
      <w:pPr>
        <w:spacing w:after="140" w:line="300"/>
        <w:ind w:left="720" w:right="720"/>
        <w:jc w:val="both"/>
      </w:pPr>
      <w:r>
        <w:rPr>
          <w:rFonts w:ascii="Cambria" w:cs="Cambria" w:eastAsia="Cambria" w:hAnsi="Cambria"/>
          <w:i/>
          <w:iCs/>
          <w:sz w:val="24"/>
          <w:szCs w:val="24"/>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40" w:line="300"/>
        <w:jc w:val="both"/>
      </w:pPr>
      <w:r>
        <w:rPr>
          <w:rFonts w:ascii="Cambria" w:cs="Cambria" w:eastAsia="Cambria" w:hAnsi="Cambria"/>
          <w:sz w:val="24"/>
          <w:szCs w:val="24"/>
        </w:rP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spacing w:after="140" w:line="300"/>
        <w:jc w:val="both"/>
      </w:pPr>
      <w:r>
        <w:rPr>
          <w:rFonts w:ascii="Cambria" w:cs="Cambria" w:eastAsia="Cambria" w:hAnsi="Cambria"/>
          <w:sz w:val="24"/>
          <w:szCs w:val="24"/>
        </w:rPr>
        <w:t xml:space="preserve">The overall authorisation decision is defined as a conjunction of independently evaluated predicates</w:t>
      </w:r>
    </w:p>
    <w:p>
      <w:pPr>
        <w:tabs>
          <w:tab w:val="right" w:pos="9360"/>
        </w:tabs>
        <w:spacing w:after="160" w:before="60"/>
        <w:jc w:val="center"/>
      </w:pPr>
      <w:r>
        <w:rPr>
          <w:rFonts w:ascii="Cambria Math" w:cs="Cambria Math" w:eastAsia="Cambria Math" w:hAnsi="Cambria Math"/>
          <w:i/>
          <w:iCs/>
          <w:sz w:val="22"/>
          <w:szCs w:val="22"/>
        </w:rPr>
        <w:t xml:space="preserve">Decision(C, R) =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DENY, otherwise. }</w:t>
      </w:r>
      <w:r>
        <w:rPr>
          <w:rFonts w:ascii="Cambria" w:cs="Cambria" w:eastAsia="Cambria" w:hAnsi="Cambria"/>
          <w:sz w:val="22"/>
          <w:szCs w:val="22"/>
        </w:rPr>
        <w:t xml:space="preserve">	(19)</w:t>
      </w:r>
    </w:p>
    <w:p>
      <w:pPr>
        <w:spacing w:after="140" w:line="300"/>
        <w:jc w:val="both"/>
      </w:pPr>
      <w:r>
        <w:rPr>
          <w:rFonts w:ascii="Cambria" w:cs="Cambria" w:eastAsia="Cambria" w:hAnsi="Cambria"/>
          <w:sz w:val="24"/>
          <w:szCs w:val="24"/>
        </w:rPr>
        <w:t xml:space="preserve">The corresponding security properties include identity correctness, which can be formulated as</w:t>
      </w:r>
    </w:p>
    <w:p>
      <w:pPr>
        <w:tabs>
          <w:tab w:val="right" w:pos="9360"/>
        </w:tabs>
        <w:spacing w:after="160" w:before="60"/>
        <w:jc w:val="center"/>
      </w:pPr>
      <w:r>
        <w:rPr>
          <w:rFonts w:ascii="Cambria Math" w:cs="Cambria Math" w:eastAsia="Cambria Math" w:hAnsi="Cambria Math"/>
          <w:i/>
          <w:iCs/>
          <w:sz w:val="22"/>
          <w:szCs w:val="22"/>
        </w:rPr>
        <w:t xml:space="preserve">u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w:t>
      </w:r>
      <w:r>
        <w:rPr>
          <w:rFonts w:ascii="Cambria" w:cs="Cambria" w:eastAsia="Cambria" w:hAnsi="Cambria"/>
          <w:sz w:val="22"/>
          <w:szCs w:val="22"/>
        </w:rPr>
        <w:t xml:space="preserve">	(20)</w:t>
      </w:r>
    </w:p>
    <w:p>
      <w:pPr>
        <w:spacing w:after="140" w:line="300"/>
        <w:jc w:val="both"/>
      </w:pPr>
      <w:r>
        <w:rPr>
          <w:rFonts w:ascii="Cambria" w:cs="Cambria" w:eastAsia="Cambria" w:hAnsi="Cambria"/>
          <w:sz w:val="24"/>
          <w:szCs w:val="24"/>
        </w:rPr>
        <w:t xml:space="preserve">authorisation integrity</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(21)</w:t>
      </w:r>
    </w:p>
    <w:p>
      <w:pPr>
        <w:spacing w:after="140" w:line="300"/>
        <w:jc w:val="both"/>
      </w:pPr>
      <w:r>
        <w:rPr>
          <w:rFonts w:ascii="Cambria" w:cs="Cambria" w:eastAsia="Cambria" w:hAnsi="Cambria"/>
          <w:sz w:val="24"/>
          <w:szCs w:val="24"/>
        </w:rPr>
        <w:t xml:space="preserve">threshold security, formulated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(22)</w:t>
      </w:r>
    </w:p>
    <w:p>
      <w:pPr>
        <w:spacing w:after="140" w:line="300"/>
        <w:jc w:val="both"/>
      </w:pPr>
      <w:r>
        <w:rPr>
          <w:rFonts w:ascii="Cambria" w:cs="Cambria" w:eastAsia="Cambria" w:hAnsi="Cambria"/>
          <w:sz w:val="24"/>
          <w:szCs w:val="24"/>
        </w:rPr>
        <w:t xml:space="preserve">and temporal safety, formulated as</w:t>
      </w:r>
    </w:p>
    <w:p>
      <w:pPr>
        <w:tabs>
          <w:tab w:val="right" w:pos="9360"/>
        </w:tabs>
        <w:spacing w:after="160" w:before="60"/>
        <w:jc w:val="center"/>
      </w:pPr>
      <w:r>
        <w:rPr>
          <w:rFonts w:ascii="Cambria Math" w:cs="Cambria Math" w:eastAsia="Cambria Math" w:hAnsi="Cambria Math"/>
          <w:i/>
          <w:iCs/>
          <w:sz w:val="22"/>
          <w:szCs w:val="22"/>
        </w:rPr>
        <w:t xml:space="preserve">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(23)</w:t>
      </w:r>
    </w:p>
    <w:p>
      <w:pPr>
        <w:spacing w:after="140" w:line="300"/>
        <w:jc w:val="both"/>
      </w:pPr>
      <w:r>
        <w:rPr>
          <w:rFonts w:ascii="Cambria" w:cs="Cambria" w:eastAsia="Cambria" w:hAnsi="Cambria"/>
          <w:sz w:val="24"/>
          <w:szCs w:val="24"/>
        </w:rPr>
        <w:t xml:space="preserve">Lifecycle safety additionally requires that unauthorised state transitions be rejected</w:t>
      </w:r>
    </w:p>
    <w:p>
      <w:pPr>
        <w:tabs>
          <w:tab w:val="right" w:pos="9360"/>
        </w:tabs>
        <w:spacing w:after="160" w:before="60"/>
        <w:jc w:val="center"/>
      </w:pPr>
      <w:r>
        <w:rPr>
          <w:rFonts w:ascii="Cambria Math" w:cs="Cambria Math" w:eastAsia="Cambria Math" w:hAnsi="Cambria Math"/>
          <w:i/>
          <w:iCs/>
          <w:sz w:val="22"/>
          <w:szCs w:val="22"/>
        </w:rPr>
        <w:t xml:space="preserve">IllegalTransition(C) ⟹ Reject.</w:t>
      </w:r>
      <w:r>
        <w:rPr>
          <w:rFonts w:ascii="Cambria" w:cs="Cambria" w:eastAsia="Cambria" w:hAnsi="Cambria"/>
          <w:sz w:val="22"/>
          <w:szCs w:val="22"/>
        </w:rPr>
        <w:t xml:space="preserve">	(24)</w:t>
      </w:r>
    </w:p>
    <w:p>
      <w:pPr>
        <w:spacing w:after="140" w:line="300"/>
        <w:jc w:val="both"/>
      </w:pPr>
      <w:r>
        <w:rPr>
          <w:rFonts w:ascii="Cambria" w:cs="Cambria" w:eastAsia="Cambria" w:hAnsi="Cambria"/>
          <w:sz w:val="24"/>
          <w:szCs w:val="24"/>
        </w:rP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spacing w:after="140" w:line="300"/>
        <w:jc w:val="both"/>
      </w:pPr>
      <w:r>
        <w:rPr>
          <w:rFonts w:ascii="Cambria" w:cs="Cambria" w:eastAsia="Cambria" w:hAnsi="Cambria"/>
          <w:sz w:val="24"/>
          <w:szCs w:val="24"/>
        </w:rPr>
        <w:t xml:space="preserve">The empirical component evaluates whether the implemented HALAH framework realises these defined properties in representative decentralised healthcare data-sharing scenarios. </w:t>
      </w:r>
      <w:r>
        <w:rPr>
          <w:rFonts w:ascii="Cambria" w:cs="Cambria" w:eastAsia="Cambria" w:hAnsi="Cambria"/>
          <w:color w:val="000000"/>
          <w:sz w:val="24"/>
          <w:szCs w:val="24"/>
        </w:rPr>
        <w:t xml:space="preserve">Synthetic demonstration records, containing no real patient data, are used</w:t>
      </w:r>
      <w:r>
        <w:rPr>
          <w:rFonts w:ascii="Cambria" w:cs="Cambria" w:eastAsia="Cambria" w:hAnsi="Cambria"/>
          <w:sz w:val="24"/>
          <w:szCs w:val="24"/>
        </w:rPr>
        <w:t xml:space="preserve">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spacing w:after="140" w:line="300"/>
        <w:jc w:val="both"/>
      </w:pPr>
      <w:r>
        <w:rPr>
          <w:rFonts w:ascii="Cambria" w:cs="Cambria" w:eastAsia="Cambria" w:hAnsi="Cambria"/>
          <w:sz w:val="24"/>
          <w:szCs w:val="24"/>
        </w:rPr>
        <w:t xml:space="preserve">For a representative multi-party consent scenario, if two authorised participants are required, then it yields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1,</w:t>
      </w:r>
      <w:r>
        <w:rPr>
          <w:rFonts w:ascii="Cambria" w:cs="Cambria" w:eastAsia="Cambria" w:hAnsi="Cambria"/>
          <w:sz w:val="22"/>
          <w:szCs w:val="22"/>
        </w:rPr>
        <w:t xml:space="preserve">	(25)</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0.</w:t>
      </w:r>
      <w:r>
        <w:rPr>
          <w:rFonts w:ascii="Cambria" w:cs="Cambria" w:eastAsia="Cambria" w:hAnsi="Cambria"/>
          <w:sz w:val="22"/>
          <w:szCs w:val="22"/>
        </w:rPr>
        <w:t xml:space="preserve">	(26)</w:t>
      </w:r>
    </w:p>
    <w:p>
      <w:pPr>
        <w:spacing w:after="140" w:line="300"/>
        <w:jc w:val="both"/>
      </w:pPr>
      <w:r>
        <w:rPr>
          <w:rFonts w:ascii="Cambria" w:cs="Cambria" w:eastAsia="Cambria" w:hAnsi="Cambria"/>
          <w:sz w:val="24"/>
          <w:szCs w:val="24"/>
        </w:rP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spacing w:after="140" w:line="300"/>
        <w:jc w:val="both"/>
      </w:pPr>
      <w:r>
        <w:rPr>
          <w:rFonts w:ascii="Cambria" w:cs="Cambria" w:eastAsia="Cambria" w:hAnsi="Cambria"/>
          <w:sz w:val="24"/>
          <w:szCs w:val="24"/>
        </w:rPr>
        <w:t xml:space="preserve">Audit records are generated throughout the workflow to provide evidence of consent creation, participant verification, approval events, authorisation-state evaluation, data-access decisions, and relevant lifecycle transitions.</w:t>
      </w:r>
    </w:p>
    <w:p>
      <w:pPr>
        <w:spacing w:after="140" w:line="300"/>
        <w:jc w:val="both"/>
      </w:pPr>
      <w:r>
        <w:rPr>
          <w:rFonts w:ascii="Cambria" w:cs="Cambria" w:eastAsia="Cambria" w:hAnsi="Cambria"/>
          <w:sz w:val="24"/>
          <w:szCs w:val="24"/>
        </w:rP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spacing w:after="140" w:line="300"/>
        <w:jc w:val="both"/>
      </w:pPr>
      <w:r>
        <w:rPr>
          <w:rFonts w:ascii="Cambria" w:cs="Cambria" w:eastAsia="Cambria" w:hAnsi="Cambria"/>
          <w:sz w:val="24"/>
          <w:szCs w:val="24"/>
        </w:rPr>
        <w:t xml:space="preserve">SRQ6 consequently represents the final assurance stage of the research programme 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p>
      <w:pPr>
        <w:pStyle w:val="Heading2"/>
        <w:spacing w:after="160" w:before="280"/>
      </w:pPr>
      <w:r>
        <w:t xml:space="preserve">3.4  Research Questions as an Integrated Research Problem</w:t>
      </w:r>
    </w:p>
    <w:p>
      <w:pPr>
        <w:spacing w:after="140" w:line="300"/>
        <w:jc w:val="both"/>
      </w:pPr>
      <w:r>
        <w:rPr>
          <w:rFonts w:ascii="Cambria" w:cs="Cambria" w:eastAsia="Cambria" w:hAnsi="Cambria"/>
          <w:sz w:val="24"/>
          <w:szCs w:val="24"/>
        </w:rP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spacing w:after="140" w:line="300"/>
        <w:jc w:val="both"/>
      </w:pPr>
      <w:r>
        <w:rPr>
          <w:rFonts w:ascii="Cambria" w:cs="Cambria" w:eastAsia="Cambria" w:hAnsi="Cambria"/>
          <w:sz w:val="24"/>
          <w:szCs w:val="24"/>
        </w:rP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spacing w:after="140" w:line="300"/>
        <w:jc w:val="both"/>
      </w:pPr>
      <w:r>
        <w:rPr>
          <w:rFonts w:ascii="Cambria" w:cs="Cambria" w:eastAsia="Cambria" w:hAnsi="Cambria"/>
          <w:sz w:val="24"/>
          <w:szCs w:val="24"/>
        </w:rPr>
        <w:t xml:space="preserve">The integrated authorisation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(27)</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 represents identity and authority validity,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 represents collective authorisation validity,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 represents policy and contextual compliance, V</w:t>
      </w:r>
      <w:r>
        <w:rPr>
          <w:rFonts w:ascii="Cambria" w:cs="Cambria" w:eastAsia="Cambria" w:hAnsi="Cambria"/>
          <w:sz w:val="24"/>
          <w:szCs w:val="24"/>
          <w:vertAlign w:val="subscript"/>
        </w:rPr>
        <w:t xml:space="preserve">T</w:t>
      </w:r>
      <w:r>
        <w:rPr>
          <w:rFonts w:ascii="Cambria" w:cs="Cambria" w:eastAsia="Cambria" w:hAnsi="Cambria"/>
          <w:sz w:val="24"/>
          <w:szCs w:val="24"/>
        </w:rPr>
        <w:t xml:space="preserve"> represents temporal validity, and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 represents </w:t>
      </w:r>
      <w:r>
        <w:rPr>
          <w:rFonts w:ascii="Cambria" w:cs="Cambria" w:eastAsia="Cambria" w:hAnsi="Cambria"/>
          <w:color w:val="007A00"/>
          <w:sz w:val="24"/>
          <w:szCs w:val="24"/>
        </w:rPr>
        <w:t xml:space="preserve">jurisdictional compliance, while lifecycle validity V</w:t>
      </w:r>
      <w:r>
        <w:rPr>
          <w:rFonts w:ascii="Cambria" w:cs="Cambria" w:eastAsia="Cambria" w:hAnsi="Cambria"/>
          <w:color w:val="007A00"/>
          <w:sz w:val="24"/>
          <w:szCs w:val="24"/>
          <w:vertAlign w:val="subscript"/>
        </w:rPr>
        <w:t xml:space="preserve">S</w:t>
      </w:r>
      <w:r>
        <w:rPr>
          <w:rFonts w:ascii="Cambria" w:cs="Cambria" w:eastAsia="Cambria" w:hAnsi="Cambria"/>
          <w:color w:val="007A00"/>
          <w:sz w:val="24"/>
          <w:szCs w:val="24"/>
        </w:rPr>
        <w:t xml:space="preserve"> is evaluated within V</w:t>
      </w:r>
      <w:r>
        <w:rPr>
          <w:rFonts w:ascii="Cambria" w:cs="Cambria" w:eastAsia="Cambria" w:hAnsi="Cambria"/>
          <w:color w:val="007A00"/>
          <w:sz w:val="24"/>
          <w:szCs w:val="24"/>
          <w:vertAlign w:val="subscript"/>
        </w:rPr>
        <w:t xml:space="preserve">A</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This formulation provides the central logical relationship among SRQ1–SRQ5. A valid authorisation decision requires the simultaneous satisfaction of all relevant trust conditions. Consequently, failure of any individual condition results in denial</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(28)</w:t>
      </w:r>
    </w:p>
    <w:p>
      <w:pPr>
        <w:spacing w:after="140" w:line="300"/>
        <w:jc w:val="both"/>
      </w:pPr>
      <w:r>
        <w:rPr>
          <w:rFonts w:ascii="Cambria" w:cs="Cambria" w:eastAsia="Cambria" w:hAnsi="Cambria"/>
          <w:sz w:val="24"/>
          <w:szCs w:val="24"/>
        </w:rP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spacing w:after="140" w:line="300"/>
        <w:jc w:val="both"/>
      </w:pPr>
      <w:r>
        <w:rPr>
          <w:rFonts w:ascii="Cambria" w:cs="Cambria" w:eastAsia="Cambria" w:hAnsi="Cambria"/>
          <w:sz w:val="24"/>
          <w:szCs w:val="24"/>
        </w:rPr>
        <w:t xml:space="preserve">The research questions form a progressive research architecture that begins with establishing a robust Consent Representation, which directly fosters Participant Trust. This trust then translates into a framework for Collective Authorisation, providing the necessary foundation for systemic Policy Enforcement. Consequently, this enables dynamic Temporal/Lifecycle Control over data and processes, culminating in comprehensive Security Assurance and Validation. By structuring the inquiries this way, the architecture </w:t>
      </w:r>
      <w:r>
        <w:rPr>
          <w:rFonts w:ascii="Cambria" w:cs="Cambria" w:eastAsia="Cambria" w:hAnsi="Cambria"/>
          <w:color w:val="000000"/>
          <w:sz w:val="24"/>
          <w:szCs w:val="24"/>
        </w:rPr>
        <w:t xml:space="preserve">links the user-facing interaction directly to the underlying authorisation checks</w:t>
      </w:r>
      <w:r>
        <w:rPr>
          <w:rFonts w:ascii="Cambria" w:cs="Cambria" w:eastAsia="Cambria" w:hAnsi="Cambria"/>
          <w:sz w:val="24"/>
          <w:szCs w:val="24"/>
        </w:rPr>
        <w:t xml:space="preserve">.</w:t>
      </w:r>
    </w:p>
    <w:p>
      <w:pPr>
        <w:spacing w:after="140" w:line="300"/>
        <w:jc w:val="both"/>
      </w:pPr>
      <w:r>
        <w:rPr>
          <w:rFonts w:ascii="Cambria" w:cs="Cambria" w:eastAsia="Cambria" w:hAnsi="Cambria"/>
          <w:color w:val="000000"/>
          <w:sz w:val="24"/>
          <w:szCs w:val="24"/>
        </w:rPr>
        <w:t xml:space="preserve">The first four objectives are realised in full, while the fifth objective is realised operationally in the current prototype and the sixth objective is addressed empirically at this stage, with its formal component reserved for the next research programme.</w:t>
      </w:r>
    </w:p>
    <w:p>
      <w:pPr>
        <w:spacing w:after="140" w:line="300"/>
        <w:jc w:val="both"/>
      </w:pPr>
      <w:r>
        <w:rPr>
          <w:rFonts w:ascii="Cambria" w:cs="Cambria" w:eastAsia="Cambria" w:hAnsi="Cambria"/>
          <w:sz w:val="24"/>
          <w:szCs w:val="24"/>
        </w:rP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spacing w:after="140" w:line="300"/>
        <w:jc w:val="both"/>
      </w:pPr>
      <w:r>
        <w:rPr>
          <w:rFonts w:ascii="Cambria" w:cs="Cambria" w:eastAsia="Cambria" w:hAnsi="Cambria"/>
          <w:sz w:val="24"/>
          <w:szCs w:val="24"/>
        </w:rP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p>
      <w:pPr>
        <w:pStyle w:val="Heading1"/>
        <w:pageBreakBefore/>
        <w:spacing w:after="160" w:before="400"/>
      </w:pPr>
      <w:r>
        <w:t xml:space="preserve">4  Research Objectives</w:t>
      </w:r>
    </w:p>
    <w:p>
      <w:pPr>
        <w:spacing w:after="140" w:line="300"/>
        <w:jc w:val="both"/>
      </w:pPr>
      <w:r>
        <w:rPr>
          <w:rFonts w:ascii="Cambria" w:cs="Cambria" w:eastAsia="Cambria" w:hAnsi="Cambria"/>
          <w:sz w:val="24"/>
          <w:szCs w:val="24"/>
        </w:rP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programme consists of six research objectives, corresponding to six research questions. The first four objectives establish the foundational trust-oriented authorisation mechanisms investigated during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w:t>
      </w:r>
      <w:r>
        <w:rPr>
          <w:rFonts w:ascii="Cambria" w:cs="Cambria" w:eastAsia="Cambria" w:hAnsi="Cambria"/>
          <w:color w:val="000000"/>
          <w:sz w:val="24"/>
          <w:szCs w:val="24"/>
        </w:rPr>
        <w:t xml:space="preserve">.</w:t>
      </w:r>
    </w:p>
    <w:p>
      <w:pPr>
        <w:pStyle w:val="Heading2"/>
        <w:spacing w:after="160" w:before="280"/>
      </w:pPr>
      <w:r>
        <w:t xml:space="preserve">4.1  RO1 - Trust-Centric Consent Model</w:t>
      </w:r>
    </w:p>
    <w:p>
      <w:pPr>
        <w:spacing w:after="140" w:line="300"/>
        <w:jc w:val="both"/>
      </w:pPr>
      <w:r>
        <w:rPr>
          <w:rFonts w:ascii="Cambria" w:cs="Cambria" w:eastAsia="Cambria" w:hAnsi="Cambria"/>
          <w:sz w:val="24"/>
          <w:szCs w:val="24"/>
        </w:rP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spacing w:after="140" w:line="300"/>
        <w:jc w:val="both"/>
      </w:pPr>
      <w:r>
        <w:rPr>
          <w:rFonts w:ascii="Cambria" w:cs="Cambria" w:eastAsia="Cambria" w:hAnsi="Cambria"/>
          <w:sz w:val="24"/>
          <w:szCs w:val="24"/>
        </w:rPr>
        <w:t xml:space="preserve">RO1 directly addresses RQ1 and establishes the conceptual foundation for the remaining objectives. In particular, it defines the information that must be represented before consent can be interpreted as an authorisation decision rather than merely as a static approval record.</w:t>
      </w:r>
    </w:p>
    <w:p>
      <w:pPr>
        <w:pStyle w:val="Heading2"/>
        <w:spacing w:after="160" w:before="280"/>
      </w:pPr>
      <w:r>
        <w:t xml:space="preserve">4.2  RO2 - Decentralised Identity and Authority Trust</w:t>
      </w:r>
    </w:p>
    <w:p>
      <w:pPr>
        <w:spacing w:after="140" w:line="300"/>
        <w:jc w:val="both"/>
      </w:pPr>
      <w:r>
        <w:rPr>
          <w:rFonts w:ascii="Cambria" w:cs="Cambria" w:eastAsia="Cambria" w:hAnsi="Cambria"/>
          <w:sz w:val="24"/>
          <w:szCs w:val="24"/>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RO2 addresses 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p>
      <w:pPr>
        <w:pStyle w:val="Heading2"/>
        <w:spacing w:after="160" w:before="280"/>
      </w:pPr>
      <w:r>
        <w:t xml:space="preserve">4.3  RO3 - Trustworthy Multi-Party Authorisation</w:t>
      </w:r>
    </w:p>
    <w:p>
      <w:pPr>
        <w:spacing w:after="140" w:line="300"/>
        <w:jc w:val="both"/>
      </w:pPr>
      <w:r>
        <w:rPr>
          <w:rFonts w:ascii="Cambria" w:cs="Cambria" w:eastAsia="Cambria" w:hAnsi="Cambria"/>
          <w:color w:val="000000"/>
          <w:sz w:val="24"/>
          <w:szCs w:val="24"/>
        </w:rPr>
        <w:t xml:space="preserve">The implemented mechanism defines the designated guardians at consent creation, verifies each EIP-712 approval through signature recovery, and requires a valid signature from every listed guardian. Consequently, the threshold equals |G|, an N-of-N condition demonstrated in the 2-of-2 configuration.</w:t>
      </w:r>
    </w:p>
    <w:p>
      <w:pPr>
        <w:spacing w:after="140" w:line="300"/>
        <w:jc w:val="both"/>
      </w:pPr>
      <w:r>
        <w:rPr>
          <w:rFonts w:ascii="Cambria" w:cs="Cambria" w:eastAsia="Cambria" w:hAnsi="Cambria"/>
          <w:sz w:val="24"/>
          <w:szCs w:val="24"/>
        </w:rPr>
        <w:t xml:space="preserve">The third research objective is to develop a threshold-based multi-party authorisation mechanism through which multiple independently verified participants can jointly establish a trustworthy consent decision.</w:t>
      </w:r>
    </w:p>
    <w:p>
      <w:pPr>
        <w:spacing w:after="140" w:line="300"/>
        <w:jc w:val="both"/>
      </w:pPr>
      <w:r>
        <w:rPr>
          <w:rFonts w:ascii="Cambria" w:cs="Cambria" w:eastAsia="Cambria" w:hAnsi="Cambria"/>
          <w:sz w:val="24"/>
          <w:szCs w:val="24"/>
        </w:rPr>
        <w:t xml:space="preserve">The objective is to prevent unilateral authorisation where collective approval is required and to provide an explicit mechanism for distinguishing sufficient from insufficient participation.</w:t>
      </w:r>
    </w:p>
    <w:p>
      <w:pPr>
        <w:spacing w:after="140" w:line="300"/>
        <w:jc w:val="both"/>
      </w:pPr>
      <w:r>
        <w:rPr>
          <w:rFonts w:ascii="Cambria" w:cs="Cambria" w:eastAsia="Cambria" w:hAnsi="Cambria"/>
          <w:sz w:val="24"/>
          <w:szCs w:val="24"/>
        </w:rPr>
        <w:t xml:space="preserve">RO3 directly addresses RQ3 and extends the consent model from an individual permission statement to a collective authorisation decision.</w:t>
      </w:r>
    </w:p>
    <w:p>
      <w:pPr>
        <w:pStyle w:val="Heading2"/>
        <w:spacing w:after="160" w:before="280"/>
      </w:pPr>
      <w:r>
        <w:t xml:space="preserve">4.4  RO4 - Policy- and Context-Aware Access Control</w:t>
      </w:r>
    </w:p>
    <w:p>
      <w:pPr>
        <w:spacing w:after="140" w:line="300"/>
        <w:jc w:val="both"/>
      </w:pPr>
      <w:r>
        <w:rPr>
          <w:rFonts w:ascii="Cambria" w:cs="Cambria" w:eastAsia="Cambria" w:hAnsi="Cambria"/>
          <w:color w:val="000000"/>
          <w:sz w:val="24"/>
          <w:szCs w:val="24"/>
        </w:rPr>
        <w:t xml:space="preserve">Accordingly, the implemented mechanism evaluates whether the requested purpose is consistent with the consent and rejects any request whose data scope is not a non-empty subset of the authorised EMR modules.</w:t>
      </w:r>
    </w:p>
    <w:p>
      <w:pPr>
        <w:spacing w:after="140" w:line="300"/>
        <w:jc w:val="both"/>
      </w:pPr>
      <w:r>
        <w:rPr>
          <w:rFonts w:ascii="Cambria" w:cs="Cambria" w:eastAsia="Cambria" w:hAnsi="Cambria"/>
          <w:sz w:val="24"/>
          <w:szCs w:val="24"/>
        </w:rPr>
        <w:t xml:space="preserve">The fourth research objective is to develop a policy-aware authorisation mechanism that evaluates the purpose and data scope of a requested operation against the constraints defined by the consent.</w:t>
      </w:r>
    </w:p>
    <w:p>
      <w:pPr>
        <w:spacing w:after="140" w:line="300"/>
        <w:jc w:val="both"/>
      </w:pPr>
      <w:r>
        <w:rPr>
          <w:rFonts w:ascii="Cambria" w:cs="Cambria" w:eastAsia="Cambria" w:hAnsi="Cambria"/>
          <w:sz w:val="24"/>
          <w:szCs w:val="24"/>
        </w:rPr>
        <w:t xml:space="preserve">The objective is to ensure that a valid identity and sufficient multi-party approval cannot be used to obtain healthcare information outside the authorised scope.</w:t>
      </w:r>
    </w:p>
    <w:p>
      <w:pPr>
        <w:spacing w:after="140" w:line="300"/>
        <w:jc w:val="both"/>
      </w:pPr>
      <w:r>
        <w:rPr>
          <w:rFonts w:ascii="Cambria" w:cs="Cambria" w:eastAsia="Cambria" w:hAnsi="Cambria"/>
          <w:sz w:val="24"/>
          <w:szCs w:val="24"/>
        </w:rPr>
        <w:t xml:space="preserve">RO4 directly addresses RQ4 and completes the foundational authorisation model investigated during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Together, RO1–RO4 establish the representation, verification, collective authorisation, and policy-enforcement mechanisms required for a trust-oriented healthcare data-sharing decision.</w:t>
      </w:r>
    </w:p>
    <w:p>
      <w:pPr>
        <w:pStyle w:val="Heading2"/>
        <w:spacing w:after="160" w:before="280"/>
      </w:pPr>
      <w:r>
        <w:t xml:space="preserve">4.5  RO5 - Temporal and Lifecycle Trust</w:t>
      </w:r>
    </w:p>
    <w:p>
      <w:pPr>
        <w:spacing w:after="140" w:line="300"/>
        <w:jc w:val="both"/>
      </w:pPr>
      <w:r>
        <w:rPr>
          <w:rFonts w:ascii="Cambria" w:cs="Cambria" w:eastAsia="Cambria" w:hAnsi="Cambria"/>
          <w:color w:val="000000"/>
          <w:sz w:val="24"/>
          <w:szCs w:val="24"/>
        </w:rPr>
        <w:t xml:space="preserve">This objective has been substantially realised in the current implementation. In particular, the prototype enforces the temporal validity window at every access decision through the predicate VT, records notBefore and expiry on-chain within the consent token, implements end-to-end revocation including an on-chain revoke transaction, and manages the consent through an explicit lifecycle state machine. The remaining work therefore concerns hardening these controls rather than introducing them.</w:t>
      </w:r>
    </w:p>
    <w:p>
      <w:pPr>
        <w:spacing w:after="140" w:line="300"/>
        <w:jc w:val="both"/>
      </w:pPr>
      <w:r>
        <w:rPr>
          <w:rFonts w:ascii="Cambria" w:cs="Cambria" w:eastAsia="Cambria" w:hAnsi="Cambria"/>
          <w:sz w:val="24"/>
          <w:szCs w:val="24"/>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spacing w:after="140" w:line="300"/>
        <w:jc w:val="both"/>
      </w:pPr>
      <w:r>
        <w:rPr>
          <w:rFonts w:ascii="Cambria" w:cs="Cambria" w:eastAsia="Cambria" w:hAnsi="Cambria"/>
          <w:sz w:val="24"/>
          <w:szCs w:val="24"/>
        </w:rPr>
        <w:t xml:space="preserve">RO5 addresses RQ5 and extends the foundational current stage authorisation model into a dynamic consent environment. Whereas current stage establishes whether an authorisation can be considered valid under the defined identity, approval, and policy conditions, RO5 investigates whether that authorisation remains valid as time passes and as the consent state changes.</w:t>
      </w:r>
    </w:p>
    <w:p>
      <w:pPr>
        <w:pStyle w:val="Heading2"/>
        <w:spacing w:after="160" w:before="280"/>
      </w:pPr>
      <w:r>
        <w:t xml:space="preserve">4.6  RO6 - Formal Security Assurance and Empirical Validation</w:t>
      </w:r>
    </w:p>
    <w:p>
      <w:pPr>
        <w:spacing w:after="140" w:line="300"/>
        <w:jc w:val="both"/>
      </w:pPr>
      <w:r>
        <w:rPr>
          <w:rFonts w:ascii="Cambria" w:cs="Cambria" w:eastAsia="Cambria" w:hAnsi="Cambria"/>
          <w:color w:val="000000"/>
          <w:sz w:val="24"/>
          <w:szCs w:val="24"/>
        </w:rPr>
        <w:t xml:space="preserve">The empirical component has been partially delivered: 23 automated tests exercise per-dimension denial, signature rejection and proof tampering; a live out-of-jurisdiction request was refused on the deployed Sepolia contract; and an independent tool re-verified every recorded transaction against the chain. Consequently, the complete formal analysis, whether through proofs or model checking of the stated properties, remains the subject of the next stage research.</w:t>
      </w:r>
    </w:p>
    <w:p>
      <w:pPr>
        <w:spacing w:after="140" w:line="300"/>
        <w:jc w:val="both"/>
      </w:pPr>
      <w:r>
        <w:rPr>
          <w:rFonts w:ascii="Cambria" w:cs="Cambria" w:eastAsia="Cambria" w:hAnsi="Cambria"/>
          <w:sz w:val="24"/>
          <w:szCs w:val="24"/>
        </w:rPr>
        <w:t xml:space="preserve">The sixth research objective is to formally analyse and empirically evaluate whether the implemented framework satisfies its defined trust and authorisation properties under representative healthcare data-sharing scenarios.</w:t>
      </w:r>
    </w:p>
    <w:p>
      <w:pPr>
        <w:spacing w:after="140" w:line="300"/>
        <w:jc w:val="both"/>
      </w:pPr>
      <w:r>
        <w:rPr>
          <w:rFonts w:ascii="Cambria" w:cs="Cambria" w:eastAsia="Cambria" w:hAnsi="Cambria"/>
          <w:sz w:val="24"/>
          <w:szCs w:val="24"/>
        </w:rPr>
        <w:t xml:space="preserve">RO6 addresses 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spacing w:after="140" w:line="300"/>
        <w:jc w:val="both"/>
      </w:pPr>
      <w:r>
        <w:rPr>
          <w:rFonts w:ascii="Cambria" w:cs="Cambria" w:eastAsia="Cambria" w:hAnsi="Cambria"/>
          <w:color w:val="000000"/>
          <w:sz w:val="24"/>
          <w:szCs w:val="24"/>
        </w:rPr>
        <w:t xml:space="preserve">The empirical component has been executed against the demonstrated prototype. In particular, 23 automated tests cover per-dimension failures of the decision matrix, rejection of invalid EIP-712 signatures, and zero-knowledge tamper and expiry cases; the live demonstration includes a jurisdiction-based denial and a revocation followed by refusal; and an independent verification tool re-checks every ledger transaction against Sepolia receipts, reporting ALL CHECKS PASSED.</w:t>
      </w:r>
    </w:p>
    <w:p>
      <w:pPr>
        <w:spacing w:after="140" w:line="300"/>
        <w:jc w:val="both"/>
      </w:pPr>
      <w:r>
        <w:rPr>
          <w:rFonts w:ascii="Cambria" w:cs="Cambria" w:eastAsia="Cambria" w:hAnsi="Cambria"/>
          <w:sz w:val="24"/>
          <w:szCs w:val="24"/>
        </w:rP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spacing w:after="140" w:line="300"/>
        <w:jc w:val="both"/>
      </w:pPr>
      <w:r>
        <w:rPr>
          <w:rFonts w:ascii="Cambria" w:cs="Cambria" w:eastAsia="Cambria" w:hAnsi="Cambria"/>
          <w:sz w:val="24"/>
          <w:szCs w:val="24"/>
        </w:rPr>
        <w:t xml:space="preserve">RO6 therefore represents the transition from establishing the authorisation model to providing evidence for its security and practical effectiveness.</w:t>
      </w:r>
    </w:p>
    <w:p>
      <w:pPr>
        <w:pStyle w:val="Heading2"/>
        <w:spacing w:after="160" w:before="280"/>
      </w:pPr>
      <w:r>
        <w:t xml:space="preserve">4.7  Relationship Between Research Questions and Objectives</w:t>
      </w:r>
    </w:p>
    <w:p>
      <w:pPr>
        <w:spacing w:after="140" w:line="300"/>
        <w:jc w:val="both"/>
      </w:pPr>
      <w:r>
        <w:rPr>
          <w:rFonts w:ascii="Cambria" w:cs="Cambria" w:eastAsia="Cambria" w:hAnsi="Cambria"/>
          <w:color w:val="000000"/>
          <w:sz w:val="24"/>
          <w:szCs w:val="24"/>
        </w:rPr>
        <w:t xml:space="preserve">The relationship between the six research questions and the six research objectives is summarised in Table 3 and Table 4.</w:t>
      </w:r>
    </w:p>
    <w:p>
      <w:pPr>
        <w:spacing w:after="140" w:line="300"/>
        <w:jc w:val="both"/>
      </w:pPr>
      <w:r>
        <w:rPr>
          <w:rFonts w:ascii="Cambria" w:cs="Cambria" w:eastAsia="Cambria" w:hAnsi="Cambria"/>
          <w:sz w:val="24"/>
          <w:szCs w:val="24"/>
        </w:rPr>
        <w:t xml:space="preserve">The relationship between the six research questions and the six research objectives is</w:t>
      </w:r>
    </w:p>
    <w:p>
      <w:pPr>
        <w:spacing w:after="140" w:line="300"/>
        <w:jc w:val="both"/>
      </w:pPr>
      <w:r>
        <w:rPr>
          <w:rFonts w:ascii="Cambria" w:cs="Cambria" w:eastAsia="Cambria" w:hAnsi="Cambria"/>
          <w:sz w:val="24"/>
          <w:szCs w:val="24"/>
        </w:rPr>
        <w:t xml:space="preserve">RO5 and RO6 constitute the principal research agenda for CA3. RO5 extends the authorisation model with temporal and lifecycle trust, while RO6 provides formal security assurance and comprehensive empirical validation. The distinction between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and </w:t>
      </w:r>
      <w:r>
        <w:rPr>
          <w:rFonts w:ascii="Cambria" w:cs="Cambria" w:eastAsia="Cambria" w:hAnsi="Cambria"/>
          <w:color w:val="000000"/>
          <w:sz w:val="24"/>
          <w:szCs w:val="24"/>
        </w:rPr>
        <w:t xml:space="preserve">the</w:t>
      </w:r>
      <w:r>
        <w:rPr>
          <w:rFonts w:ascii="Cambria" w:cs="Cambria" w:eastAsia="Cambria" w:hAnsi="Cambria"/>
          <w:sz w:val="24"/>
          <w:szCs w:val="24"/>
        </w:rPr>
        <w:t xml:space="preserve"> next stage is therefore based on research scope and maturity rather than on a different set of research questions or objectives. Current stage establishes the foundational mechanisms and their conceptual relationships, whereas next stage investigates whether these mechanisms remain</w:t>
      </w:r>
    </w:p>
    <w:p>
      <w:pPr>
        <w:spacing w:after="140" w:line="300"/>
        <w:jc w:val="both"/>
      </w:pPr>
      <w:r>
        <w:rPr>
          <w:rFonts w:ascii="Cambria" w:cs="Cambria" w:eastAsia="Cambria" w:hAnsi="Cambria"/>
          <w:color w:val="000000"/>
          <w:sz w:val="24"/>
          <w:szCs w:val="24"/>
        </w:rPr>
        <w:t xml:space="preserve">The current stage delivers RO1–RO5 in operational form together with the empirical component of RO6, including negative and adversarial testing. Consequently, the principal remaining agenda for CA3 is the formal component of RO6, namely the formal specification and analysis of the security properties, together with the identified prototype hardening.</w:t>
      </w:r>
    </w:p>
    <w:p>
      <w:pPr>
        <w:keepNext/>
        <w:spacing w:after="80" w:before="160"/>
        <w:jc w:val="center"/>
      </w:pPr>
      <w:r>
        <w:rPr>
          <w:rFonts w:ascii="Cambria" w:cs="Cambria" w:eastAsia="Cambria" w:hAnsi="Cambria"/>
          <w:b/>
          <w:bCs/>
          <w:sz w:val="21"/>
          <w:szCs w:val="21"/>
        </w:rPr>
        <w:t xml:space="preserve">Table 3: </w:t>
      </w:r>
      <w:r>
        <w:rPr>
          <w:rFonts w:ascii="Cambria" w:cs="Cambria" w:eastAsia="Cambria" w:hAnsi="Cambria"/>
          <w:sz w:val="21"/>
          <w:szCs w:val="21"/>
        </w:rPr>
        <w:t xml:space="preserve">Research Questions, Research Objectives, and Thesis Chapters for Current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consent representation that treats patient consent as a policy-bound authorisation object containing identity information, authority requirements, policy constraints, and authorisation evidence.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3</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DIDs and VCs while explicitly separating identity authentication from authorisation authority.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3</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authorisation through independently verified participants and threshold-based approval mechanisms, thereby preventing unilateral authorisation when collective approval is required.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4</w:t>
            </w:r>
          </w:p>
        </w:tc>
      </w:tr>
    </w:tbl>
    <w:p>
      <w:pPr>
        <w:spacing w:after="180"/>
      </w:pPr>
    </w:p>
    <w:p>
      <w:pPr>
        <w:keepNext/>
        <w:spacing w:after="80" w:before="160"/>
        <w:jc w:val="center"/>
      </w:pPr>
      <w:r>
        <w:rPr>
          <w:rFonts w:ascii="Cambria" w:cs="Cambria" w:eastAsia="Cambria" w:hAnsi="Cambria"/>
          <w:b/>
          <w:bCs/>
          <w:sz w:val="21"/>
          <w:szCs w:val="21"/>
        </w:rPr>
        <w:t xml:space="preserve">Table 4: </w:t>
      </w:r>
      <w:r>
        <w:rPr>
          <w:rFonts w:ascii="Cambria" w:cs="Cambria" w:eastAsia="Cambria" w:hAnsi="Cambria"/>
          <w:sz w:val="21"/>
          <w:szCs w:val="21"/>
        </w:rPr>
        <w:t xml:space="preserve">Research Questions, Research Objectives, and Thesis Chapters for CA3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Enforce purpose and healthcare data-scope constraints as explicit and evaluable conditions of access, ensuring that valid identities and sufficient approvals cannot be used outside the authorised scope.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Temporal validity, expiration, revocation and controlled state transitions, enforced in the current prototype and anchored on-chain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Formal analysis of the security properties (next stage), building upon the empirical negative and adversarial testing already performed with the HALAH prototype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5</w:t>
            </w:r>
          </w:p>
        </w:tc>
      </w:tr>
    </w:tbl>
    <w:p>
      <w:pPr>
        <w:spacing w:after="180"/>
      </w:pPr>
    </w:p>
    <w:p>
      <w:pPr>
        <w:spacing w:after="140" w:line="300"/>
        <w:jc w:val="both"/>
      </w:pPr>
      <w:r>
        <w:rPr>
          <w:rFonts w:ascii="Cambria" w:cs="Cambria" w:eastAsia="Cambria" w:hAnsi="Cambria"/>
          <w:sz w:val="24"/>
          <w:szCs w:val="24"/>
        </w:rPr>
        <w:t xml:space="preserve">reliable under dynamic lifecycle conditions and whether their security and practical effectiveness can be formally and empirically demonstrated. 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through which these conditions can be represented, evaluated, enforced, and ultimately validated in a decentralised healthcare data-sharing environment. For the foundational current stage model, the authorisation decision is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(29)</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VI ∧ VA ∧ VP ∧ VT ∧ VL</w:t>
      </w:r>
    </w:p>
    <w:p>
      <w:pPr>
        <w:spacing w:after="140" w:line="300"/>
        <w:jc w:val="both"/>
      </w:pPr>
      <w:r>
        <w:rPr>
          <w:rFonts w:ascii="Cambria" w:cs="Cambria" w:eastAsia="Cambria" w:hAnsi="Cambria"/>
          <w:color w:val="000000"/>
          <w:sz w:val="24"/>
          <w:szCs w:val="24"/>
        </w:rPr>
        <w:t xml:space="preserve">This five-predicate conjunction constitutes the decision rule of the implemented Consent Engine and is applied consistently throughout this chapter; the earlier three-predicate formulation represents an initial design iteration that has since been superseded by the implementation.</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authorisation threshold, and VP (C, R) represents compliance between the access request and the consent policy. The next stage research will extend this decision model by incorporating temporal and lifecycle conditions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(30)</w:t>
      </w:r>
    </w:p>
    <w:p>
      <w:pPr>
        <w:spacing w:after="140" w:line="300"/>
        <w:jc w:val="both"/>
      </w:pPr>
      <w:r>
        <w:rPr>
          <w:rFonts w:ascii="Cambria" w:cs="Cambria" w:eastAsia="Cambria" w:hAnsi="Cambria"/>
          <w:sz w:val="24"/>
          <w:szCs w:val="24"/>
        </w:rPr>
        <w:t xml:space="preserve">where VT (C, t) represents temporal validity and VL (C) represents the validity of the consent lifecycle state and its transitions. This extension provides a consistent connection between the foundational current stage objectives and the planned next research on dynamic trust, formal assurance, and comprehensive validation.</w:t>
      </w:r>
    </w:p>
    <w:p>
      <w:pPr>
        <w:pStyle w:val="Heading1"/>
        <w:pageBreakBefore/>
        <w:spacing w:after="160" w:before="400"/>
      </w:pPr>
      <w:r>
        <w:t xml:space="preserve">5  Research Architecture: MVC</w:t>
      </w:r>
    </w:p>
    <w:p>
      <w:pPr>
        <w:spacing w:after="140" w:line="300"/>
        <w:jc w:val="both"/>
      </w:pPr>
      <w:r>
        <w:rPr>
          <w:rFonts w:ascii="Cambria" w:cs="Cambria" w:eastAsia="Cambria" w:hAnsi="Cambria"/>
          <w:sz w:val="24"/>
          <w:szCs w:val="24"/>
        </w:rP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 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 The proposed architecture therefore distinguishes three complementary responsibilities. The Model represents the security and governance state of the system, including identities, credentials, consent objects, authorisation requirements, policies, approval evidence, and healthcare data scopes. The View provides controlled interaction mechanisms through which independent participants can create, inspect, approve, or exercise consent-related operations. The Controller acts as the trusted decision coordination layer responsible for validating identity,</w:t>
      </w:r>
    </w:p>
    <w:p>
      <w:pPr>
        <w:spacing w:after="140" w:line="300"/>
        <w:jc w:val="both"/>
      </w:pPr>
      <w:r>
        <w:rPr>
          <w:rFonts w:ascii="Cambria" w:cs="Cambria" w:eastAsia="Cambria" w:hAnsi="Cambria"/>
          <w:sz w:val="24"/>
          <w:szCs w:val="24"/>
        </w:rPr>
        <w:t xml:space="preserve">evaluating authority, aggregating multi-party approval evidence, enforcing policy constraints, and determining whether a requested healthcare data operation should be permitted. 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 what consent represents, how stakeholders interact with it, and how trust is enforced.</w:t>
      </w:r>
    </w:p>
    <w:p>
      <w:pPr>
        <w:pStyle w:val="Heading2"/>
        <w:spacing w:after="160" w:before="280"/>
      </w:pPr>
      <w:r>
        <w:t xml:space="preserve">5.1  MVC Layered Architecture and Component Decomposition</w:t>
      </w:r>
    </w:p>
    <w:p>
      <w:pPr>
        <w:spacing w:after="140" w:line="300"/>
        <w:jc w:val="both"/>
      </w:pPr>
      <w:r>
        <w:rPr>
          <w:rFonts w:ascii="Cambria" w:cs="Cambria" w:eastAsia="Cambria" w:hAnsi="Cambria"/>
          <w:sz w:val="24"/>
          <w:szCs w:val="24"/>
        </w:rP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 At the highest level, the architecture consists of three complementary layers: the View Layer, the Controller Layer, and the Model Layer.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 Figure 6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 The protected healthcare data are deliberately positioned outside the three MVC layers as a protected resource. This distinction is important because healthcare data should not be</w:t>
      </w:r>
    </w:p>
    <w:p>
      <w:pPr>
        <w:keepNext/>
        <w:spacing w:after="60" w:before="140"/>
        <w:jc w:val="center"/>
      </w:pPr>
      <w:r>
        <w:drawing>
          <wp:inline distT="0" distB="0" distL="0" distR="0">
            <wp:extent cx="5715000" cy="3543300"/>
            <wp:effectExtent t="0" r="0" b="0" l="0"/>
            <wp:docPr id="1" name="fig3.png" descr="Figure 6: Layered MVC Architecture and Component Decomposition of the HALAH Framework" title="Figure 6: 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6: Layered MVC Architecture and Component Decomposition of the HALAH Framework</w:t>
      </w:r>
    </w:p>
    <w:p>
      <w:pPr>
        <w:jc w:val="center"/>
      </w:pPr>
      <w:r>
        <w:rPr>
          <w:rFonts w:ascii="Cambria" w:cs="Cambria" w:eastAsia="Cambria" w:hAnsi="Cambria"/>
          <w:i/>
          <w:iCs/>
          <w:sz w:val="20"/>
          <w:szCs w:val="20"/>
        </w:rPr>
        <w:t xml:space="preserve">[Figure 6: Layered MVC Architecture and Component Decomposition of the HALAH Framework]</w:t>
      </w:r>
    </w:p>
    <w:p>
      <w:pPr>
        <w:spacing w:after="140" w:line="300"/>
        <w:jc w:val="both"/>
      </w:pPr>
      <w:r>
        <w:rPr>
          <w:rFonts w:ascii="Cambria" w:cs="Cambria" w:eastAsia="Cambria" w:hAnsi="Cambria"/>
          <w:color w:val="000000"/>
          <w:sz w:val="24"/>
          <w:szCs w:val="24"/>
        </w:rPr>
        <w:t xml:space="preserve">The Controller layer additionally incorporates a ZK Proof Service, responsible for Groth16 proof generation and verification and feeding directly into the Authorisation Decision, together with an On-chain Anchor Service that performs asynchronous minting and revocation; correspondingly, the Model layer contains the ConsentSBTv3 contract deployed on Sepolia alongside the SQLite Audit Ledger, a revocation path flows from the Patient interface through the Controller to both the ledger and the contract, and an external independent verifier, verify_poc, reads from both the audit ledger and the Sepolia chain.</w:t>
      </w:r>
    </w:p>
    <w:p>
      <w:pPr>
        <w:spacing w:after="140" w:line="300"/>
        <w:jc w:val="both"/>
      </w:pPr>
      <w:r>
        <w:rPr>
          <w:rFonts w:ascii="Cambria" w:cs="Cambria" w:eastAsia="Cambria" w:hAnsi="Cambria"/>
          <w:color w:val="000000"/>
          <w:sz w:val="24"/>
          <w:szCs w:val="24"/>
        </w:rPr>
        <w:t xml:space="preserve">It should be acknowledged that, in the present prototype, credential verification consists of a structural well-formedness check on each DID, and the requester's role and jurisdiction are self-declared. This is important because wallet-held signing keys and authenticated verifiable credentials are deferred to the production design and are therefore identified as future work.</w:t>
      </w:r>
    </w:p>
    <w:p>
      <w:pPr>
        <w:spacing w:after="140" w:line="300"/>
        <w:jc w:val="both"/>
      </w:pPr>
      <w:r>
        <w:rPr>
          <w:rFonts w:ascii="Cambria" w:cs="Cambria" w:eastAsia="Cambria" w:hAnsi="Cambria"/>
          <w:sz w:val="24"/>
          <w:szCs w:val="24"/>
        </w:rPr>
        <w:t xml:space="preserve">treated as ordinary application state that can be directly manipulated by the View. Instead, access to the protected resource is mediated by the Controller after the relevant trust conditions have been evaluated.</w:t>
      </w:r>
    </w:p>
    <w:p>
      <w:pPr>
        <w:pStyle w:val="Heading3"/>
        <w:spacing w:after="160" w:before="280"/>
      </w:pPr>
      <w:r>
        <w:t xml:space="preserve">5.1.1  MVC Component Decomposition</w:t>
      </w:r>
    </w:p>
    <w:p>
      <w:pPr>
        <w:spacing w:after="140" w:line="300"/>
        <w:jc w:val="both"/>
      </w:pPr>
      <w:r>
        <w:rPr>
          <w:rFonts w:ascii="Cambria" w:cs="Cambria" w:eastAsia="Cambria" w:hAnsi="Cambria"/>
          <w:color w:val="000000"/>
          <w:sz w:val="24"/>
          <w:szCs w:val="24"/>
        </w:rPr>
        <w:t xml:space="preserve">The Controller layer therefore comprises eight principal functions, the two additional functions being Cryptographic Proof Generation and Verification, realised through the Groth16 proving system, and On-chain Anchoring and State Synchronisation, which performs the Sepolia mint and revoke operations as a background process; the Controller row of Figure 7 reflects these eight functions accordingly.</w:t>
      </w:r>
    </w:p>
    <w:p>
      <w:pPr>
        <w:spacing w:after="140" w:line="300"/>
        <w:jc w:val="both"/>
      </w:pPr>
      <w:r>
        <w:rPr>
          <w:rFonts w:ascii="Cambria" w:cs="Cambria" w:eastAsia="Cambria" w:hAnsi="Cambria"/>
          <w:sz w:val="24"/>
          <w:szCs w:val="24"/>
        </w:rPr>
        <w:t xml:space="preserve">The three architectural layers are further decomposed into functional components, each corresponding to a distinct responsibility within the trust-oriented authorisation process. Figure 7 presents this decomposition. The View is decomposed according to the principal stakeholder</w:t>
      </w:r>
    </w:p>
    <w:p>
      <w:pPr>
        <w:keepNext/>
        <w:spacing w:after="60" w:before="140"/>
        <w:jc w:val="center"/>
      </w:pPr>
      <w:r>
        <w:drawing>
          <wp:inline distT="0" distB="0" distL="0" distR="0">
            <wp:extent cx="5715000" cy="2171700"/>
            <wp:effectExtent t="0" r="0" b="0" l="0"/>
            <wp:docPr id="1" name="fig4.png" descr="Figure 7: Functional Decomposition of the MVC Components" title="Figure 7: 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7: Functional Decomposition of the MVC Components</w:t>
      </w:r>
    </w:p>
    <w:p>
      <w:pPr>
        <w:jc w:val="center"/>
      </w:pPr>
      <w:r>
        <w:rPr>
          <w:rFonts w:ascii="Cambria" w:cs="Cambria" w:eastAsia="Cambria" w:hAnsi="Cambria"/>
          <w:i/>
          <w:iCs/>
          <w:sz w:val="20"/>
          <w:szCs w:val="20"/>
        </w:rPr>
        <w:t xml:space="preserve">[Figure 7: Functional Decomposition of the MVC Components]</w:t>
      </w:r>
    </w:p>
    <w:p>
      <w:pPr>
        <w:spacing w:after="140" w:line="300"/>
        <w:jc w:val="both"/>
      </w:pPr>
      <w:r>
        <w:rPr>
          <w:rFonts w:ascii="Cambria" w:cs="Cambria" w:eastAsia="Cambria" w:hAnsi="Cambria"/>
          <w:sz w:val="24"/>
          <w:szCs w:val="24"/>
        </w:rPr>
        <w:t xml:space="preserve">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w:t>
      </w:r>
    </w:p>
    <w:p>
      <w:pPr>
        <w:spacing w:after="140" w:line="300"/>
        <w:jc w:val="both"/>
      </w:pPr>
      <w:r>
        <w:rPr>
          <w:rFonts w:ascii="Cambria" w:cs="Cambria" w:eastAsia="Cambria" w:hAnsi="Cambria"/>
          <w:sz w:val="24"/>
          <w:szCs w:val="24"/>
        </w:rPr>
        <w:t xml:space="preserve">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 This decomposition establishes an explicit distinction between state, interaction, and enforcement. The Model stores and represents security-relevant state, the View expresses stakeholder actions, and the Controller determines whether those actions satisfy the required trust conditions.</w:t>
      </w:r>
    </w:p>
    <w:p>
      <w:pPr>
        <w:pStyle w:val="Heading3"/>
        <w:spacing w:after="160" w:before="280"/>
      </w:pPr>
      <w:r>
        <w:t xml:space="preserve">5.1.2  Trust Evaluation Across the MVC Layers</w:t>
      </w:r>
    </w:p>
    <w:p>
      <w:pPr>
        <w:spacing w:after="140" w:line="300"/>
        <w:jc w:val="both"/>
      </w:pPr>
      <w:r>
        <w:rPr>
          <w:rFonts w:ascii="Cambria" w:cs="Cambria" w:eastAsia="Cambria" w:hAnsi="Cambria"/>
          <w:sz w:val="24"/>
          <w:szCs w:val="24"/>
        </w:rPr>
        <w:t xml:space="preserve">The architectural layers cooperate through a controlled authorisation sequence rather than through unrestricted direct communication. The relationship between the MVC components and the trust predicates introduced by SRQ1–SRQ5 is illustrated in Figure 8. Figure 8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 The first condition, VI (u), determines whether the requesting participant possesses valid identity and authority evidence. The second condition, VA (C), determines whether the required independently verified participants have collectively satisfied the authorisation threshold. The third condition, VP (C, R), determines whether the requested operation complies with the consent policy, including purpose and data-scope restrictions. The fourth condition, VT (C, t), determines whether the consent remains valid at the time of the request. The fifth condition,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determines whether the jurisdictional constraint recorded in the consent is satisfied; lifecycle validity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sz w:val="24"/>
          <w:szCs w:val="24"/>
        </w:rPr>
        <w:t xml:space="preserve">. The integrated decision can therefore be expressed as</w:t>
      </w:r>
    </w:p>
    <w:p>
      <w:pPr>
        <w:spacing w:after="140" w:line="300"/>
        <w:jc w:val="both"/>
      </w:pP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j) verifies that the jurisdiction j declared by the requester matches the jurisdiction L recorded within the consent object. This distinction is important because revocation and lifecycle state are not enforced by this function but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Consequently, the corresponding component in Figure 8 is depicted as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j), the jurisdiction verification function, rather than as a lifecycle check.</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(31)</w:t>
      </w:r>
    </w:p>
    <w:p>
      <w:pPr>
        <w:spacing w:after="140" w:line="300"/>
        <w:jc w:val="both"/>
      </w:pPr>
      <w:r>
        <w:rPr>
          <w:rFonts w:ascii="Cambria" w:cs="Cambria" w:eastAsia="Cambria" w:hAnsi="Cambria"/>
          <w:sz w:val="24"/>
          <w:szCs w:val="24"/>
        </w:rPr>
        <w:t xml:space="preserve">The Controller does not itself create these trust conditions. Instead, it evaluates evidence represented by the Model and coordinates the resulting decision. This distinction is important for the interpretation of the architecture: the Controller is a decision-enforcement mechanism, whereas the Model is a representation of trust and governance state. If any required predicate evaluates to false, the decision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(32)</w:t>
      </w:r>
    </w:p>
    <w:p>
      <w:pPr>
        <w:keepNext/>
        <w:spacing w:after="60" w:before="140"/>
        <w:jc w:val="center"/>
      </w:pPr>
      <w:r>
        <w:drawing>
          <wp:inline distT="0" distB="0" distL="0" distR="0">
            <wp:extent cx="3619500" cy="5114925"/>
            <wp:effectExtent t="0" r="0" b="0" l="0"/>
            <wp:docPr id="1" name="fig5.png" descr="Figure 8: Trust Predicate Evaluation and Authorisation Decision Flow" title="Figure 8: Trust Predicate Evaluation and Authoris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5114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8: Trust Predicate Evaluation and Authorisation Decision Flow</w:t>
      </w:r>
    </w:p>
    <w:p>
      <w:pPr>
        <w:jc w:val="center"/>
      </w:pPr>
      <w:r>
        <w:rPr>
          <w:rFonts w:ascii="Cambria" w:cs="Cambria" w:eastAsia="Cambria" w:hAnsi="Cambria"/>
          <w:i/>
          <w:iCs/>
          <w:sz w:val="20"/>
          <w:szCs w:val="20"/>
        </w:rPr>
        <w:t xml:space="preserve">[Figure 8: Trust Predicate Evaluation and Authorisation Decision Flow]</w:t>
      </w:r>
    </w:p>
    <w:p>
      <w:pPr>
        <w:spacing w:after="140" w:line="300"/>
        <w:jc w:val="both"/>
      </w:pPr>
      <w:r>
        <w:rPr>
          <w:rFonts w:ascii="Cambria" w:cs="Cambria" w:eastAsia="Cambria" w:hAnsi="Cambria"/>
          <w:sz w:val="24"/>
          <w:szCs w:val="24"/>
        </w:rPr>
        <w:t xml:space="preserve">Both successful and unsuccessful decisions are subsequently associated with authorisation evidence. This ensures that the architecture supports not only access enforcement but also accountability and subsequent verification.</w:t>
      </w:r>
    </w:p>
    <w:p>
      <w:pPr>
        <w:pStyle w:val="Heading3"/>
        <w:spacing w:after="160" w:before="280"/>
      </w:pPr>
      <w:r>
        <w:t xml:space="preserve">5.1.3  Relationship Between MVC Layers and Research Questions</w:t>
      </w:r>
    </w:p>
    <w:p>
      <w:pPr>
        <w:spacing w:after="140" w:line="300"/>
        <w:jc w:val="both"/>
      </w:pPr>
      <w:r>
        <w:rPr>
          <w:rFonts w:ascii="Cambria" w:cs="Cambria" w:eastAsia="Cambria" w:hAnsi="Cambria"/>
          <w:sz w:val="24"/>
          <w:szCs w:val="24"/>
        </w:rP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 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relationship can therefore be summarised as </w:t>
      </w:r>
      <w:r>
        <w:rPr>
          <w:rFonts w:ascii="Cambria" w:cs="Cambria" w:eastAsia="Cambria" w:hAnsi="Cambria"/>
          <w:color w:val="000000"/>
          <w:sz w:val="24"/>
          <w:szCs w:val="24"/>
        </w:rPr>
        <w:t xml:space="preserve">follows</w:t>
      </w:r>
    </w:p>
    <w:p>
      <w:pPr>
        <w:tabs>
          <w:tab w:val="right" w:pos="9360"/>
        </w:tabs>
        <w:spacing w:after="160" w:before="60"/>
        <w:jc w:val="center"/>
      </w:pPr>
      <w:r>
        <w:rPr>
          <w:rFonts w:ascii="Cambria Math" w:cs="Cambria Math" w:eastAsia="Cambria Math" w:hAnsi="Cambria Math"/>
          <w:i/>
          <w:iCs/>
          <w:sz w:val="22"/>
          <w:szCs w:val="22"/>
        </w:rPr>
        <w:t xml:space="preserve">SRQ1 → Model; SRQ2 → Model + Controller; SRQ3 → Controller; SRQ4 → Model + Controller; SRQ5 → Model + Controller; SRQ6 → Model + View + Controller.</w:t>
      </w:r>
    </w:p>
    <w:p>
      <w:pPr>
        <w:spacing w:after="140" w:line="300"/>
        <w:jc w:val="both"/>
      </w:pPr>
      <w:r>
        <w:rPr>
          <w:rFonts w:ascii="Cambria" w:cs="Cambria" w:eastAsia="Cambria" w:hAnsi="Cambria"/>
          <w:sz w:val="24"/>
          <w:szCs w:val="24"/>
        </w:rP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p>
      <w:pPr>
        <w:pStyle w:val="Heading3"/>
        <w:spacing w:after="160" w:before="280"/>
      </w:pPr>
      <w:r>
        <w:t xml:space="preserve">5.1.4  Architectural Boundary and Trust Assumptions</w:t>
      </w:r>
    </w:p>
    <w:p>
      <w:pPr>
        <w:spacing w:after="140" w:line="300"/>
        <w:jc w:val="both"/>
      </w:pPr>
      <w:r>
        <w:rPr>
          <w:rFonts w:ascii="Cambria" w:cs="Cambria" w:eastAsia="Cambria" w:hAnsi="Cambria"/>
          <w:sz w:val="24"/>
          <w:szCs w:val="24"/>
        </w:rP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spacing w:after="140" w:line="300"/>
        <w:jc w:val="both"/>
      </w:pPr>
      <w:r>
        <w:rPr>
          <w:rFonts w:ascii="Cambria" w:cs="Cambria" w:eastAsia="Cambria" w:hAnsi="Cambria"/>
          <w:sz w:val="24"/>
          <w:szCs w:val="24"/>
        </w:rP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 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p>
      <w:pPr>
        <w:pStyle w:val="Heading2"/>
        <w:spacing w:after="160" w:before="280"/>
      </w:pPr>
      <w:r>
        <w:t xml:space="preserve">5.2  Trust-Oriented Consent Authorisation Workflow</w:t>
      </w:r>
    </w:p>
    <w:p>
      <w:pPr>
        <w:spacing w:after="140" w:line="300"/>
        <w:jc w:val="both"/>
      </w:pPr>
      <w:r>
        <w:rPr>
          <w:rFonts w:ascii="Cambria" w:cs="Cambria" w:eastAsia="Cambria" w:hAnsi="Cambria"/>
          <w:sz w:val="24"/>
          <w:szCs w:val="24"/>
        </w:rPr>
        <w:t xml:space="preserve">Figure 9 presents the end-to-end workflow of the proposed trust-oriented patient consent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 The workflow operationalizes the central premise of this research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Accordingly, the proposed workflow transforms a patient’s consent from a static permission record into an evaluable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object that can be verified before healthcare data are released. The workflow begins when the patient creates a consent request and specifies the conditions under which healthcare data may be accessed. The consent specification defines the intended purpose, permitted data scope, and other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conditions. This step establishes what the patient intends to authorize and provides the policy context against which subsequent access requests can be evaluated. Therefore, consent is not represented merely as an approval flag, but as a structured object containing the information required for subsequent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decisions. The next stage performs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authority verification using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Identifiers (DIDs) and Verifiable Credentials (VCs). The purpose of this stage is to establish both the identity of the participant and the evidence supporting the participant’s claimed role or authority. Importantly, the framework explicitly separates identity authentication from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authorized participant. After identity and authority verification, the framework identifies the participants required to establish the consent decision.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requirement may involve multiple independent participants, such as a patient together with one or more guardians or other authorized parties. The framework then collects their independent approvals and evaluates whether the predefined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has been satisfied. Let Av denote the set of successfully verified approvals and let N denote the required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is satisfied when</w:t>
      </w:r>
    </w:p>
    <w:p>
      <w:pPr>
        <w:keepNext/>
        <w:spacing w:after="60" w:before="140"/>
        <w:jc w:val="center"/>
      </w:pPr>
      <w:r>
        <w:drawing>
          <wp:inline distT="0" distB="0" distL="0" distR="0">
            <wp:extent cx="4000500" cy="6181725"/>
            <wp:effectExtent t="0" r="0" b="0" l="0"/>
            <wp:docPr id="1" name="fig6.png" descr="Figure 9: End-to-End Workflow of Trust-Oriented Consent Authorisation Framework" title="Figure 9: End-to-End Workflow of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6181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9: End-to-End Workflow of Trust-Oriented Consent Authorisation Framework</w:t>
      </w:r>
    </w:p>
    <w:p>
      <w:pPr>
        <w:jc w:val="center"/>
      </w:pPr>
      <w:r>
        <w:rPr>
          <w:rFonts w:ascii="Cambria" w:cs="Cambria" w:eastAsia="Cambria" w:hAnsi="Cambria"/>
          <w:i/>
          <w:iCs/>
          <w:sz w:val="20"/>
          <w:szCs w:val="20"/>
        </w:rPr>
        <w:t xml:space="preserve">[Figure 9: End-to-End Workflow of Trust-Oriented Consent Authorisation Framework]</w:t>
      </w:r>
    </w:p>
    <w:p>
      <w:pPr>
        <w:spacing w:after="140" w:line="300"/>
        <w:jc w:val="both"/>
      </w:pPr>
      <w:r>
        <w:rPr>
          <w:rFonts w:ascii="Cambria" w:cs="Cambria" w:eastAsia="Cambria" w:hAnsi="Cambria"/>
          <w:color w:val="000000"/>
          <w:sz w:val="24"/>
          <w:szCs w:val="24"/>
        </w:rPr>
        <w:t xml:space="preserve">Once all |G| guardians have signed, satisfying the N-of-N condition, the consent token is minted in the local ledger while a background job anchors the mint on Sepolia asynchronously; the temporal check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and the jurisdictional check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are then evaluated before the Authorisation Decision, a Groth16 proof is generated and verified on the ALLOW branch, and after the audit evidence is recorded the flow continues through patient-initiated revocation, the corresponding on-chain revoke transaction, and finally auditor review together with independent verification through verify_poc.</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(33)</w:t>
      </w:r>
    </w:p>
    <w:p>
      <w:pPr>
        <w:spacing w:after="140" w:line="300"/>
        <w:jc w:val="both"/>
      </w:pPr>
      <w:r>
        <w:rPr>
          <w:rFonts w:ascii="Cambria" w:cs="Cambria" w:eastAsia="Cambria" w:hAnsi="Cambria"/>
          <w:color w:val="000000"/>
          <w:sz w:val="24"/>
          <w:szCs w:val="24"/>
        </w:rPr>
        <w:t xml:space="preserve">In the implemented prototype the threshold is fixed at N = |G|, so that every listed guardian must provide a valid approval before activation; the evaluated configuration is therefore 2-of-2. Configurable k-of-n thresholds constitute a direct generalisation that is deferred to future work.</w:t>
      </w:r>
    </w:p>
    <w:p>
      <w:pPr>
        <w:spacing w:after="140" w:line="300"/>
        <w:jc w:val="both"/>
      </w:pPr>
      <w:r>
        <w:rPr>
          <w:rFonts w:ascii="Cambria" w:cs="Cambria" w:eastAsia="Cambria" w:hAnsi="Cambria"/>
          <w:sz w:val="24"/>
          <w:szCs w:val="24"/>
        </w:rPr>
        <w:t xml:space="preserve">If the required threshold is not satisfied,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process terminates with a denial decision. This prevents a single participant from unilaterally establishing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when the consent policy requires collective approval. When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if a consent permits access to Observation, Medication, a request additionally containing Procedure should not be authorized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(34)</w:t>
      </w:r>
    </w:p>
    <w:p>
      <w:pPr>
        <w:spacing w:after="140" w:line="300"/>
        <w:jc w:val="both"/>
      </w:pPr>
      <w:r>
        <w:rPr>
          <w:rFonts w:ascii="Cambria" w:cs="Cambria" w:eastAsia="Cambria" w:hAnsi="Cambria"/>
          <w:sz w:val="24"/>
          <w:szCs w:val="24"/>
        </w:rPr>
        <w:t xml:space="preserve">where SR represents the requested data scope and SC represents the consent-authorized scope. Similarly, the requested purpose must be consistent with the purpose specified in the consent. Consequently, a valid identity and sufficient multi-party approval are necessary but not sufficient conditions for access. The final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is therefore determined by the conjunction of identity and authority verification,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For the current stage scope of the proposed framework, the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(35)</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and VP (C, R) represents compliance between the access request and the consent policy. If any of these conditions is false, the request is denied. Only when all required conditions are satisfied is healthcare data access granted. Finally, the framework records the resulting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evidence in the audit layer. Importantly, both successful and denied decisions should be recorded because a trustworthy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 requires accountability not only for data that were released but also for access attempts that were rejected. The audit evidence can therefore provide a traceable record of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including the relevant consent, participants, policy evaluation, decision outcome, and associated evidence. In this manner, the workflow connects consent specification with identity trust, collective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policy enforcement, and accountability, providing the operational foundation of the proposed trust-oriented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w:t>
      </w:r>
    </w:p>
    <w:p>
      <w:pPr>
        <w:pStyle w:val="Heading2"/>
        <w:spacing w:after="160" w:before="280"/>
      </w:pPr>
      <w:r>
        <w:t xml:space="preserve">5.3  Model: Trust-Aware Consent and Authorisation Representation</w:t>
      </w:r>
    </w:p>
    <w:p>
      <w:pPr>
        <w:spacing w:after="140" w:line="300"/>
        <w:jc w:val="both"/>
      </w:pPr>
      <w:r>
        <w:rPr>
          <w:rFonts w:ascii="Cambria" w:cs="Cambria" w:eastAsia="Cambria" w:hAnsi="Cambria"/>
          <w:color w:val="000000"/>
          <w:sz w:val="24"/>
          <w:szCs w:val="24"/>
        </w:rPr>
        <w:t xml:space="preserve">The implementation realises this representation in full, including temporal validity, expiration, on-chain revocation and an explicit lifecycle state machine. Formal verification of the associated security properties, however, remains a matter for future work.</w:t>
      </w:r>
    </w:p>
    <w:p>
      <w:pPr>
        <w:spacing w:after="140" w:line="300"/>
        <w:jc w:val="both"/>
      </w:pPr>
      <w:r>
        <w:rPr>
          <w:rFonts w:ascii="Cambria" w:cs="Cambria" w:eastAsia="Cambria" w:hAnsi="Cambria"/>
          <w:sz w:val="24"/>
          <w:szCs w:val="24"/>
        </w:rPr>
        <w:t xml:space="preserve">The Model layer represents the persistent security state of the proposed consent-management framework. Rather than treating consent as a simple binary permission, the framework models</w:t>
      </w:r>
    </w:p>
    <w:p>
      <w:pPr>
        <w:spacing w:after="140" w:line="300"/>
        <w:jc w:val="both"/>
      </w:pPr>
      <w:r>
        <w:rPr>
          <w:rFonts w:ascii="Cambria" w:cs="Cambria" w:eastAsia="Cambria" w:hAnsi="Cambria"/>
          <w:sz w:val="24"/>
          <w:szCs w:val="24"/>
        </w:rPr>
        <w:t xml:space="preserve">consent as a structured authorisation object that captures the security conditions under which healthcare data may be accessed. For the </w:t>
      </w:r>
      <w:r>
        <w:rPr>
          <w:rFonts w:ascii="Cambria" w:cs="Cambria" w:eastAsia="Cambria" w:hAnsi="Cambria"/>
          <w:color w:val="000000"/>
          <w:sz w:val="24"/>
          <w:szCs w:val="24"/>
        </w:rPr>
        <w:t xml:space="preserve">current stage</w:t>
      </w:r>
      <w:r>
        <w:rPr>
          <w:rFonts w:ascii="Cambria" w:cs="Cambria" w:eastAsia="Cambria" w:hAnsi="Cambria"/>
          <w:sz w:val="24"/>
          <w:szCs w:val="24"/>
        </w:rPr>
        <w:t xml:space="preserve"> scope, the core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(36)</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 both defined exactly as they are realised in the implementation.</w:t>
      </w:r>
    </w:p>
    <w:p>
      <w:pPr>
        <w:spacing w:after="140" w:line="300"/>
        <w:jc w:val="both"/>
      </w:pPr>
      <w:r>
        <w:rPr>
          <w:rFonts w:ascii="Cambria" w:cs="Cambria" w:eastAsia="Cambria" w:hAnsi="Cambria"/>
          <w:sz w:val="24"/>
          <w:szCs w:val="24"/>
        </w:rPr>
        <w:t xml:space="preserve">where I represents identity-related information associated with the relevant participants, A represents the authorisation requirements that must be satisfied before access can be granted, P represents the policy conditions governing purpose and healthcare data scope, and E represents the evidence generated throughout the authorisation process. The identity component I 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 The authorisation component A defines the conditions under which a consent object may become operational. In particular, it specifies whether a single participant is sufficient or whether multiple independent entities are required to jointly authorise a sensitive healthcare data operation. Let Av denote the set of participants whose identities and authority have been successfully verified, and let N denote the minimum required approval threshold. The authorisation condition can then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(37)</w:t>
      </w:r>
    </w:p>
    <w:p>
      <w:pPr>
        <w:spacing w:after="140" w:line="300"/>
        <w:jc w:val="both"/>
      </w:pPr>
      <w:r>
        <w:rPr>
          <w:rFonts w:ascii="Cambria" w:cs="Cambria" w:eastAsia="Cambria" w:hAnsi="Cambria"/>
          <w:sz w:val="24"/>
          <w:szCs w:val="24"/>
        </w:rPr>
        <w:t xml:space="preserve">This mechanism provides an important departure from conventional consent systems. In a traditional single-owner model, compromise, error, or misuse of one privileged account may be sufficient to produce an authorisation decision. In the proposed framework, trust can instead be distributed across multiple independently verified participants. A sensitive access decision becomes valid only when the defined collective authorisation condition has been satisfied. The policy component P 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 Let SC denote the healthcare data scope authorised by the consent object and SR denote the scope requested by an entity. Policy compliance requires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(38)</w:t>
      </w:r>
    </w:p>
    <w:p>
      <w:pPr>
        <w:spacing w:after="140" w:line="300"/>
        <w:jc w:val="both"/>
      </w:pPr>
      <w:r>
        <w:rPr>
          <w:rFonts w:ascii="Cambria" w:cs="Cambria" w:eastAsia="Cambria" w:hAnsi="Cambria"/>
          <w:sz w:val="24"/>
          <w:szCs w:val="24"/>
        </w:rPr>
        <w:t xml:space="preserve">If the requested data exceeds the authorised scope, the request must be rejected even if the requester has successfully authenticated and the required number of participants has approved the consent. The evidence component E represents the verifiable information generated during the authorisation process. This may include identity-verification results, credential-verification results, approval records, policy-evaluation outcomes, access decisions, and audit events. The purpose of E is not merely to record that a decision occurred, but to provide evidence concerning why the decision was produced.</w:t>
      </w:r>
    </w:p>
    <w:p>
      <w:pPr>
        <w:spacing w:after="140" w:line="300"/>
        <w:jc w:val="both"/>
      </w:pPr>
      <w:r>
        <w:rPr>
          <w:rFonts w:ascii="Cambria" w:cs="Cambria" w:eastAsia="Cambria" w:hAnsi="Cambria"/>
          <w:sz w:val="24"/>
          <w:szCs w:val="24"/>
        </w:rPr>
        <w:t xml:space="preserve">This distinction is particularly important for trustworthy consent governance. A conventional immutable record may demonstrate that a transaction was stored,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pStyle w:val="Heading2"/>
        <w:spacing w:after="160" w:before="280"/>
      </w:pPr>
      <w:r>
        <w:t xml:space="preserve">5.4  View: Controlled Interaction Among Independent Participants</w:t>
      </w:r>
    </w:p>
    <w:p>
      <w:pPr>
        <w:spacing w:after="140" w:line="300"/>
        <w:jc w:val="both"/>
      </w:pPr>
      <w:r>
        <w:rPr>
          <w:rFonts w:ascii="Cambria" w:cs="Cambria" w:eastAsia="Cambria" w:hAnsi="Cambria"/>
          <w:sz w:val="24"/>
          <w:szCs w:val="24"/>
        </w:rP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 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 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 The separation between interaction and enforcement prevents the user interface from becoming the source of trust. A request submitted through the View represents an input to the authorisation process, rather than an authorisation decision itself. The actual security decision remains the responsibility of the Controller. 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p>
      <w:pPr>
        <w:pStyle w:val="Heading2"/>
        <w:spacing w:after="160" w:before="280"/>
      </w:pPr>
      <w:r>
        <w:t xml:space="preserve">5.5  Controller: Trusted Multi-Party Authorisation Enforcement</w:t>
      </w:r>
    </w:p>
    <w:p>
      <w:pPr>
        <w:spacing w:after="140" w:line="300"/>
        <w:jc w:val="both"/>
      </w:pPr>
      <w:r>
        <w:rPr>
          <w:rFonts w:ascii="Cambria" w:cs="Cambria" w:eastAsia="Cambria" w:hAnsi="Cambria"/>
          <w:sz w:val="24"/>
          <w:szCs w:val="24"/>
        </w:rP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 The Controller first evaluates whether the requesting entity and relevant authorisation participants possess valid identities and credentials. Identity verification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(39)</w:t>
      </w:r>
    </w:p>
    <w:p>
      <w:pPr>
        <w:spacing w:after="140" w:line="300"/>
        <w:jc w:val="both"/>
      </w:pPr>
      <w:r>
        <w:rPr>
          <w:rFonts w:ascii="Cambria" w:cs="Cambria" w:eastAsia="Cambria" w:hAnsi="Cambria"/>
          <w:sz w:val="24"/>
          <w:szCs w:val="24"/>
        </w:rPr>
        <w:t xml:space="preserve">where V erif yDID(u) determines whether the decentralised identity of participant u can be verified and V erif yV C(u) determines whether the associated credential provides valid evidence of the relevant authority or role. A central principle of the proposed architecture is that identity verification and authorisation authority are not equivalent. A participant may possess a valid identity while lacking the authority required to access a particular patient’s healthcare information. Therefore,</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(40)</w:t>
      </w:r>
    </w:p>
    <w:p>
      <w:pPr>
        <w:spacing w:after="140" w:line="300"/>
        <w:jc w:val="both"/>
      </w:pPr>
      <w:r>
        <w:rPr>
          <w:rFonts w:ascii="Cambria" w:cs="Cambria" w:eastAsia="Cambria" w:hAnsi="Cambria"/>
          <w:sz w:val="24"/>
          <w:szCs w:val="24"/>
        </w:rPr>
        <w:t xml:space="preserve">This distinction prevents successful authentication from being incorrectly interpreted as unrestricted permission. 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 Av . If the number of valid approvals is below the required threshold N , the consent cannot produce an effective authorisation decision. The Controller then evaluates the relationship between the access request R and the policy conditions contained within the consent object. This process determines whether the requested healthcare data, operation, and intended purpose remain within the permitted authorisation boundary. The corresponding policy predicate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(41)</w:t>
      </w:r>
    </w:p>
    <w:p>
      <w:pPr>
        <w:spacing w:after="140" w:line="300"/>
        <w:jc w:val="both"/>
      </w:pPr>
      <w:r>
        <w:rPr>
          <w:rFonts w:ascii="Cambria" w:cs="Cambria" w:eastAsia="Cambria" w:hAnsi="Cambria"/>
          <w:sz w:val="24"/>
          <w:szCs w:val="24"/>
        </w:rPr>
        <w:t xml:space="preserve">The overall current stage authorisation decision is therefore determined by the conjunction of the foundational trust conditions: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(42)</w:t>
      </w:r>
    </w:p>
    <w:p>
      <w:pPr>
        <w:spacing w:after="140" w:line="300"/>
        <w:jc w:val="both"/>
      </w:pPr>
      <w:r>
        <w:rPr>
          <w:rFonts w:ascii="Cambria" w:cs="Cambria" w:eastAsia="Cambria" w:hAnsi="Cambria"/>
          <w:sz w:val="24"/>
          <w:szCs w:val="24"/>
        </w:rPr>
        <w:t xml:space="preserve">Equivalently, the decision can be represented as</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1; DENY, otherwise.</w:t>
      </w:r>
      <w:r>
        <w:rPr>
          <w:rFonts w:ascii="Cambria" w:cs="Cambria" w:eastAsia="Cambria" w:hAnsi="Cambria"/>
          <w:sz w:val="22"/>
          <w:szCs w:val="22"/>
        </w:rPr>
        <w:t xml:space="preserve">	(43)</w:t>
      </w:r>
    </w:p>
    <w:p>
      <w:pPr>
        <w:spacing w:after="140" w:line="300"/>
        <w:jc w:val="both"/>
      </w:pPr>
      <w:r>
        <w:rPr>
          <w:rFonts w:ascii="Cambria" w:cs="Cambria" w:eastAsia="Cambria" w:hAnsi="Cambria"/>
          <w:sz w:val="24"/>
          <w:szCs w:val="24"/>
        </w:rP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 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p>
      <w:pPr>
        <w:pStyle w:val="Heading2"/>
        <w:spacing w:after="160" w:before="280"/>
      </w:pPr>
      <w:r>
        <w:t xml:space="preserve">5.6  Multi-Party Consent as Distributed Trust Establishment</w:t>
      </w:r>
    </w:p>
    <w:p>
      <w:pPr>
        <w:spacing w:after="140" w:line="300"/>
        <w:jc w:val="both"/>
      </w:pPr>
      <w:r>
        <w:rPr>
          <w:rFonts w:ascii="Cambria" w:cs="Cambria" w:eastAsia="Cambria" w:hAnsi="Cambria"/>
          <w:sz w:val="24"/>
          <w:szCs w:val="24"/>
        </w:rPr>
        <w:t xml:space="preserve">A central contribution of the proposed architecture is the treatment of multi-party consent as a distributed trust-establishment mechanism rather than as a simple collection of multiple signatures. In conventional approval systems, multiple signatures may simply be appended to a document or transaction. However, the presence of multiple approvals does not necessarily establish that the approving entities were legitimate, possessed the appropriate authority, or approved the same policy conditions. 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 Let the set of submitted approvals be denoted by</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1</w:t>
      </w:r>
      <w:r>
        <w:rPr>
          <w:rFonts w:ascii="Cambria Math" w:cs="Cambria Math" w:eastAsia="Cambria Math" w:hAnsi="Cambria Math"/>
          <w:i/>
          <w:iCs/>
          <w:sz w:val="22"/>
          <w:szCs w:val="22"/>
        </w:rPr>
        <w:t xml:space="preserve">, a</w:t>
      </w:r>
      <w:r>
        <w:rPr>
          <w:rFonts w:ascii="Cambria Math" w:cs="Cambria Math" w:eastAsia="Cambria Math" w:hAnsi="Cambria Math"/>
          <w:i/>
          <w:iCs/>
          <w:sz w:val="22"/>
          <w:szCs w:val="22"/>
          <w:vertAlign w:val="subscript"/>
        </w:rPr>
        <w:t xml:space="preserve">2</w:t>
      </w:r>
      <w:r>
        <w:rPr>
          <w:rFonts w:ascii="Cambria Math" w:cs="Cambria Math" w:eastAsia="Cambria Math" w:hAnsi="Cambria Math"/>
          <w:i/>
          <w:iCs/>
          <w:sz w:val="22"/>
          <w:szCs w:val="22"/>
        </w:rPr>
        <w:t xml:space="preserve">, . . . , a</w:t>
      </w:r>
      <w:r>
        <w:rPr>
          <w:rFonts w:ascii="Cambria Math" w:cs="Cambria Math" w:eastAsia="Cambria Math" w:hAnsi="Cambria Math"/>
          <w:i/>
          <w:iCs/>
          <w:sz w:val="22"/>
          <w:szCs w:val="22"/>
          <w:vertAlign w:val="subscript"/>
        </w:rPr>
        <w:t xml:space="preserve">m</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(44)</w:t>
      </w:r>
    </w:p>
    <w:p>
      <w:pPr>
        <w:spacing w:after="140" w:line="300"/>
        <w:jc w:val="both"/>
      </w:pPr>
      <w:r>
        <w:rPr>
          <w:rFonts w:ascii="Cambria" w:cs="Cambria" w:eastAsia="Cambria" w:hAnsi="Cambria"/>
          <w:sz w:val="24"/>
          <w:szCs w:val="24"/>
        </w:rPr>
        <w:t xml:space="preserve">The verified approval set is then derived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1 ∧ Authority(a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Valid}.</w:t>
      </w:r>
      <w:r>
        <w:rPr>
          <w:rFonts w:ascii="Cambria" w:cs="Cambria" w:eastAsia="Cambria" w:hAnsi="Cambria"/>
          <w:sz w:val="22"/>
          <w:szCs w:val="22"/>
        </w:rPr>
        <w:t xml:space="preserve">	(45)</w:t>
      </w:r>
    </w:p>
    <w:p>
      <w:pPr>
        <w:spacing w:after="140" w:line="300"/>
        <w:jc w:val="both"/>
      </w:pPr>
      <w:r>
        <w:rPr>
          <w:rFonts w:ascii="Cambria" w:cs="Cambria" w:eastAsia="Cambria" w:hAnsi="Cambria"/>
          <w:sz w:val="24"/>
          <w:szCs w:val="24"/>
        </w:rPr>
        <w:t xml:space="preserve">Only the verified set Av contributes to the threshold condition. Consequently, an arbitrary number of unverified or unauthorised approvals cannot satisfy the multi-party authorisation requirement. 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 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p>
      <w:pPr>
        <w:pStyle w:val="Heading2"/>
        <w:spacing w:after="160" w:before="280"/>
      </w:pPr>
      <w:r>
        <w:t xml:space="preserve">5.7  Policy-Aware Consent Enforcement</w:t>
      </w:r>
    </w:p>
    <w:p>
      <w:pPr>
        <w:spacing w:after="140" w:line="300"/>
        <w:jc w:val="both"/>
      </w:pPr>
      <w:r>
        <w:rPr>
          <w:rFonts w:ascii="Cambria" w:cs="Cambria" w:eastAsia="Cambria" w:hAnsi="Cambria"/>
          <w:sz w:val="24"/>
          <w:szCs w:val="24"/>
        </w:rPr>
        <w:t xml:space="preserve">Another important feature of the architecture is the explicit separation between approval validity and access scope validity. Even when all required participants have approved a consent request, the resulting authorisation remains bounded by the policy encoded within the consent object. Suppose that a consent permits access to the following healthcare data categories</w:t>
      </w:r>
      <w:r>
        <w:rPr>
          <w:rFonts w:ascii="Cambria" w:cs="Cambria" w:eastAsia="Cambria" w:hAnsi="Cambria"/>
          <w:color w:val="000000"/>
          <w:sz w:val="24"/>
          <w:szCs w:val="24"/>
        </w:rPr>
        <w:t xml:space="preserv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(46)</w:t>
      </w:r>
    </w:p>
    <w:p>
      <w:pPr>
        <w:spacing w:after="140" w:line="300"/>
        <w:jc w:val="both"/>
      </w:pPr>
      <w:r>
        <w:rPr>
          <w:rFonts w:ascii="Cambria" w:cs="Cambria" w:eastAsia="Cambria" w:hAnsi="Cambria"/>
          <w:sz w:val="24"/>
          <w:szCs w:val="24"/>
        </w:rPr>
        <w:t xml:space="preserve">If a healthcare professional subsequently requests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(47)</w:t>
      </w:r>
    </w:p>
    <w:p>
      <w:pPr>
        <w:spacing w:after="140" w:line="300"/>
        <w:jc w:val="both"/>
      </w:pPr>
      <w:r>
        <w:rPr>
          <w:rFonts w:ascii="Cambria" w:cs="Cambria" w:eastAsia="Cambria" w:hAnsi="Cambria"/>
          <w:sz w:val="24"/>
          <w:szCs w:val="24"/>
        </w:rPr>
        <w:t xml:space="preserve">the request exceeds the authorised data scope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(48)</w:t>
      </w:r>
    </w:p>
    <w:p>
      <w:pPr>
        <w:spacing w:after="140" w:line="300"/>
        <w:jc w:val="both"/>
      </w:pPr>
      <w:r>
        <w:rPr>
          <w:rFonts w:ascii="Cambria" w:cs="Cambria" w:eastAsia="Cambria" w:hAnsi="Cambria"/>
          <w:sz w:val="24"/>
          <w:szCs w:val="24"/>
        </w:rPr>
        <w:t xml:space="preserve">The Controller must therefore return</w:t>
      </w:r>
    </w:p>
    <w:p>
      <w:pPr>
        <w:tabs>
          <w:tab w:val="right" w:pos="9360"/>
        </w:tabs>
        <w:spacing w:after="160" w:before="60"/>
        <w:jc w:val="center"/>
      </w:pPr>
      <w:r>
        <w:rPr>
          <w:rFonts w:ascii="Cambria Math" w:cs="Cambria Math" w:eastAsia="Cambria Math" w:hAnsi="Cambria Math"/>
          <w:i/>
          <w:iCs/>
          <w:sz w:val="22"/>
          <w:szCs w:val="22"/>
        </w:rPr>
        <w:t xml:space="preserve">Decision(C, R) = DENY.</w:t>
      </w:r>
      <w:r>
        <w:rPr>
          <w:rFonts w:ascii="Cambria" w:cs="Cambria" w:eastAsia="Cambria" w:hAnsi="Cambria"/>
          <w:sz w:val="22"/>
          <w:szCs w:val="22"/>
        </w:rPr>
        <w:t xml:space="preserve">	(49)</w:t>
      </w:r>
    </w:p>
    <w:p>
      <w:pPr>
        <w:spacing w:after="140" w:line="300"/>
        <w:jc w:val="both"/>
      </w:pPr>
      <w:r>
        <w:rPr>
          <w:rFonts w:ascii="Cambria" w:cs="Cambria" w:eastAsia="Cambria" w:hAnsi="Cambria"/>
          <w:sz w:val="24"/>
          <w:szCs w:val="24"/>
        </w:rPr>
        <w:t xml:space="preserve">This property is important because conventional authentication and role-based access control mechanisms may determine that an entity is generally authorised to access a category of healthcare information without adequately considering the specific policy conditions associated with an individual patient’s consent. The proposed architecture instead binds the access decision to the consent policy itself.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p>
      <w:pPr>
        <w:pStyle w:val="Heading2"/>
        <w:spacing w:after="160" w:before="280"/>
      </w:pPr>
      <w:r>
        <w:t xml:space="preserve">5.8  Authorisation Evidence and Auditability</w:t>
      </w:r>
    </w:p>
    <w:p>
      <w:pPr>
        <w:spacing w:after="140" w:line="300"/>
        <w:jc w:val="both"/>
      </w:pPr>
      <w:r>
        <w:rPr>
          <w:rFonts w:ascii="Cambria" w:cs="Cambria" w:eastAsia="Cambria" w:hAnsi="Cambria"/>
          <w:color w:val="000000"/>
          <w:sz w:val="24"/>
          <w:szCs w:val="24"/>
        </w:rPr>
        <w:t xml:space="preserve">In the implementation, consent activation and revocation are anchored on the Sepolia blockchain through the ConsentSBTv3 soulbound contract. This anchoring is performed asynchronously, and the audit ledger records the transaction hash and block number of each anchoring operation, thereby providing tamper-resistant evidence of the consent state.</w:t>
      </w:r>
    </w:p>
    <w:p>
      <w:pPr>
        <w:spacing w:after="140" w:line="300"/>
        <w:jc w:val="both"/>
      </w:pPr>
      <w:r>
        <w:rPr>
          <w:rFonts w:ascii="Cambria" w:cs="Cambria" w:eastAsia="Cambria" w:hAnsi="Cambria"/>
          <w:sz w:val="24"/>
          <w:szCs w:val="24"/>
        </w:rPr>
        <w:t xml:space="preserve">The proposed architecture further distinguishes between making an authorisation decision and demonstrating how that decision was made. For this reason, the Controller generates evidence associated with each relevant stage of the authorisation process. Conceptually, an authorisation evidence record can be represented as</w:t>
      </w:r>
    </w:p>
    <w:p>
      <w:pPr>
        <w:tabs>
          <w:tab w:val="right" w:pos="9360"/>
        </w:tabs>
        <w:spacing w:after="160" w:before="60"/>
        <w:jc w:val="center"/>
      </w:pPr>
      <w:r>
        <w:rPr>
          <w:rFonts w:ascii="Cambria Math" w:cs="Cambria Math" w:eastAsia="Cambria Math" w:hAnsi="Cambria Math"/>
          <w:i/>
          <w:iCs/>
          <w:sz w:val="22"/>
          <w:szCs w:val="22"/>
        </w:rPr>
        <w:t xml:space="preserve">E</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{ID, Credential, Approval, Policy, Decision, Audit}.</w:t>
      </w:r>
      <w:r>
        <w:rPr>
          <w:rFonts w:ascii="Cambria" w:cs="Cambria" w:eastAsia="Cambria" w:hAnsi="Cambria"/>
          <w:sz w:val="22"/>
          <w:szCs w:val="22"/>
        </w:rPr>
        <w:t xml:space="preserve">	(50)</w:t>
      </w:r>
    </w:p>
    <w:p>
      <w:pPr>
        <w:spacing w:after="140" w:line="300"/>
        <w:jc w:val="both"/>
      </w:pPr>
      <w:r>
        <w:rPr>
          <w:rFonts w:ascii="Cambria" w:cs="Cambria" w:eastAsia="Cambria" w:hAnsi="Cambria"/>
          <w:sz w:val="24"/>
          <w:szCs w:val="24"/>
        </w:rPr>
        <w:t xml:space="preserve">where ID represents identity-verification evidence, Credential represents authority or roleverification evidence, Approval represents the verified multi-party approval state, P olicy represents the result of policy evaluation, Decision represents the final access outcome, and Audit represents the associated event record. 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 However, the blockchain itself is not treated as the source of trust. Its role is to strengthen integrity, non-repudiation, and auditability of the evidence generated by the authorisation process. The trustworthiness of the access decision instead originates from the coordinated enforcement of identity, authority, multi-party approval, and policy conditions.</w:t>
      </w:r>
    </w:p>
    <w:p>
      <w:pPr>
        <w:pStyle w:val="Heading2"/>
        <w:spacing w:after="160" w:before="280"/>
      </w:pPr>
      <w:r>
        <w:t xml:space="preserve">5.9  Architectural Security Properties</w:t>
      </w:r>
    </w:p>
    <w:p>
      <w:pPr>
        <w:spacing w:after="140" w:line="300"/>
        <w:jc w:val="both"/>
      </w:pPr>
      <w:r>
        <w:rPr>
          <w:rFonts w:ascii="Cambria" w:cs="Cambria" w:eastAsia="Cambria" w:hAnsi="Cambria"/>
          <w:sz w:val="24"/>
          <w:szCs w:val="24"/>
        </w:rPr>
        <w:t xml:space="preserve">The proposed MVC architecture provides several foundational security properties for the current stage. These properties emerge from the interaction between the Model, View, and Controller rather than from any single technology.</w:t>
      </w:r>
    </w:p>
    <w:p>
      <w:pPr>
        <w:spacing w:after="140" w:line="300"/>
        <w:jc w:val="both"/>
      </w:pPr>
      <w:r>
        <w:rPr>
          <w:rFonts w:ascii="Cambria" w:cs="Cambria" w:eastAsia="Cambria" w:hAnsi="Cambria"/>
          <w:sz w:val="24"/>
          <w:szCs w:val="24"/>
        </w:rPr>
        <w:t xml:space="preserve">First, the architecture provides identity-dependent participation. A participant cannot contribute to the authorisation process solely by interacting with the system interface. The corresponding identity and credential must satisfy the verification requirements. Second, the architecture provides authority separation.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Therefore, a single participant cannot unilaterally activate access when the defined authorisation threshold has not been reached. Fourth, the architecture provides policy-bounded access. A valid requester with sufficient approval evidence cannot access healthcare information beyond the purpose or data scope defined by the consent object. Finally, the architecture provides decision accountability. The system maintains evidence concerning the conditions that produced an authorisation decision, thereby supporting auditing and subsequent verification. These properties can be summarised as shown in Table 5.</w:t>
      </w:r>
    </w:p>
    <w:p>
      <w:pPr>
        <w:pStyle w:val="Heading2"/>
        <w:spacing w:after="160" w:before="280"/>
      </w:pPr>
      <w:r>
        <w:t xml:space="preserve">5.10  MVC Architecture and the Research Objectives</w:t>
      </w:r>
    </w:p>
    <w:p>
      <w:pPr>
        <w:spacing w:after="140" w:line="300"/>
        <w:jc w:val="both"/>
      </w:pPr>
      <w:r>
        <w:rPr>
          <w:rFonts w:ascii="Cambria" w:cs="Cambria" w:eastAsia="Cambria" w:hAnsi="Cambria"/>
          <w:sz w:val="24"/>
          <w:szCs w:val="24"/>
        </w:rP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As shown in Table 6,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p>
      <w:pPr>
        <w:pStyle w:val="Heading2"/>
        <w:spacing w:after="160" w:before="280"/>
      </w:pPr>
      <w:r>
        <w:t xml:space="preserve">5.11  Architectural Contribution and Scope</w:t>
      </w:r>
    </w:p>
    <w:p>
      <w:pPr>
        <w:spacing w:after="140" w:line="300"/>
        <w:jc w:val="both"/>
      </w:pPr>
      <w:r>
        <w:rPr>
          <w:rFonts w:ascii="Cambria" w:cs="Cambria" w:eastAsia="Cambria" w:hAnsi="Cambria"/>
          <w:sz w:val="24"/>
          <w:szCs w:val="24"/>
        </w:rP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 This design transforms multi-party consent management from a conventional record-management problem into a distributed security-governance problem. The key innovation is that consent is treated as an active and evaluable authorisation object whose effectiveness depends on the joint satisfaction of identity, authority, collective approval, and policy conditions. For the current stage, the architecture therefore establishes the foundational mechanisms required to answer RQ1–RQ4. The implemented HALAH prototype provides the practical</w:t>
      </w:r>
    </w:p>
    <w:p>
      <w:pPr>
        <w:keepNext/>
        <w:spacing w:after="80" w:before="160"/>
        <w:jc w:val="center"/>
      </w:pPr>
      <w:r>
        <w:rPr>
          <w:rFonts w:ascii="Cambria" w:cs="Cambria" w:eastAsia="Cambria" w:hAnsi="Cambria"/>
          <w:b/>
          <w:bCs/>
          <w:sz w:val="21"/>
          <w:szCs w:val="21"/>
        </w:rPr>
        <w:t xml:space="preserve">Table 5: </w:t>
      </w:r>
      <w:r>
        <w:rPr>
          <w:rFonts w:ascii="Cambria" w:cs="Cambria" w:eastAsia="Cambria" w:hAnsi="Cambria"/>
          <w:sz w:val="21"/>
          <w:szCs w:val="21"/>
        </w:rPr>
        <w:t xml:space="preserve">Security Properties Supported by the Proposed MVC-Based Consent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Property</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Architectural Mechanism</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Significance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Identity-dependent participation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credential verification before a participant can contribute to the authorisation process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unverified entities from being treated as legitimate participants.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Authority separation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Independent evaluation of identity and role or authority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successful authentication from being interpreted as unrestricted authorisation.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authorisation integrity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Threshold evaluation over independently verified approval participants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a single participant from unilaterally activating sensitive healthcare data access when collective approval is required.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Policy-bounded access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Evaluation of purpose and requested data scope against consent policy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otherwise valid identities and approvals from being used to obtain data beyond the authorised scope.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Authorisation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Recording of verification results, approval evidence, policy evaluation, and final decisions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provide</w:t>
            </w:r>
            <w:r>
              <w:rPr>
                <w:rFonts w:ascii="Cambria" w:cs="Cambria" w:eastAsia="Cambria" w:hAnsi="Cambria"/>
                <w:b w:val="false"/>
                <w:bCs w:val="false"/>
                <w:sz w:val="19"/>
                <w:szCs w:val="19"/>
              </w:rPr>
              <w:t xml:space="preserve"> traceability and </w:t>
            </w:r>
            <w:r>
              <w:rPr>
                <w:rFonts w:ascii="Cambria" w:cs="Cambria" w:eastAsia="Cambria" w:hAnsi="Cambria"/>
                <w:b w:val="false"/>
                <w:bCs w:val="false"/>
                <w:color w:val="000000"/>
                <w:sz w:val="19"/>
                <w:szCs w:val="19"/>
              </w:rPr>
              <w:t xml:space="preserve">support</w:t>
            </w:r>
            <w:r>
              <w:rPr>
                <w:rFonts w:ascii="Cambria" w:cs="Cambria" w:eastAsia="Cambria" w:hAnsi="Cambria"/>
                <w:b w:val="false"/>
                <w:bCs w:val="false"/>
                <w:sz w:val="19"/>
                <w:szCs w:val="19"/>
              </w:rPr>
              <w:t xml:space="preserve"> accountability, auditing, and future verification.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Separation of interaction and enforcement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The View submits requests while the Controller independently determines the security decision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user-interface actions from being interpreted directly as trusted authorisation outcomes.</w:t>
            </w:r>
          </w:p>
        </w:tc>
      </w:tr>
    </w:tbl>
    <w:p>
      <w:pPr>
        <w:spacing w:after="180"/>
      </w:pPr>
    </w:p>
    <w:p>
      <w:pPr>
        <w:keepNext/>
        <w:spacing w:after="80" w:before="160"/>
        <w:jc w:val="center"/>
      </w:pPr>
      <w:r>
        <w:rPr>
          <w:rFonts w:ascii="Cambria" w:cs="Cambria" w:eastAsia="Cambria" w:hAnsi="Cambria"/>
          <w:b/>
          <w:bCs/>
          <w:sz w:val="21"/>
          <w:szCs w:val="21"/>
        </w:rPr>
        <w:t xml:space="preserve">Table 6: </w:t>
      </w:r>
      <w:r>
        <w:rPr>
          <w:rFonts w:ascii="Cambria" w:cs="Cambria" w:eastAsia="Cambria" w:hAnsi="Cambria"/>
          <w:sz w:val="21"/>
          <w:szCs w:val="21"/>
        </w:rPr>
        <w:t xml:space="preserve">Mapping Between Research Objectives and MVC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MVC Component</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Core Mechanism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Contribution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Trust-aware consent representation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Transforms consent from a passive permission record into a structured and evaluable authorisation object.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VC verification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trustworthy participants while explicitly separating identity from authorisation authority.</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Verified multi-party threshold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collective trust and prevents unilateral authorisation when multiple approvals are required.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purpose, and data-scope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valid participants and sufficient approvals remain constrained by the authorised purpose and healthcare data scope.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Temporal validity and consent lifecycle enforcement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View,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analysis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Will provide formal assurance (next stage)</w:t>
            </w:r>
            <w:r>
              <w:rPr>
                <w:rFonts w:ascii="Cambria" w:cs="Cambria" w:eastAsia="Cambria" w:hAnsi="Cambria"/>
                <w:b w:val="false"/>
                <w:bCs w:val="false"/>
                <w:sz w:val="19"/>
                <w:szCs w:val="19"/>
              </w:rPr>
              <w:t xml:space="preserve"> of the defined trust and authorisation properties and empirically evaluates whether the implemented framework correctly enforces authorised and unauthorised healthcare data-access decisions.</w:t>
            </w:r>
          </w:p>
        </w:tc>
      </w:tr>
    </w:tbl>
    <w:p>
      <w:pPr>
        <w:spacing w:after="180"/>
      </w:pPr>
    </w:p>
    <w:p>
      <w:pPr>
        <w:spacing w:after="140" w:line="300"/>
        <w:jc w:val="both"/>
      </w:pPr>
      <w:r>
        <w:rPr>
          <w:rFonts w:ascii="Cambria" w:cs="Cambria" w:eastAsia="Cambria" w:hAnsi="Cambria"/>
          <w:sz w:val="24"/>
          <w:szCs w:val="24"/>
        </w:rPr>
        <w:t xml:space="preserve">environment in which these mechanisms can be instantiated and evaluated through representative healthcare data-sharing scenarios. The subsequent stage will extend the architecture beyond the current foundational authorisation model. The consent Model will be expanded to include temporal validity, expiration, revocation, and controlled lifecycle transitions. The Controller will subsequently incorporate the corresponding temporal and lifecycle predicates into the authorisation decision. In addition, the complete decision model will be subjected to formal security analysis and broader empirical validation. Accordingly, the current stage architecture establishes the foundational security core of the research, while </w:t>
      </w:r>
      <w:r>
        <w:rPr>
          <w:rFonts w:ascii="Cambria" w:cs="Cambria" w:eastAsia="Cambria" w:hAnsi="Cambria"/>
          <w:color w:val="000000"/>
          <w:sz w:val="24"/>
          <w:szCs w:val="24"/>
        </w:rPr>
        <w:t xml:space="preserve">the next stage will</w:t>
      </w:r>
      <w:r>
        <w:rPr>
          <w:rFonts w:ascii="Cambria" w:cs="Cambria" w:eastAsia="Cambria" w:hAnsi="Cambria"/>
          <w:sz w:val="24"/>
          <w:szCs w:val="24"/>
        </w:rPr>
        <w:t xml:space="preserve"> investigate whether this core can maintain trust dynamically over time </w:t>
      </w:r>
      <w:r>
        <w:rPr>
          <w:rFonts w:ascii="Cambria" w:cs="Cambria" w:eastAsia="Cambria" w:hAnsi="Cambria"/>
          <w:color w:val="000000"/>
          <w:sz w:val="24"/>
          <w:szCs w:val="24"/>
        </w:rPr>
        <w:t xml:space="preserve">beyond the lifecycle mechanisms already demonstrated in the prototype</w:t>
      </w:r>
      <w:r>
        <w:rPr>
          <w:rFonts w:ascii="Cambria" w:cs="Cambria" w:eastAsia="Cambria" w:hAnsi="Cambria"/>
          <w:sz w:val="24"/>
          <w:szCs w:val="24"/>
        </w:rPr>
        <w:t xml:space="preserve">, satisfy formally defined security properties, and consistently enforce the complete trust-oriented authorisation model under representative and adversarial healthcare data-sharing conditions.</w:t>
      </w:r>
    </w:p>
    <w:p>
      <w:pPr>
        <w:pStyle w:val="Heading1"/>
        <w:pageBreakBefore/>
        <w:spacing w:after="160" w:before="400"/>
      </w:pPr>
      <w:r>
        <w:t xml:space="preserve">6  Proposed Solution</w:t>
      </w:r>
    </w:p>
    <w:p>
      <w:pPr>
        <w:pStyle w:val="Heading2"/>
        <w:spacing w:after="160" w:before="280"/>
      </w:pPr>
      <w:r>
        <w:t xml:space="preserve">6.1  Trust-Centric Consent Model for RO1</w:t>
      </w:r>
    </w:p>
    <w:p>
      <w:pPr>
        <w:spacing w:after="140" w:line="300"/>
        <w:jc w:val="both"/>
      </w:pPr>
      <w:r>
        <w:rPr>
          <w:rFonts w:ascii="Cambria" w:cs="Cambria" w:eastAsia="Cambria" w:hAnsi="Cambria"/>
          <w:sz w:val="24"/>
          <w:szCs w:val="24"/>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(51)</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w:t>
      </w:r>
    </w:p>
    <w:p>
      <w:pPr>
        <w:spacing w:after="140" w:line="300"/>
        <w:jc w:val="both"/>
      </w:pPr>
      <w:r>
        <w:rPr>
          <w:rFonts w:ascii="Cambria" w:cs="Cambria" w:eastAsia="Cambria" w:hAnsi="Cambria"/>
          <w:sz w:val="24"/>
          <w:szCs w:val="24"/>
        </w:rPr>
        <w:t xml:space="preserve">where I represents patient and participant identity information, A represents authorisation requirements, P represents policy constraints, and E 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3"/>
        <w:spacing w:after="160" w:before="280"/>
      </w:pPr>
      <w:r>
        <w:t xml:space="preserve">6.1.1  RO1 Consent Creation Workflow</w:t>
      </w:r>
    </w:p>
    <w:p>
      <w:pPr>
        <w:spacing w:after="140" w:line="300"/>
        <w:jc w:val="both"/>
      </w:pPr>
      <w:r>
        <w:rPr>
          <w:rFonts w:ascii="Cambria" w:cs="Cambria" w:eastAsia="Cambria" w:hAnsi="Cambria"/>
          <w:sz w:val="24"/>
          <w:szCs w:val="24"/>
        </w:rPr>
        <w:t xml:space="preserve">The following workflow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w:t>
      </w:r>
    </w:p>
    <w:p>
      <w:pPr>
        <w:keepNext/>
        <w:spacing w:after="60" w:before="140"/>
        <w:jc w:val="center"/>
      </w:pPr>
      <w:r>
        <w:drawing>
          <wp:inline distT="0" distB="0" distL="0" distR="0">
            <wp:extent cx="3619500" cy="6410325"/>
            <wp:effectExtent t="0" r="0" b="0" l="0"/>
            <wp:docPr id="1" name="gfig7.png" descr="Figure 10: RO1 workflow for trust-centric consent creation" title="Figure 10: 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64103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10: RO1 workflow for trust-centric consent creation</w:t>
      </w:r>
    </w:p>
    <w:p>
      <w:pPr>
        <w:spacing w:after="140" w:line="300"/>
        <w:jc w:val="both"/>
      </w:pPr>
      <w:r>
        <w:rPr>
          <w:rFonts w:ascii="Cambria" w:cs="Cambria" w:eastAsia="Cambria" w:hAnsi="Cambria"/>
          <w:color w:val="000000"/>
          <w:sz w:val="24"/>
          <w:szCs w:val="24"/>
        </w:rPr>
        <w:t xml:space="preserve">Whereas Figure 10 describes the behaviour of consent creation, Figure 11 presents the structure of the resulting consent object. It shows each of the six components of C = (I, A, P, T, L, E), the content that each component holds in the HALAH system, and the party that supplies it. The patient supplies the identity, authority, policy, temporal and jurisdictional components; the threshold N = |G| and the consent identifier id</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are generated by the system; and the evidence component is accumulated by the audit layer, the guardians' signatures and the blockchain as the consent progresses.</w:t>
      </w:r>
    </w:p>
    <w:p>
      <w:pPr>
        <w:keepNext/>
        <w:spacing w:after="60" w:before="140"/>
        <w:jc w:val="center"/>
      </w:pPr>
      <w:r>
        <w:drawing>
          <wp:inline distT="0" distB="0" distL="0" distR="0">
            <wp:extent cx="5715000" cy="3162300"/>
            <wp:effectExtent t="0" r="0" b="0" l="0"/>
            <wp:docPr id="1" name="gfig_hub.png" descr="Figure 11: Six-component trust-centric consent model C = (I, A, P, T, L, E), showing the content and the supplier of each component, the system-generated consent identifier, and the lifecycle state carried by the consent object." title="Figure 11: Six-component trust-centric consent model C = (I, A, P, T, L, E), showing the content and the supplier of each component, the system-generated consent identifier, and the lifecycle state carried by the consen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62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11: Six-component trust-centric consent model C = (I, A, P, T, L, E), showing the content and the supplier of each component, the system-generated consent identifier, and the lifecycle state carried by the consent object.</w:t>
      </w:r>
    </w:p>
    <w:p>
      <w:pPr>
        <w:spacing w:after="140" w:line="300"/>
        <w:jc w:val="both"/>
      </w:pPr>
      <w:r>
        <w:rPr>
          <w:rFonts w:ascii="Cambria" w:cs="Cambria" w:eastAsia="Cambria" w:hAnsi="Cambria"/>
          <w:sz w:val="24"/>
          <w:szCs w:val="24"/>
        </w:rP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p>
      <w:pPr>
        <w:spacing w:after="140" w:line="300"/>
        <w:jc w:val="both"/>
      </w:pPr>
      <w:r>
        <w:rPr>
          <w:rFonts w:ascii="Cambria" w:cs="Cambria" w:eastAsia="Cambria" w:hAnsi="Cambria"/>
          <w:color w:val="000000"/>
          <w:sz w:val="24"/>
          <w:szCs w:val="24"/>
        </w:rPr>
        <w:t xml:space="preserve">The declared jurisdiction L is validated as a well-formed ISO alpha-2 territory code, AU in the demonstrated transactions, and is bound to the consent object at creation. This is important because the subsequent access decision is evaluated against it. Consequently, the construction sequence becomes I</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D → G → P</w:t>
      </w:r>
      <w:r>
        <w:rPr>
          <w:rFonts w:ascii="Cambria" w:cs="Cambria" w:eastAsia="Cambria" w:hAnsi="Cambria"/>
          <w:color w:val="000000"/>
          <w:sz w:val="24"/>
          <w:szCs w:val="24"/>
          <w:vertAlign w:val="subscript"/>
        </w:rPr>
        <w:t xml:space="preserve">u</w:t>
      </w:r>
      <w:r>
        <w:rPr>
          <w:rFonts w:ascii="Cambria" w:cs="Cambria" w:eastAsia="Cambria" w:hAnsi="Cambria"/>
          <w:color w:val="000000"/>
          <w:sz w:val="24"/>
          <w:szCs w:val="24"/>
        </w:rPr>
        <w:t xml:space="preserve"> → S</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T → L → A → id</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C → E.</w:t>
      </w:r>
    </w:p>
    <w:p>
      <w:pPr>
        <w:pStyle w:val="Heading3"/>
        <w:spacing w:after="160" w:before="280"/>
      </w:pPr>
      <w:r>
        <w:t xml:space="preserve">6.1.2  Procedure for Trust-Aware Consent Creation</w:t>
      </w:r>
    </w:p>
    <w:p>
      <w:pPr>
        <w:spacing w:after="140" w:line="300"/>
        <w:jc w:val="both"/>
      </w:pPr>
      <w:r>
        <w:rPr>
          <w:rFonts w:ascii="Cambria" w:cs="Cambria" w:eastAsia="Cambria" w:hAnsi="Cambria"/>
          <w:sz w:val="24"/>
          <w:szCs w:val="24"/>
        </w:rP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 1. Step 1 – Validate Patient Identity. The system first validates the patient’s identity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The identity is checked against the available identity and credential verification mechanisms to ensure that the consent request originates from a recognised patient entity. If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cannot be successfully validated, the procedure terminates immediately and returns REJECT. 2. Step 2 – Validate the Authorised Doctor. 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 3. Step 3 – Validate Guardian or Proxy Participants. 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 4. Step 4 – Validate the Intended Purpose. The intended data-use purpose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is validated to ensure that the purpose is explicitly specified and conforms to the supported healthcare-use policies. The purpose is subsequently bound to the consent object so that authorisation is not interpreted as unrestricted access to the patient’s healthcare information. 5. Step 5 – Validate the Data Scope. The requested data scope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 6. Step 6 – Validate the Consent Validity Interval. The system validates the temporal validity interval T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where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represents the consent start time and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represents the expiration time. The system verifies that the interval is logically valid by requiring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&gt;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If this condition is not satisfied, the consent request is rejected.</w:t>
      </w:r>
    </w:p>
    <w:p>
      <w:pPr>
        <w:spacing w:after="140" w:line="300"/>
        <w:jc w:val="both"/>
      </w:pPr>
      <w:r>
        <w:rPr>
          <w:rFonts w:ascii="Cambria" w:cs="Cambria" w:eastAsia="Cambria" w:hAnsi="Cambria"/>
          <w:color w:val="000000"/>
          <w:sz w:val="24"/>
          <w:szCs w:val="24"/>
        </w:rPr>
        <w:t xml:space="preserve">In the current prototype this validation is a structural check that each identifier constitutes a well-formed DID. The doctor is not independently authenticated at this stage, and credential-based verification of the presented identity is deferred to the production design.</w:t>
      </w:r>
    </w:p>
    <w:p>
      <w:pPr>
        <w:spacing w:after="140" w:line="300"/>
        <w:jc w:val="both"/>
      </w:pPr>
      <w:r>
        <w:rPr>
          <w:rFonts w:ascii="Cambria" w:cs="Cambria" w:eastAsia="Cambria" w:hAnsi="Cambria"/>
          <w:sz w:val="24"/>
          <w:szCs w:val="24"/>
        </w:rPr>
        <w:t xml:space="preserve">7. Step 7 – Define the Authorisation Requirement. 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 8. Step 8 – Generate a Unique Consent Identifier. The system generates a unique consent identifier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t>
      </w:r>
      <w:r>
        <w:rPr>
          <w:rFonts w:ascii="Cambria" w:cs="Cambria" w:eastAsia="Cambria" w:hAnsi="Cambria"/>
          <w:color w:val="000000"/>
          <w:sz w:val="24"/>
          <w:szCs w:val="24"/>
        </w:rPr>
        <w:t xml:space="preserve">The identifier is not supplied by any participant: it is generated by the Consent Service at the moment the patient submits the consent, as a universally unique identifier (UUID). It is then displayed to the patient, who shares it with the designated guardians and the authorised doctor so that they can approve the consent or request access. Possession of the identifier alone grants no access, because every subsequent request is evaluated by the complete decision rule, and the on-chain token identifier is assigned separately by the smart contract only when the consent is activated.</w:t>
      </w:r>
      <w:r>
        <w:rPr>
          <w:rFonts w:ascii="Cambria" w:cs="Cambria" w:eastAsia="Cambria" w:hAnsi="Cambria"/>
          <w:sz w:val="24"/>
          <w:szCs w:val="24"/>
        </w:rPr>
        <w:t xml:space="preserve"> This identifier provides a persistent reference to the consent object and enables subsequent operations, including consent verification, access authorisation, modification, revocation, and audit. 9. Step 9 – Construct the Consent Object. The validated information is combined to construct the consent object </w:t>
      </w:r>
      <w:r>
        <w:rPr>
          <w:rFonts w:ascii="Cambria" w:cs="Cambria" w:eastAsia="Cambria" w:hAnsi="Cambria"/>
          <w:color w:val="000000"/>
          <w:sz w:val="24"/>
          <w:szCs w:val="24"/>
        </w:rPr>
        <w:t xml:space="preserve">C = (I, A, P, T, L, E)</w:t>
      </w:r>
      <w:r>
        <w:rPr>
          <w:rFonts w:ascii="Cambria" w:cs="Cambria" w:eastAsia="Cambria" w:hAnsi="Cambria"/>
          <w:sz w:val="24"/>
          <w:szCs w:val="24"/>
        </w:rPr>
        <w:t xml:space="preserve">, where I represents the verified identity information, A represents the authorisation requirements, P represents the consent purpose and associated permissions, and E represents the evidence associated with the consent decision. The resulting object therefore captures not only the patient’s preference but also the evidence required to support subsequent authorisation decisions. 10. Step 10 – Persist the Consent Object. The constructed consent object C is persisted in the consent-management infrastructure. The persistence mechanism provides a stable representation of the consent state that can subsequently be referenced by the access-control and authorisation components. 11. Step 11 – Record Consent Creation Evidence. 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 12. Step 12 – Return the Consent Result. If all validation and construction operations are completed successfully, the system returns the newly created consent object C. If any mandatory validation fails during the process, the system terminates the procedure and returns REJECT. The overall procedure can therefore be represented as a sequential trust establishment process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 D → G →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w:t>
      </w:r>
      <w:r>
        <w:rPr>
          <w:rFonts w:ascii="Cambria" w:cs="Cambria" w:eastAsia="Cambria" w:hAnsi="Cambria"/>
          <w:color w:val="000000"/>
          <w:sz w:val="24"/>
          <w:szCs w:val="24"/>
        </w:rPr>
        <w:t xml:space="preserve">L → </w:t>
      </w:r>
      <w:r>
        <w:rPr>
          <w:rFonts w:ascii="Cambria" w:cs="Cambria" w:eastAsia="Cambria" w:hAnsi="Cambria"/>
          <w:sz w:val="24"/>
          <w:szCs w:val="24"/>
        </w:rPr>
        <w:t xml:space="preserve">A →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C → E. 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Bdr>
          <w:top w:val="single" w:color="000000" w:sz="12"/>
          <w:bottom w:val="single" w:color="000000" w:sz="6"/>
        </w:pBdr>
        <w:spacing w:after="40" w:before="220"/>
      </w:pPr>
      <w:r>
        <w:rPr>
          <w:rFonts w:ascii="Cambria" w:cs="Cambria" w:eastAsia="Cambria" w:hAnsi="Cambria"/>
          <w:b/>
          <w:bCs/>
          <w:sz w:val="21"/>
          <w:szCs w:val="21"/>
        </w:rPr>
        <w:t xml:space="preserve">Algorithm 1 </w:t>
      </w:r>
      <w:r>
        <w:rPr>
          <w:rFonts w:ascii="Cambria" w:cs="Cambria" w:eastAsia="Cambria" w:hAnsi="Cambria"/>
          <w:sz w:val="21"/>
          <w:szCs w:val="21"/>
        </w:rPr>
        <w:t xml:space="preserve">Trust-Aware Consent Creation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Patient identity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authorised doctor D, guardian set G, purpose P</w:t>
      </w:r>
      <w:r>
        <w:rPr>
          <w:rFonts w:ascii="Cambria" w:cs="Cambria" w:eastAsia="Cambria" w:hAnsi="Cambria"/>
          <w:sz w:val="21"/>
          <w:szCs w:val="21"/>
          <w:vertAlign w:val="subscript"/>
        </w:rPr>
        <w:t xml:space="preserve">u</w:t>
      </w:r>
      <w:r>
        <w:rPr>
          <w:rFonts w:ascii="Cambria" w:cs="Cambria" w:eastAsia="Cambria" w:hAnsi="Cambria"/>
          <w:sz w:val="21"/>
          <w:szCs w:val="21"/>
        </w:rPr>
        <w:t xml:space="preserve">, data scope S</w:t>
      </w:r>
      <w:r>
        <w:rPr>
          <w:rFonts w:ascii="Cambria" w:cs="Cambria" w:eastAsia="Cambria" w:hAnsi="Cambria"/>
          <w:sz w:val="21"/>
          <w:szCs w:val="21"/>
          <w:vertAlign w:val="subscript"/>
        </w:rPr>
        <w:t xml:space="preserve">C</w:t>
      </w:r>
      <w:r>
        <w:rPr>
          <w:rFonts w:ascii="Cambria" w:cs="Cambria" w:eastAsia="Cambria" w:hAnsi="Cambria"/>
          <w:sz w:val="21"/>
          <w:szCs w:val="21"/>
        </w:rPr>
        <w:t xml:space="preserve">, validity interval T</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Consent object C or rejection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Validate I</w:t>
      </w:r>
      <w:r>
        <w:rPr>
          <w:rFonts w:ascii="Cambria" w:cs="Cambria" w:eastAsia="Cambria" w:hAnsi="Cambria"/>
          <w:sz w:val="21"/>
          <w:szCs w:val="21"/>
          <w:vertAlign w:val="subscript"/>
        </w:rPr>
        <w:t xml:space="preserve">p</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is invalid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Validate authorised doctor D</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Validate guardian set G</w:t>
      </w:r>
    </w:p>
    <w:p>
      <w:pPr>
        <w:spacing w:after="20"/>
        <w:ind w:left="240"/>
      </w:pPr>
      <w:r>
        <w:rPr>
          <w:rFonts w:ascii="Cambria" w:cs="Cambria" w:eastAsia="Cambria" w:hAnsi="Cambria"/>
          <w:color w:val="555555"/>
          <w:sz w:val="18"/>
          <w:szCs w:val="18"/>
        </w:rPr>
        <w:t xml:space="preserve">7:  </w:t>
      </w:r>
      <w:r>
        <w:rPr>
          <w:rFonts w:ascii="Cambria" w:cs="Cambria" w:eastAsia="Cambria" w:hAnsi="Cambria"/>
          <w:sz w:val="21"/>
          <w:szCs w:val="21"/>
        </w:rPr>
        <w:t xml:space="preserve">Validate purpose P</w:t>
      </w:r>
      <w:r>
        <w:rPr>
          <w:rFonts w:ascii="Cambria" w:cs="Cambria" w:eastAsia="Cambria" w:hAnsi="Cambria"/>
          <w:sz w:val="21"/>
          <w:szCs w:val="21"/>
          <w:vertAlign w:val="subscript"/>
        </w:rPr>
        <w:t xml:space="preserve">u</w:t>
      </w:r>
    </w:p>
    <w:p>
      <w:pPr>
        <w:spacing w:after="20"/>
        <w:ind w:left="240"/>
      </w:pPr>
      <w:r>
        <w:rPr>
          <w:rFonts w:ascii="Cambria" w:cs="Cambria" w:eastAsia="Cambria" w:hAnsi="Cambria"/>
          <w:color w:val="555555"/>
          <w:sz w:val="18"/>
          <w:szCs w:val="18"/>
        </w:rPr>
        <w:t xml:space="preserve">8:  </w:t>
      </w:r>
      <w:r>
        <w:rPr>
          <w:rFonts w:ascii="Cambria" w:cs="Cambria" w:eastAsia="Cambria" w:hAnsi="Cambria"/>
          <w:sz w:val="21"/>
          <w:szCs w:val="21"/>
        </w:rPr>
        <w:t xml:space="preserve">Validate data scope S</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Validate validity interval T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Define authorisation requirement A</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Generate consent identifier id</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000000"/>
          <w:sz w:val="18"/>
          <w:szCs w:val="18"/>
        </w:rPr>
        <w:t xml:space="preserve">15:  </w:t>
      </w:r>
      <w:r>
        <w:rPr>
          <w:rFonts w:ascii="Cambria" w:cs="Cambria" w:eastAsia="Cambria" w:hAnsi="Cambria"/>
          <w:color w:val="000000"/>
          <w:sz w:val="21"/>
          <w:szCs w:val="21"/>
        </w:rPr>
        <w:t xml:space="preserve">Construct C = (I, A, P, T, L, E)</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Persist C</w:t>
      </w:r>
    </w:p>
    <w:p>
      <w:pPr>
        <w:spacing w:after="20"/>
        <w:ind w:left="240"/>
      </w:pPr>
      <w:r>
        <w:rPr>
          <w:rFonts w:ascii="Cambria" w:cs="Cambria" w:eastAsia="Cambria" w:hAnsi="Cambria"/>
          <w:color w:val="000000"/>
          <w:sz w:val="18"/>
          <w:szCs w:val="18"/>
        </w:rPr>
        <w:t xml:space="preserve">17:  </w:t>
      </w:r>
      <w:r>
        <w:rPr>
          <w:rFonts w:ascii="Cambria" w:cs="Cambria" w:eastAsia="Cambria" w:hAnsi="Cambria"/>
          <w:color w:val="000000"/>
          <w:sz w:val="21"/>
          <w:szCs w:val="21"/>
        </w:rPr>
        <w:t xml:space="preserve">state ← PENDING_SIGNATURE   ▷ nothing is anchored on-chain until all guardians approve</w:t>
      </w:r>
    </w:p>
    <w:p>
      <w:pPr>
        <w:spacing w:after="20"/>
        <w:ind w:left="24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consent creation evidence</w:t>
      </w:r>
    </w:p>
    <w:p>
      <w:pPr>
        <w:spacing w:after="20"/>
        <w:ind w:left="24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C</w:t>
      </w:r>
    </w:p>
    <w:p>
      <w:pPr>
        <w:pBdr>
          <w:bottom w:val="single" w:color="000000" w:sz="12"/>
        </w:pBdr>
        <w:spacing w:after="60"/>
      </w:pPr>
    </w:p>
    <w:p>
      <w:pPr>
        <w:spacing w:after="160"/>
      </w:pPr>
    </w:p>
    <w:p>
      <w:pPr>
        <w:pStyle w:val="Heading3"/>
        <w:spacing w:after="160" w:before="280"/>
      </w:pPr>
      <w:r>
        <w:t xml:space="preserve">6.1.3  Algorithm 1: Trust-Aware Consent Creation</w:t>
      </w:r>
    </w:p>
    <w:p>
      <w:pPr>
        <w:spacing w:after="140" w:line="300"/>
        <w:jc w:val="both"/>
      </w:pPr>
      <w:r>
        <w:rPr>
          <w:rFonts w:ascii="Cambria" w:cs="Cambria" w:eastAsia="Cambria" w:hAnsi="Cambria"/>
          <w:sz w:val="24"/>
          <w:szCs w:val="24"/>
        </w:rP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spacing w:after="160" w:before="280"/>
      </w:pPr>
      <w:r>
        <w:t xml:space="preserve">6.2  Decentralised Identity and Authority Trust for RO2</w:t>
      </w:r>
    </w:p>
    <w:p>
      <w:pPr>
        <w:spacing w:after="140" w:line="300"/>
        <w:jc w:val="both"/>
      </w:pPr>
      <w:r>
        <w:rPr>
          <w:rFonts w:ascii="Cambria" w:cs="Cambria" w:eastAsia="Cambria" w:hAnsi="Cambria"/>
          <w:sz w:val="24"/>
          <w:szCs w:val="24"/>
        </w:rPr>
        <w:t xml:space="preserve">RO2 addresses RQ2 by developing a decentralised identity and authority verification mechanism using Decentralised Identifiers and Verifiable Credentials. The objective is to establish trustworthy participants while explicitly separating identity authentication from authorisation authority. The central principle of RO2 is</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(52)</w:t>
      </w:r>
    </w:p>
    <w:p>
      <w:pPr>
        <w:spacing w:after="140" w:line="300"/>
        <w:jc w:val="both"/>
      </w:pPr>
      <w:r>
        <w:rPr>
          <w:rFonts w:ascii="Cambria" w:cs="Cambria" w:eastAsia="Cambria" w:hAnsi="Cambria"/>
          <w:sz w:val="24"/>
          <w:szCs w:val="24"/>
        </w:rP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verification condition can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(53)</w:t>
      </w:r>
    </w:p>
    <w:p>
      <w:pPr>
        <w:spacing w:after="140" w:line="300"/>
        <w:jc w:val="both"/>
      </w:pPr>
      <w:r>
        <w:rPr>
          <w:rFonts w:ascii="Cambria" w:cs="Cambria" w:eastAsia="Cambria" w:hAnsi="Cambria"/>
          <w:sz w:val="24"/>
          <w:szCs w:val="24"/>
        </w:rPr>
        <w:t xml:space="preserve">where u 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p>
      <w:pPr>
        <w:pStyle w:val="Heading3"/>
        <w:spacing w:after="160" w:before="280"/>
      </w:pPr>
      <w:r>
        <w:t xml:space="preserve">6.2.1  RO2 Identity and Authority Verification Workflow</w:t>
      </w:r>
    </w:p>
    <w:p>
      <w:pPr>
        <w:spacing w:after="140" w:line="300"/>
        <w:jc w:val="both"/>
      </w:pPr>
      <w:r>
        <w:rPr>
          <w:rFonts w:ascii="Cambria" w:cs="Cambria" w:eastAsia="Cambria" w:hAnsi="Cambria"/>
          <w:sz w:val="24"/>
          <w:szCs w:val="24"/>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The output of RO2 is not an access-grant decision. It is a verified identity and authority result that can be consumed by RO3 and RO4. This separation prevents a participant from obtaining access merely by presenting a valid identity credential.</w:t>
      </w:r>
    </w:p>
    <w:p>
      <w:pPr>
        <w:pStyle w:val="Heading3"/>
        <w:spacing w:after="160" w:before="280"/>
      </w:pPr>
      <w:r>
        <w:t xml:space="preserve">6.2.2  Procedure for DID and VC Identity and Authority Verification</w:t>
      </w:r>
    </w:p>
    <w:p>
      <w:pPr>
        <w:spacing w:after="140" w:line="300"/>
        <w:jc w:val="both"/>
      </w:pPr>
      <w:r>
        <w:rPr>
          <w:rFonts w:ascii="Cambria" w:cs="Cambria" w:eastAsia="Cambria" w:hAnsi="Cambria"/>
          <w:sz w:val="24"/>
          <w:szCs w:val="24"/>
        </w:rP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 u, the identity information represented by the DID, the attributes contained in the associated VC, and the authority requirements specified by the consent object C. The procedure consists of the following steps. 1. Step 1 – Resolve the Participant’s DID. The system first resolves the decentralised identifier (DID) associated with participant u. DID resolution retrieves the DID-related information required to establish the participant’s decentralised identity and identify the corresponding DID document. If the DID cannot be successfully resolved, the verification process terminates and returns INVALID. 2. Step 2 – Verify the DID Document. 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 INVALID outcome.</w:t>
      </w:r>
    </w:p>
    <w:p>
      <w:pPr>
        <w:keepNext/>
        <w:spacing w:after="60" w:before="140"/>
        <w:jc w:val="center"/>
      </w:pPr>
      <w:r>
        <w:drawing>
          <wp:inline distT="0" distB="0" distL="0" distR="0">
            <wp:extent cx="4000500" cy="5495925"/>
            <wp:effectExtent t="0" r="0" b="0" l="0"/>
            <wp:docPr id="1" name="gfig8.png" descr="Figure 12: RO2 workflow for decentralised identity and authority verification" title="Figure 12: RO2 workflow for decentralised identity and authority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5495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12: RO2 workflow for decentralised identity and authority verification</w:t>
      </w:r>
    </w:p>
    <w:p>
      <w:pPr>
        <w:jc w:val="center"/>
      </w:pPr>
      <w:r>
        <w:rPr>
          <w:rFonts w:ascii="Cambria" w:cs="Cambria" w:eastAsia="Cambria" w:hAnsi="Cambria"/>
          <w:i/>
          <w:iCs/>
          <w:sz w:val="20"/>
          <w:szCs w:val="20"/>
        </w:rPr>
        <w:t xml:space="preserve">[Figure 12: RO2 workflow for decentralised identity and authority verification]</w:t>
      </w:r>
    </w:p>
    <w:p>
      <w:pPr>
        <w:spacing w:after="140" w:line="300"/>
        <w:jc w:val="both"/>
      </w:pPr>
      <w:r>
        <w:rPr>
          <w:rFonts w:ascii="Cambria" w:cs="Cambria" w:eastAsia="Cambria" w:hAnsi="Cambria"/>
          <w:sz w:val="24"/>
          <w:szCs w:val="24"/>
        </w:rPr>
        <w:t xml:space="preserve">3. Step 3 – Retrieve the Participant’s Verifiable Credential. The system retrieves the verifiable credential (VC) associated with participant u. The VC provides machine-verifiable claims concerning the participant, such as professional role, organisational affiliation, or delegated authority. If an appropriate VC cannot be retrieved, the participant cannot establish the required authority and the verification process returns INVALID. 4. Step 4 – Verify the Verifiable Credential. </w:t>
      </w:r>
      <w:r>
        <w:rPr>
          <w:rFonts w:ascii="Cambria" w:cs="Cambria" w:eastAsia="Cambria" w:hAnsi="Cambria"/>
          <w:color w:val="000000"/>
          <w:sz w:val="24"/>
          <w:szCs w:val="24"/>
        </w:rPr>
        <w:t xml:space="preserve">In the target design the retrieved VC is cryptographically and semantically validated; the current prototype performs a structural check of the credential reference, and full cryptographic validation is specified as the production behaviour.</w:t>
      </w:r>
      <w:r>
        <w:rPr>
          <w:rFonts w:ascii="Cambria" w:cs="Cambria" w:eastAsia="Cambria" w:hAnsi="Cambria"/>
          <w:sz w:val="24"/>
          <w:szCs w:val="24"/>
        </w:rPr>
        <w:t xml:space="preserve">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 Formally, the credential can be considered valid only when VC</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Sig</w:t>
      </w:r>
      <w:r>
        <w:rPr>
          <w:rFonts w:ascii="Cambria" w:cs="Cambria" w:eastAsia="Cambria" w:hAnsi="Cambria"/>
          <w:sz w:val="24"/>
          <w:szCs w:val="24"/>
          <w:vertAlign w:val="subscript"/>
        </w:rPr>
        <w:t xml:space="preserve">VC</w:t>
      </w:r>
      <w:r>
        <w:rPr>
          <w:rFonts w:ascii="Cambria" w:cs="Cambria" w:eastAsia="Cambria" w:hAnsi="Cambria"/>
          <w:sz w:val="24"/>
          <w:szCs w:val="24"/>
        </w:rPr>
        <w:t xml:space="preserve"> ∧ Issuer</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Subject</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Time</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If any of these conditions fails, the verification process returns INVALID. 5. Step 5 – Extract Role and Authority Claims. Once the VC has been successfully verified, the system extracts the relevant role and authority claims associated with participant u.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 6. Step 6 – Compare Authority Claims with Consent Requirements. The extracted role and authority claims are compared against the authorisation requirements A specified in the consent object C. The purpose of this step is to ensure that possession of a valid identity or credential is not automatically interpreted as permission to access healthcare information. The authority verification condition can therefore be represented as Authority(u, C) = Claims(u) |=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where Claims(u) denotes the verified claims associated with participant u, and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denotes the authority requirements defined by consent object C. If the participant’s claims do not satisfy the required authority conditions, the system returns INVALID. 7. Step 7 – Establish Identity–Authority Binding. 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spacing w:after="140" w:line="300"/>
        <w:jc w:val="both"/>
      </w:pPr>
      <w:r>
        <w:rPr>
          <w:rFonts w:ascii="Cambria" w:cs="Cambria" w:eastAsia="Cambria" w:hAnsi="Cambria"/>
          <w:color w:val="000000"/>
          <w:sz w:val="24"/>
          <w:szCs w:val="24"/>
        </w:rPr>
        <w:t xml:space="preserve">This condition defines the target verification model rather than the behaviour presently exercised. The current prototype implements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(u) as a structural DID-format check and records its outcome in the audit ledger; cryptographic validation of verifiable credentials against the four conditions above is specified here as the production behaviour and is not yet exercised by the demonstration.</w:t>
      </w:r>
    </w:p>
    <w:p>
      <w:pPr>
        <w:spacing w:after="140" w:line="300"/>
        <w:jc w:val="both"/>
      </w:pPr>
      <w:r>
        <w:rPr>
          <w:rFonts w:ascii="Cambria" w:cs="Cambria" w:eastAsia="Cambria" w:hAnsi="Cambria"/>
          <w:sz w:val="24"/>
          <w:szCs w:val="24"/>
        </w:rPr>
        <w:t xml:space="preserve">8. Step 8 – Record Identity and Authority Evidence. 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 9. Step 9 – Return the Verification Result. If DID resolution, DID verification, VC retrieval, VC verification, and authority validation are all successfully completed, the system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Otherwise, the procedure terminates at the first failed mandatory verification condition and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INVALID. The overall verification process can therefore be represented as: DID</w:t>
      </w:r>
      <w:r>
        <w:rPr>
          <w:rFonts w:ascii="Cambria" w:cs="Cambria" w:eastAsia="Cambria" w:hAnsi="Cambria"/>
          <w:sz w:val="24"/>
          <w:szCs w:val="24"/>
          <w:vertAlign w:val="subscript"/>
        </w:rPr>
        <w:t xml:space="preserve">resolve</w:t>
      </w:r>
      <w:r>
        <w:rPr>
          <w:rFonts w:ascii="Cambria" w:cs="Cambria" w:eastAsia="Cambria" w:hAnsi="Cambria"/>
          <w:sz w:val="24"/>
          <w:szCs w:val="24"/>
        </w:rPr>
        <w:t xml:space="preserve"> → DID</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retrieve</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Claims</w:t>
      </w:r>
      <w:r>
        <w:rPr>
          <w:rFonts w:ascii="Cambria" w:cs="Cambria" w:eastAsia="Cambria" w:hAnsi="Cambria"/>
          <w:sz w:val="24"/>
          <w:szCs w:val="24"/>
          <w:vertAlign w:val="subscript"/>
        </w:rPr>
        <w:t xml:space="preserve">extract</w:t>
      </w:r>
      <w:r>
        <w:rPr>
          <w:rFonts w:ascii="Cambria" w:cs="Cambria" w:eastAsia="Cambria" w:hAnsi="Cambria"/>
          <w:sz w:val="24"/>
          <w:szCs w:val="24"/>
        </w:rPr>
        <w:t xml:space="preserve"> → Authority</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Evidence</w:t>
      </w:r>
      <w:r>
        <w:rPr>
          <w:rFonts w:ascii="Cambria" w:cs="Cambria" w:eastAsia="Cambria" w:hAnsi="Cambria"/>
          <w:sz w:val="24"/>
          <w:szCs w:val="24"/>
          <w:vertAlign w:val="subscript"/>
        </w:rPr>
        <w:t xml:space="preserve">record</w:t>
      </w:r>
      <w:r>
        <w:rPr>
          <w:rFonts w:ascii="Cambria" w:cs="Cambria" w:eastAsia="Cambria" w:hAnsi="Cambria"/>
          <w:sz w:val="24"/>
          <w:szCs w:val="24"/>
        </w:rPr>
        <w:t xml:space="preserve">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The procedure establishes an important separation between identity verification and authority verification.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 C. Consequently, the procedure can be interpreted as a two-layer verification mechanism Identity(u) ∧ CredentialValidity(u) ∧ Authority(u, C)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p>
      <w:pPr>
        <w:pStyle w:val="Heading3"/>
        <w:spacing w:after="160" w:before="280"/>
      </w:pPr>
      <w:r>
        <w:t xml:space="preserve">6.2.3  Algorithm 2: DID and VC Identity and Authority Verification</w:t>
      </w:r>
    </w:p>
    <w:p>
      <w:pPr>
        <w:spacing w:after="140" w:line="300"/>
        <w:jc w:val="both"/>
      </w:pPr>
      <w:r>
        <w:rPr>
          <w:rFonts w:ascii="Cambria" w:cs="Cambria" w:eastAsia="Cambria" w:hAnsi="Cambria"/>
          <w:sz w:val="24"/>
          <w:szCs w:val="24"/>
        </w:rP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contributes to the trust-oriented framework by converting identity and authority claims into verifiable evidence. However, it does not independently establish collective consent or policy compliance. Those conditions are evaluated by RO3 and RO4.</w:t>
      </w:r>
    </w:p>
    <w:p>
      <w:pPr>
        <w:pBdr>
          <w:top w:val="single" w:color="000000" w:sz="12"/>
          <w:bottom w:val="single" w:color="000000" w:sz="6"/>
        </w:pBdr>
        <w:spacing w:after="40" w:before="220"/>
      </w:pPr>
      <w:r>
        <w:rPr>
          <w:rFonts w:ascii="Cambria" w:cs="Cambria" w:eastAsia="Cambria" w:hAnsi="Cambria"/>
          <w:b/>
          <w:bCs/>
          <w:sz w:val="21"/>
          <w:szCs w:val="21"/>
        </w:rPr>
        <w:t xml:space="preserve">Algorithm 2 </w:t>
      </w:r>
      <w:r>
        <w:rPr>
          <w:rFonts w:ascii="Cambria" w:cs="Cambria" w:eastAsia="Cambria" w:hAnsi="Cambria"/>
          <w:sz w:val="21"/>
          <w:szCs w:val="21"/>
        </w:rPr>
        <w:t xml:space="preserve">DID and VC Identity and Authority Verification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Participant u, consent object C</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Verification result V</w:t>
      </w:r>
      <w:r>
        <w:rPr>
          <w:rFonts w:ascii="Cambria" w:cs="Cambria" w:eastAsia="Cambria" w:hAnsi="Cambria"/>
          <w:sz w:val="21"/>
          <w:szCs w:val="21"/>
          <w:vertAlign w:val="subscript"/>
        </w:rPr>
        <w:t xml:space="preserve">I</w:t>
      </w:r>
      <w:r>
        <w:rPr>
          <w:rFonts w:ascii="Cambria" w:cs="Cambria" w:eastAsia="Cambria" w:hAnsi="Cambria"/>
          <w:sz w:val="21"/>
          <w:szCs w:val="21"/>
        </w:rPr>
        <w:t xml:space="preserve">(u)</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Resolve DID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DID resolution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Verify DID document and associated identity information</w:t>
      </w:r>
    </w:p>
    <w:p>
      <w:pPr>
        <w:spacing w:after="20"/>
        <w:ind w:left="24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if</w:t>
      </w:r>
      <w:r>
        <w:rPr>
          <w:rFonts w:ascii="Cambria" w:cs="Cambria" w:eastAsia="Cambria" w:hAnsi="Cambria"/>
          <w:sz w:val="21"/>
          <w:szCs w:val="21"/>
        </w:rPr>
        <w:t xml:space="preserve"> DID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Retrieve VC associated with u</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VC retrieval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Verify VC signature, issuer, subject, and validity</w:t>
      </w:r>
    </w:p>
    <w:p>
      <w:pPr>
        <w:spacing w:after="20"/>
        <w:ind w:left="24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if</w:t>
      </w:r>
      <w:r>
        <w:rPr>
          <w:rFonts w:ascii="Cambria" w:cs="Cambria" w:eastAsia="Cambria" w:hAnsi="Cambria"/>
          <w:sz w:val="21"/>
          <w:szCs w:val="21"/>
        </w:rPr>
        <w:t xml:space="preserve"> VC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16: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Extract role and authority claims from VC</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claims do not satisfy the authority requirements of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identity and authority verification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pStyle w:val="Heading2"/>
        <w:spacing w:after="160" w:before="280"/>
      </w:pPr>
      <w:r>
        <w:t xml:space="preserve">6.3  Trustworthy Multi-Party Authorisation for RO3</w:t>
      </w:r>
    </w:p>
    <w:p>
      <w:pPr>
        <w:spacing w:after="140" w:line="300"/>
        <w:jc w:val="both"/>
      </w:pPr>
      <w:r>
        <w:rPr>
          <w:rFonts w:ascii="Cambria" w:cs="Cambria" w:eastAsia="Cambria" w:hAnsi="Cambria"/>
          <w:sz w:val="24"/>
          <w:szCs w:val="24"/>
        </w:rPr>
        <w:t xml:space="preserve">RO3 addresses RQ3 by developing a threshold-based multi-party authorisation mechanism. The objective is to ensure that sensitive healthcare data cannot be accessed through unilateral approval when the consent requires participation from multiple independently verified parties.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valid approvals and let N denote the required authorisation threshold. The threshold condition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(54)</w:t>
      </w:r>
    </w:p>
    <w:p>
      <w:pPr>
        <w:spacing w:after="140" w:line="300"/>
        <w:jc w:val="both"/>
      </w:pPr>
      <w:r>
        <w:rPr>
          <w:rFonts w:ascii="Cambria" w:cs="Cambria" w:eastAsia="Cambria" w:hAnsi="Cambria"/>
          <w:sz w:val="24"/>
          <w:szCs w:val="24"/>
        </w:rPr>
        <w:t xml:space="preserve">The threshold mechanism establishes collective authorisation. For example, a consent may require two valid guardian approvals. In this case, one valid approval is insufficient, whereas two valid approvals satisfy the threshold.</w:t>
      </w:r>
    </w:p>
    <w:p>
      <w:pPr>
        <w:spacing w:after="140" w:line="300"/>
        <w:jc w:val="both"/>
      </w:pPr>
      <w:r>
        <w:rPr>
          <w:rFonts w:ascii="Cambria" w:cs="Cambria" w:eastAsia="Cambria" w:hAnsi="Cambria"/>
          <w:color w:val="000000"/>
          <w:sz w:val="24"/>
          <w:szCs w:val="24"/>
        </w:rPr>
        <w:t xml:space="preserve">In the current implementation the threshold is fixed to the full guardian set, N = |G|, so that every designated guardian must approve before the consent is activated; the demonstrated configuration is therefore 2-of-2. This distinction is important because a configurable k-of-n threshold, while a direct generalisation of the implemented mechanism, is left to future work.</w:t>
      </w:r>
    </w:p>
    <w:p>
      <w:pPr>
        <w:pStyle w:val="Heading3"/>
        <w:spacing w:after="160" w:before="280"/>
      </w:pPr>
      <w:r>
        <w:t xml:space="preserve">6.3.1  RO3 Multi-Party Authorisation Workflow</w:t>
      </w:r>
    </w:p>
    <w:p>
      <w:pPr>
        <w:spacing w:after="140" w:line="300"/>
        <w:jc w:val="both"/>
      </w:pPr>
      <w:r>
        <w:rPr>
          <w:rFonts w:ascii="Cambria" w:cs="Cambria" w:eastAsia="Cambria" w:hAnsi="Cambria"/>
          <w:sz w:val="24"/>
          <w:szCs w:val="24"/>
        </w:rPr>
        <w:t xml:space="preserve">The workflow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 The authorisation becomes active only when the number of valid approvals reaches the required threshold. In the HALAH implementation, the Guardian workflow verifies the guardian VC, appends the guardian DID to the consent signatures, and displays the current approval count relative to the threshold. When the threshold is reached, the implementation assigns an SBT identifier and records the corresponding minting event. 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p>
      <w:pPr>
        <w:spacing w:after="140" w:line="300"/>
        <w:jc w:val="both"/>
      </w:pPr>
      <w:r>
        <w:rPr>
          <w:rFonts w:ascii="Cambria" w:cs="Cambria" w:eastAsia="Cambria" w:hAnsi="Cambria"/>
          <w:color w:val="000000"/>
          <w:sz w:val="24"/>
          <w:szCs w:val="24"/>
        </w:rPr>
        <w:t xml:space="preserve">In the HALAH implementation, the guardian's authority is evidenced by an EIP-712 typed-data signature bound to the consent identifier, the guardian DID and the Sepolia chain identifier, and verified through off-chain signer recovery. The VC verification that precedes it is presently a DID-format check, and the signing keys are derived deterministically from the guardian DIDs in place of wallet-held keys, a substitution acknowledged as a prototype limitation.</w:t>
      </w:r>
    </w:p>
    <w:p>
      <w:pPr>
        <w:pStyle w:val="Heading3"/>
        <w:spacing w:after="160" w:before="280"/>
      </w:pPr>
      <w:r>
        <w:t xml:space="preserve">6.3.2  Procedure for Threshold-Based Multi-Party Authorisation</w:t>
      </w:r>
    </w:p>
    <w:p>
      <w:pPr>
        <w:spacing w:after="140" w:line="300"/>
        <w:jc w:val="both"/>
      </w:pPr>
      <w:r>
        <w:rPr>
          <w:rFonts w:ascii="Cambria" w:cs="Cambria" w:eastAsia="Cambria" w:hAnsi="Cambria"/>
          <w:sz w:val="24"/>
          <w:szCs w:val="24"/>
        </w:rP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 1. Step 1 – Retrieve the Required Participant Set. The system first retrieves the required participant set G associated with the consent object C. The set G defines which participants are eligible to contribute an approval to the authorisation process. Depending on the consent configuration, G may contain healthcare professionals, guardians, institutional representatives, or other authorised parties.</w:t>
      </w:r>
    </w:p>
    <w:p>
      <w:pPr>
        <w:keepNext/>
        <w:spacing w:after="60" w:before="140"/>
        <w:jc w:val="center"/>
      </w:pPr>
      <w:r>
        <w:drawing>
          <wp:inline distT="0" distB="0" distL="0" distR="0">
            <wp:extent cx="4191000" cy="5981700"/>
            <wp:effectExtent t="0" r="0" b="0" l="0"/>
            <wp:docPr id="1" name="gfig9.png" descr="Figure 13: RO3 workflow for threshold-based multi-party authorisation" title="Figure 13: 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598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13: RO3 workflow for threshold-based multi-party authorisation</w:t>
      </w:r>
    </w:p>
    <w:p>
      <w:pPr>
        <w:jc w:val="center"/>
      </w:pPr>
      <w:r>
        <w:rPr>
          <w:rFonts w:ascii="Cambria" w:cs="Cambria" w:eastAsia="Cambria" w:hAnsi="Cambria"/>
          <w:i/>
          <w:iCs/>
          <w:sz w:val="20"/>
          <w:szCs w:val="20"/>
        </w:rPr>
        <w:t xml:space="preserve">[Figure 13: RO3 workflow for threshold-based multi-party authorisation]</w:t>
      </w:r>
    </w:p>
    <w:p>
      <w:pPr>
        <w:spacing w:after="140" w:line="300"/>
        <w:jc w:val="both"/>
      </w:pPr>
      <w:r>
        <w:rPr>
          <w:rFonts w:ascii="Cambria" w:cs="Cambria" w:eastAsia="Cambria" w:hAnsi="Cambria"/>
          <w:sz w:val="24"/>
          <w:szCs w:val="24"/>
        </w:rPr>
        <w:t xml:space="preserve">2. Step 2 – Define the Authorisation Threshold.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3. Step 3 – Receive a Participant Approval. A participant submits an approval a associated with consent object C. The approval is treated as a candidate authorisation contribution and is not considered valid until the identity and authority of the submitting participant have been verified. 4. Step 4 – Verify the Identity and Authority of the Approving Participant. The system verifies the identity and authority of the participant submitting a. The verification process may invoke the DID and VC verification procedure described in Algorithm 2. The system therefore determines whether the participant possesses a valid identity and whether the associated authority claims satisfy the requirements of consent object C. If the verification fails, the approval is classified as invalid. The system records the invalid approval event and returns DENY for that approval attempt. 5. Step 5 – Verify Participant Eligibility. If the participant’s identity and authority are successfully verified, the system determines whether the participant belongs to the required participant set G. Formally, u ∈ G. If the participant is not a member of G, the approval cannot contribute to the threshold. The system records the event as an unauthorised approval attempt and returns DENY. 6. Step 6 – Check for Duplicate Approval. The system checks whether the participant has already approved consent object C. This prevents a single participant from submitting multiple approvals and artificially satisfying the threshold. Formally, for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that u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If the participant has already submitted a valid approval, the system records a duplicate approval event and rejects the additional approval. 7. Step 7 – Record the Valid Approval. If the participant is both authorised and eligible, and no previous approval from that participant exists, the system records the approval a as valid. The corresponding participant is added to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The approval set is therefore updated according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 Each valid approval becomes an independent piece of authorisation evidence associated with consent object C. 8. Step 8 – Evaluate the Approval Threshold. The system evaluates the number of valid approvals currently associated with the consent: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This comparison determines whether the minimum number of required participants has been reached. Importantly, only approvals that have passed identity, authority, membership, and duplicate checks are included in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9. Step 9 – Activate the Authorisation if the Threshold Is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required threshold has been satisfied. The system activates the authorisation associated with consent object C. The activation indicates that the consent has obtained sufficient valid multi-party approval to proceed to the subsequent access-control or data-access stage. 10. Step 10 – Generate Activation Evidence. Following successful threshold satisfaction, the system generates activation or token evidence associated with the authorisation decision. The evidence may include the consent identifier, threshold value N, identities of the approving participants, approval timestamps, and the resulting authorisation state. This evidence provides a verifiable representation of how the authorisation was activated and which participants contributed to the decision. 11. Step 11 – Record the Threshold-Satisfied Event. The system records a threshold-satisfied event in the audit infrastructure. This event provides an immutable or otherwise tamper-evident record of the transition from a pending consent state to an active authorisation state. 12. Step 12 – Maintain Pending State if the Threshold Is Not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the consent does not yet satisfy the required multi-party authorisation condition. The system therefore maintains the consent in a PENDING state rather than activating access. The system records a threshold-pending event so that the current authorisation state and the remaining approval requirement can be reconstructed during subsequent verification or audit.</w:t>
      </w:r>
    </w:p>
    <w:p>
      <w:pPr>
        <w:spacing w:after="140" w:line="300"/>
        <w:jc w:val="both"/>
      </w:pPr>
      <w:r>
        <w:rPr>
          <w:rFonts w:ascii="Cambria" w:cs="Cambria" w:eastAsia="Cambria" w:hAnsi="Cambria"/>
          <w:sz w:val="24"/>
          <w:szCs w:val="24"/>
        </w:rPr>
        <w:t xml:space="preserve">13. Step 13 – Return the Authorisation Result. The final result is determined according to the threshold condition: Authorisation(C) = { ALLOW,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PENDING,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 Invalid, unauthorised, or duplicate approval attempts are rejected and do not contribute to the valid approval count. The overall procedure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G → N → a → Identity/Authority → Eligibility → Duplicate Check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 { ALLOW; PENDING }</w:t>
      </w:r>
      <w:r>
        <w:rPr>
          <w:rFonts w:ascii="Cambria" w:cs="Cambria" w:eastAsia="Cambria" w:hAnsi="Cambria"/>
          <w:sz w:val="22"/>
          <w:szCs w:val="22"/>
        </w:rPr>
        <w:t xml:space="preserve">	(55)</w:t>
      </w:r>
    </w:p>
    <w:p>
      <w:pPr>
        <w:spacing w:after="140" w:line="300"/>
        <w:jc w:val="both"/>
      </w:pPr>
      <w:r>
        <w:rPr>
          <w:rFonts w:ascii="Cambria" w:cs="Cambria" w:eastAsia="Cambria" w:hAnsi="Cambria"/>
          <w:sz w:val="24"/>
          <w:szCs w:val="24"/>
        </w:rPr>
        <w:t xml:space="preserve">The threshold condition can be expressed more explicitly as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Identity(u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Authority(u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C) ∧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G)]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Authorisation(C) = ALLOW. This formulation is important because the threshold is not calculated from the number of submitted approvals alone. Instead, only valid, authorised, eligible, and non-duplicate approvals contribute to the threshold. Consequently, the procedure prevents a participant from satisfying the authorisation requirement merely by submitting multiple approvals or by presenting a valid identity without possessing the required authority. The procedure also introduces a clear distinction between approval and authorisation.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 From a trust perspective, the procedure can therefore be interpreted as</w:t>
      </w:r>
    </w:p>
    <w:p>
      <w:pPr>
        <w:tabs>
          <w:tab w:val="right" w:pos="9360"/>
        </w:tabs>
        <w:spacing w:after="160" w:before="60"/>
        <w:jc w:val="center"/>
      </w:pPr>
      <w:r>
        <w:rPr>
          <w:rFonts w:ascii="Cambria Math" w:cs="Cambria Math" w:eastAsia="Cambria Math" w:hAnsi="Cambria Math"/>
          <w:i/>
          <w:iCs/>
          <w:sz w:val="22"/>
          <w:szCs w:val="22"/>
        </w:rPr>
        <w:t xml:space="preserve">Individual Trust Evidence → Collective Approval Evidence → Threshold Satisfaction → Authorisation Activation</w:t>
      </w:r>
      <w:r>
        <w:rPr>
          <w:rFonts w:ascii="Cambria" w:cs="Cambria" w:eastAsia="Cambria" w:hAnsi="Cambria"/>
          <w:sz w:val="22"/>
          <w:szCs w:val="22"/>
        </w:rPr>
        <w:t xml:space="preserve">	(56)</w:t>
      </w:r>
    </w:p>
    <w:p>
      <w:pPr>
        <w:pStyle w:val="Heading3"/>
        <w:spacing w:after="160" w:before="280"/>
      </w:pPr>
      <w:r>
        <w:t xml:space="preserve">6.3.3  Algorithm 3: Threshold-Based Multi-Party Authorisation</w:t>
      </w:r>
    </w:p>
    <w:p>
      <w:pPr>
        <w:spacing w:after="140" w:line="300"/>
        <w:jc w:val="both"/>
      </w:pPr>
      <w:r>
        <w:rPr>
          <w:rFonts w:ascii="Cambria" w:cs="Cambria" w:eastAsia="Cambria" w:hAnsi="Cambria"/>
          <w:sz w:val="24"/>
          <w:szCs w:val="24"/>
        </w:rPr>
        <w:t xml:space="preserve">Algorithm 3 explicitly distinguishes between invalid, duplicate, and valid approvals. This distinction is important because simply counting submitted signatures could incorrectly treat unauthorised or repeated approvals as independent evidence. 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Bdr>
          <w:top w:val="single" w:color="000000" w:sz="12"/>
          <w:bottom w:val="single" w:color="000000" w:sz="6"/>
        </w:pBdr>
        <w:spacing w:after="40" w:before="220"/>
      </w:pPr>
      <w:r>
        <w:rPr>
          <w:rFonts w:ascii="Cambria" w:cs="Cambria" w:eastAsia="Cambria" w:hAnsi="Cambria"/>
          <w:b/>
          <w:bCs/>
          <w:sz w:val="21"/>
          <w:szCs w:val="21"/>
        </w:rPr>
        <w:t xml:space="preserve">Algorithm 3 </w:t>
      </w:r>
      <w:r>
        <w:rPr>
          <w:rFonts w:ascii="Cambria" w:cs="Cambria" w:eastAsia="Cambria" w:hAnsi="Cambria"/>
          <w:sz w:val="21"/>
          <w:szCs w:val="21"/>
        </w:rPr>
        <w:t xml:space="preserve">Threshold-Based Multi-Party Authorisation</w:t>
      </w:r>
    </w:p>
    <w:p>
      <w:pPr>
        <w:spacing w:after="20"/>
      </w:pPr>
      <w:r>
        <w:rPr>
          <w:rFonts w:ascii="Cambria" w:cs="Cambria" w:eastAsia="Cambria" w:hAnsi="Cambria"/>
          <w:b/>
          <w:bCs/>
          <w:color w:val="000000"/>
          <w:sz w:val="21"/>
          <w:szCs w:val="21"/>
        </w:rPr>
        <w:t xml:space="preserve">Require: </w:t>
      </w:r>
      <w:r>
        <w:rPr>
          <w:rFonts w:ascii="Cambria" w:cs="Cambria" w:eastAsia="Cambria" w:hAnsi="Cambria"/>
          <w:color w:val="000000"/>
          <w:sz w:val="21"/>
          <w:szCs w:val="21"/>
        </w:rPr>
        <w:t xml:space="preserve">Consent object C, participant approval a</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Authorisation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required participant set G</w:t>
      </w:r>
    </w:p>
    <w:p>
      <w:pPr>
        <w:spacing w:after="20"/>
        <w:ind w:left="240"/>
      </w:pPr>
      <w:r>
        <w:rPr>
          <w:rFonts w:ascii="Cambria" w:cs="Cambria" w:eastAsia="Cambria" w:hAnsi="Cambria"/>
          <w:color w:val="000000"/>
          <w:sz w:val="18"/>
          <w:szCs w:val="18"/>
        </w:rPr>
        <w:t xml:space="preserve">2:  </w:t>
      </w:r>
      <w:r>
        <w:rPr>
          <w:rFonts w:ascii="Cambria" w:cs="Cambria" w:eastAsia="Cambria" w:hAnsi="Cambria"/>
          <w:color w:val="000000"/>
          <w:sz w:val="21"/>
          <w:szCs w:val="21"/>
        </w:rPr>
        <w:t xml:space="preserve">N ← |G|</w:t>
      </w:r>
    </w:p>
    <w:p>
      <w:pPr>
        <w:spacing w:after="20"/>
        <w:ind w:left="240"/>
      </w:pPr>
      <w:r>
        <w:rPr>
          <w:rFonts w:ascii="Cambria" w:cs="Cambria" w:eastAsia="Cambria" w:hAnsi="Cambria"/>
          <w:color w:val="000000"/>
          <w:sz w:val="18"/>
          <w:szCs w:val="18"/>
        </w:rPr>
        <w:t xml:space="preserve">3:  </w:t>
      </w:r>
      <w:r>
        <w:rPr>
          <w:rFonts w:ascii="Cambria" w:cs="Cambria" w:eastAsia="Cambria" w:hAnsi="Cambria"/>
          <w:color w:val="000000"/>
          <w:sz w:val="21"/>
          <w:szCs w:val="21"/>
        </w:rPr>
        <w:t xml:space="preserve">signer ← RecoverEIP712(domain, {id</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g, APPROVE},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   ▷ off-chain recovery</w:t>
      </w:r>
    </w:p>
    <w:p>
      <w:pPr>
        <w:spacing w:after="20"/>
        <w:ind w:left="240"/>
      </w:pPr>
      <w:r>
        <w:rPr>
          <w:rFonts w:ascii="Cambria" w:cs="Cambria" w:eastAsia="Cambria" w:hAnsi="Cambria"/>
          <w:color w:val="000000"/>
          <w:sz w:val="18"/>
          <w:szCs w:val="18"/>
        </w:rPr>
        <w:t xml:space="preserve">4: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signer ≠ Addr(g), or the signature binds a different consent, guardian, or chain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5:  </w:t>
      </w:r>
      <w:r>
        <w:rPr>
          <w:rFonts w:ascii="Cambria" w:cs="Cambria" w:eastAsia="Cambria" w:hAnsi="Cambria"/>
          <w:sz w:val="21"/>
          <w:szCs w:val="21"/>
        </w:rPr>
        <w:t xml:space="preserve">Record invalid approval</w:t>
      </w:r>
    </w:p>
    <w:p>
      <w:pPr>
        <w:spacing w:after="20"/>
        <w:ind w:left="60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if</w:t>
      </w:r>
      <w:r>
        <w:rPr>
          <w:rFonts w:ascii="Cambria" w:cs="Cambria" w:eastAsia="Cambria" w:hAnsi="Cambria"/>
          <w:sz w:val="21"/>
          <w:szCs w:val="21"/>
        </w:rPr>
        <w:t xml:space="preserve"> participant is not in G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Record unauthorised approval attempt</w:t>
      </w:r>
    </w:p>
    <w:p>
      <w:pPr>
        <w:spacing w:after="20"/>
        <w:ind w:left="60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participant has already approved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duplicate approval</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16:  </w:t>
      </w:r>
      <w:r>
        <w:rPr>
          <w:rFonts w:ascii="Cambria" w:cs="Cambria" w:eastAsia="Cambria" w:hAnsi="Cambria"/>
          <w:color w:val="000000"/>
          <w:sz w:val="21"/>
          <w:szCs w:val="21"/>
        </w:rPr>
        <w:t xml:space="preserve">Record signature_data[g] ← (signer,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Update valid approval set A</w:t>
      </w:r>
      <w:r>
        <w:rPr>
          <w:rFonts w:ascii="Cambria" w:cs="Cambria" w:eastAsia="Cambria" w:hAnsi="Cambria"/>
          <w:sz w:val="21"/>
          <w:szCs w:val="21"/>
          <w:vertAlign w:val="subscript"/>
        </w:rPr>
        <w:t xml:space="preserve">v</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|A</w:t>
      </w:r>
      <w:r>
        <w:rPr>
          <w:rFonts w:ascii="Cambria" w:cs="Cambria" w:eastAsia="Cambria" w:hAnsi="Cambria"/>
          <w:sz w:val="21"/>
          <w:szCs w:val="21"/>
          <w:vertAlign w:val="subscript"/>
        </w:rPr>
        <w:t xml:space="preserve">v</w:t>
      </w:r>
      <w:r>
        <w:rPr>
          <w:rFonts w:ascii="Cambria" w:cs="Cambria" w:eastAsia="Cambria" w:hAnsi="Cambria"/>
          <w:sz w:val="21"/>
          <w:szCs w:val="21"/>
        </w:rPr>
        <w:t xml:space="preserve">| ≥ 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sz w:val="21"/>
          <w:szCs w:val="21"/>
        </w:rPr>
        <w:t xml:space="preserve">Activate authorisation</w:t>
      </w:r>
    </w:p>
    <w:p>
      <w:pPr>
        <w:spacing w:after="20"/>
        <w:ind w:left="600"/>
      </w:pPr>
      <w:r>
        <w:rPr>
          <w:rFonts w:ascii="Cambria" w:cs="Cambria" w:eastAsia="Cambria" w:hAnsi="Cambria"/>
          <w:color w:val="000000"/>
          <w:sz w:val="18"/>
          <w:szCs w:val="18"/>
        </w:rPr>
        <w:t xml:space="preserve">20:  </w:t>
      </w:r>
      <w:r>
        <w:rPr>
          <w:rFonts w:ascii="Cambria" w:cs="Cambria" w:eastAsia="Cambria" w:hAnsi="Cambria"/>
          <w:color w:val="000000"/>
          <w:sz w:val="21"/>
          <w:szCs w:val="21"/>
        </w:rPr>
        <w:t xml:space="preserve">state ← PENDING_TOKEN</w:t>
      </w:r>
    </w:p>
    <w:p>
      <w:pPr>
        <w:spacing w:after="20"/>
        <w:ind w:left="600"/>
      </w:pPr>
      <w:r>
        <w:rPr>
          <w:rFonts w:ascii="Cambria" w:cs="Cambria" w:eastAsia="Cambria" w:hAnsi="Cambria"/>
          <w:color w:val="000000"/>
          <w:sz w:val="18"/>
          <w:szCs w:val="18"/>
        </w:rPr>
        <w:t xml:space="preserve">21:  </w:t>
      </w:r>
      <w:r>
        <w:rPr>
          <w:rFonts w:ascii="Cambria" w:cs="Cambria" w:eastAsia="Cambria" w:hAnsi="Cambria"/>
          <w:color w:val="000000"/>
          <w:sz w:val="21"/>
          <w:szCs w:val="21"/>
        </w:rPr>
        <w:t xml:space="preserve">submit mintConsentV3(addr</w:t>
      </w:r>
      <w:r>
        <w:rPr>
          <w:rFonts w:ascii="Cambria" w:cs="Cambria" w:eastAsia="Cambria" w:hAnsi="Cambria"/>
          <w:color w:val="000000"/>
          <w:sz w:val="21"/>
          <w:szCs w:val="21"/>
          <w:vertAlign w:val="subscript"/>
        </w:rPr>
        <w:t xml:space="preserve">p</w:t>
      </w:r>
      <w:r>
        <w:rPr>
          <w:rFonts w:ascii="Cambria" w:cs="Cambria" w:eastAsia="Cambria" w:hAnsi="Cambria"/>
          <w:color w:val="000000"/>
          <w:sz w:val="21"/>
          <w:szCs w:val="21"/>
        </w:rPr>
        <w:t xml:space="preserve">, addr</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keccak(P</w:t>
      </w:r>
      <w:r>
        <w:rPr>
          <w:rFonts w:ascii="Cambria" w:cs="Cambria" w:eastAsia="Cambria" w:hAnsi="Cambria"/>
          <w:color w:val="000000"/>
          <w:sz w:val="21"/>
          <w:szCs w:val="21"/>
          <w:vertAlign w:val="subscript"/>
        </w:rPr>
        <w:t xml:space="preserve">u</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L, burnAuth) via the owner account   ▷ background job; reconciled on next lookup</w:t>
      </w:r>
    </w:p>
    <w:p>
      <w:pPr>
        <w:spacing w:after="20"/>
        <w:ind w:left="600"/>
      </w:pPr>
      <w:r>
        <w:rPr>
          <w:rFonts w:ascii="Cambria" w:cs="Cambria" w:eastAsia="Cambria" w:hAnsi="Cambria"/>
          <w:color w:val="000000"/>
          <w:sz w:val="18"/>
          <w:szCs w:val="18"/>
        </w:rPr>
        <w:t xml:space="preserve">22:  </w:t>
      </w:r>
      <w:r>
        <w:rPr>
          <w:rFonts w:ascii="Cambria" w:cs="Cambria" w:eastAsia="Cambria" w:hAnsi="Cambria"/>
          <w:color w:val="000000"/>
          <w:sz w:val="21"/>
          <w:szCs w:val="21"/>
        </w:rPr>
        <w:t xml:space="preserve">on confirmation: state ← ACTIVE; record the token identifier</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threshold-satisfied event</w:t>
      </w:r>
    </w:p>
    <w:p>
      <w:pPr>
        <w:spacing w:after="20"/>
        <w:ind w:left="600"/>
      </w:pPr>
      <w:r>
        <w:rPr>
          <w:rFonts w:ascii="Cambria" w:cs="Cambria" w:eastAsia="Cambria" w:hAnsi="Cambria"/>
          <w:color w:val="000000"/>
          <w:sz w:val="18"/>
          <w:szCs w:val="18"/>
        </w:rPr>
        <w:t xml:space="preserve">24: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ACTIVATED   ▷ activation is distinct from the access decision</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else</w:t>
      </w:r>
    </w:p>
    <w:p>
      <w:pPr>
        <w:spacing w:after="20"/>
        <w:ind w:left="600"/>
      </w:pPr>
      <w:r>
        <w:rPr>
          <w:rFonts w:ascii="Cambria" w:cs="Cambria" w:eastAsia="Cambria" w:hAnsi="Cambria"/>
          <w:color w:val="555555"/>
          <w:sz w:val="18"/>
          <w:szCs w:val="18"/>
        </w:rPr>
        <w:t xml:space="preserve">26:  </w:t>
      </w:r>
      <w:r>
        <w:rPr>
          <w:rFonts w:ascii="Cambria" w:cs="Cambria" w:eastAsia="Cambria" w:hAnsi="Cambria"/>
          <w:sz w:val="21"/>
          <w:szCs w:val="21"/>
        </w:rPr>
        <w:t xml:space="preserve">Keep consent in pending state</w:t>
      </w:r>
    </w:p>
    <w:p>
      <w:pPr>
        <w:spacing w:after="20"/>
        <w:ind w:left="600"/>
      </w:pPr>
      <w:r>
        <w:rPr>
          <w:rFonts w:ascii="Cambria" w:cs="Cambria" w:eastAsia="Cambria" w:hAnsi="Cambria"/>
          <w:color w:val="555555"/>
          <w:sz w:val="18"/>
          <w:szCs w:val="18"/>
        </w:rPr>
        <w:t xml:space="preserve">27:  </w:t>
      </w:r>
      <w:r>
        <w:rPr>
          <w:rFonts w:ascii="Cambria" w:cs="Cambria" w:eastAsia="Cambria" w:hAnsi="Cambria"/>
          <w:sz w:val="21"/>
          <w:szCs w:val="21"/>
        </w:rPr>
        <w:t xml:space="preserve">Record threshold-pending event</w:t>
      </w:r>
    </w:p>
    <w:p>
      <w:pPr>
        <w:spacing w:after="20"/>
        <w:ind w:left="600"/>
      </w:pPr>
      <w:r>
        <w:rPr>
          <w:rFonts w:ascii="Cambria" w:cs="Cambria" w:eastAsia="Cambria" w:hAnsi="Cambria"/>
          <w:color w:val="555555"/>
          <w:sz w:val="18"/>
          <w:szCs w:val="18"/>
        </w:rPr>
        <w:t xml:space="preserve">28:  </w:t>
      </w:r>
      <w:r>
        <w:rPr>
          <w:rFonts w:ascii="Cambria" w:cs="Cambria" w:eastAsia="Cambria" w:hAnsi="Cambria"/>
          <w:b/>
          <w:bCs/>
          <w:sz w:val="21"/>
          <w:szCs w:val="21"/>
        </w:rPr>
        <w:t xml:space="preserve">return</w:t>
      </w:r>
      <w:r>
        <w:rPr>
          <w:rFonts w:ascii="Cambria" w:cs="Cambria" w:eastAsia="Cambria" w:hAnsi="Cambria"/>
          <w:sz w:val="21"/>
          <w:szCs w:val="21"/>
        </w:rPr>
        <w:t xml:space="preserve"> PENDING</w:t>
      </w:r>
    </w:p>
    <w:p>
      <w:pPr>
        <w:spacing w:after="20"/>
        <w:ind w:left="240"/>
      </w:pPr>
      <w:r>
        <w:rPr>
          <w:rFonts w:ascii="Cambria" w:cs="Cambria" w:eastAsia="Cambria" w:hAnsi="Cambria"/>
          <w:color w:val="555555"/>
          <w:sz w:val="18"/>
          <w:szCs w:val="18"/>
        </w:rPr>
        <w:t xml:space="preserve">29:  </w:t>
      </w:r>
      <w:r>
        <w:rPr>
          <w:rFonts w:ascii="Cambria" w:cs="Cambria" w:eastAsia="Cambria" w:hAnsi="Cambria"/>
          <w:b/>
          <w:bCs/>
          <w:sz w:val="21"/>
          <w:szCs w:val="21"/>
        </w:rPr>
        <w:t xml:space="preserve">end if</w:t>
      </w:r>
    </w:p>
    <w:p>
      <w:pPr>
        <w:pBdr>
          <w:bottom w:val="single" w:color="000000" w:sz="12"/>
        </w:pBdr>
        <w:spacing w:after="60"/>
      </w:pPr>
    </w:p>
    <w:p>
      <w:pPr>
        <w:spacing w:after="160"/>
      </w:pPr>
    </w:p>
    <w:p>
      <w:pPr>
        <w:pStyle w:val="Heading2"/>
        <w:spacing w:after="160" w:before="280"/>
      </w:pPr>
      <w:r>
        <w:t xml:space="preserve">6.4  Policy- and Context-Aware Access Control for RO4</w:t>
      </w:r>
    </w:p>
    <w:p>
      <w:pPr>
        <w:spacing w:after="140" w:line="300"/>
        <w:jc w:val="both"/>
      </w:pPr>
      <w:r>
        <w:rPr>
          <w:rFonts w:ascii="Cambria" w:cs="Cambria" w:eastAsia="Cambria" w:hAnsi="Cambria"/>
          <w:sz w:val="24"/>
          <w:szCs w:val="24"/>
        </w:rPr>
        <w:t xml:space="preserve">RO4 addresses RQ4 by developing a policy-aware authorisation mechanism that evaluates the purpose and data scope of a requested operation against the constraints defined by the consent.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Let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 the data scope authorised by the consent and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denote the data scope requested by the participant. The scope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 = 1 ⟺ 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(57)</w:t>
      </w:r>
    </w:p>
    <w:p>
      <w:pPr>
        <w:spacing w:after="140" w:line="300"/>
        <w:jc w:val="both"/>
      </w:pPr>
      <w:r>
        <w:rPr>
          <w:rFonts w:ascii="Cambria" w:cs="Cambria" w:eastAsia="Cambria" w:hAnsi="Cambria"/>
          <w:sz w:val="24"/>
          <w:szCs w:val="24"/>
        </w:rPr>
        <w:t xml:space="preserve">The policy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U</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(58)</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U</w:t>
      </w:r>
      <w:r>
        <w:rPr>
          <w:rFonts w:ascii="Cambria" w:cs="Cambria" w:eastAsia="Cambria" w:hAnsi="Cambria"/>
          <w:sz w:val="24"/>
          <w:szCs w:val="24"/>
        </w:rPr>
        <w:t xml:space="preserve">(C, R) represents purpose compatibility and V</w:t>
      </w:r>
      <w:r>
        <w:rPr>
          <w:rFonts w:ascii="Cambria" w:cs="Cambria" w:eastAsia="Cambria" w:hAnsi="Cambria"/>
          <w:sz w:val="24"/>
          <w:szCs w:val="24"/>
          <w:vertAlign w:val="subscript"/>
        </w:rPr>
        <w:t xml:space="preserve">S</w:t>
      </w:r>
      <w:r>
        <w:rPr>
          <w:rFonts w:ascii="Cambria" w:cs="Cambria" w:eastAsia="Cambria" w:hAnsi="Cambria"/>
          <w:sz w:val="24"/>
          <w:szCs w:val="24"/>
        </w:rPr>
        <w:t xml:space="preserve">(C, R) represents data-scope compatibility. The complete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authorisation decision is</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r>
        <w:rPr>
          <w:rFonts w:ascii="Cambria" w:cs="Cambria" w:eastAsia="Cambria" w:hAnsi="Cambria"/>
          <w:color w:val="000000"/>
          <w:sz w:val="22"/>
          <w:szCs w:val="22"/>
        </w:rPr>
        <w:t xml:space="preserve">	(59)</w:t>
      </w:r>
    </w:p>
    <w:p>
      <w:pPr>
        <w:spacing w:after="140" w:line="300"/>
        <w:jc w:val="both"/>
      </w:pPr>
      <w:r>
        <w:rPr>
          <w:rFonts w:ascii="Cambria" w:cs="Cambria" w:eastAsia="Cambria" w:hAnsi="Cambria"/>
          <w:color w:val="000000"/>
          <w:sz w:val="24"/>
          <w:szCs w:val="24"/>
        </w:rPr>
        <w:t xml:space="preserve">where the five verification functions are evaluated at every access request, and the resulting decision matrix is recorded in the audit ledger together with each GRANTED or DENIED outcome.</w:t>
      </w:r>
    </w:p>
    <w:p>
      <w:pPr>
        <w:pStyle w:val="Heading3"/>
        <w:spacing w:after="160" w:before="280"/>
      </w:pPr>
      <w:r>
        <w:t xml:space="preserve">6.4.1  RO4 Policy-Aware Access Workflow</w:t>
      </w:r>
    </w:p>
    <w:p>
      <w:pPr>
        <w:spacing w:after="140" w:line="300"/>
        <w:jc w:val="both"/>
      </w:pPr>
      <w:r>
        <w:rPr>
          <w:rFonts w:ascii="Cambria" w:cs="Cambria" w:eastAsia="Cambria" w:hAnsi="Cambria"/>
          <w:sz w:val="24"/>
          <w:szCs w:val="24"/>
        </w:rPr>
        <w:t xml:space="preserve">The workflow begins when a doctor submits a request for patient data. The system retrieves the relevant consent object and verifies the requesting participant. It then checks whether the required multi-party authorisation has been established. After the identity and authorisation conditions are satisfied, the system evaluates the requested purpose and data scope. A request is permitted only when the purpose is compatible with the consent and the requested data scope is contained within the authorised scope. 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For example, if</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(60)</w:t>
      </w:r>
    </w:p>
    <w:p>
      <w:pPr>
        <w:spacing w:after="140" w:line="300"/>
        <w:jc w:val="both"/>
      </w:pPr>
      <w:r>
        <w:rPr>
          <w:rFonts w:ascii="Cambria" w:cs="Cambria" w:eastAsia="Cambria" w:hAnsi="Cambria"/>
          <w:sz w:val="24"/>
          <w:szCs w:val="24"/>
        </w:rPr>
        <w:t xml:space="preserve">and</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(61)</w:t>
      </w:r>
    </w:p>
    <w:p>
      <w:pPr>
        <w:spacing w:after="140" w:line="300"/>
        <w:jc w:val="both"/>
      </w:pPr>
      <w:r>
        <w:rPr>
          <w:rFonts w:ascii="Cambria" w:cs="Cambria" w:eastAsia="Cambria" w:hAnsi="Cambria"/>
          <w:sz w:val="24"/>
          <w:szCs w:val="24"/>
        </w:rPr>
        <w:t xml:space="preserve">then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(62)</w:t>
      </w:r>
    </w:p>
    <w:p>
      <w:pPr>
        <w:spacing w:after="140" w:line="300"/>
        <w:jc w:val="both"/>
      </w:pPr>
      <w:r>
        <w:rPr>
          <w:rFonts w:ascii="Cambria" w:cs="Cambria" w:eastAsia="Cambria" w:hAnsi="Cambria"/>
          <w:sz w:val="24"/>
          <w:szCs w:val="24"/>
        </w:rPr>
        <w:t xml:space="preserve">and the request must be denied. This rule prevents a legitimate participant from obtaining data outside the patient’s authorised scope.</w:t>
      </w:r>
    </w:p>
    <w:p>
      <w:pPr>
        <w:keepNext/>
        <w:spacing w:after="60" w:before="140"/>
        <w:jc w:val="center"/>
      </w:pPr>
      <w:r>
        <w:drawing>
          <wp:inline distT="0" distB="0" distL="0" distR="0">
            <wp:extent cx="3810000" cy="6943725"/>
            <wp:effectExtent t="0" r="0" b="0" l="0"/>
            <wp:docPr id="1" name="gfig10.png" descr="Figure 14: RO4 workflow for policy- and context-aware access control" title="Figure 14: RO4 workflow for policy- and context-aware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694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14: RO4 workflow for policy- and context-aware access control</w:t>
      </w:r>
    </w:p>
    <w:p>
      <w:pPr>
        <w:jc w:val="center"/>
      </w:pPr>
      <w:r>
        <w:rPr>
          <w:rFonts w:ascii="Cambria" w:cs="Cambria" w:eastAsia="Cambria" w:hAnsi="Cambria"/>
          <w:i/>
          <w:iCs/>
          <w:sz w:val="20"/>
          <w:szCs w:val="20"/>
        </w:rPr>
        <w:t xml:space="preserve">[Figure 14: RO4 workflow for policy- and context-aware access control]</w:t>
      </w:r>
    </w:p>
    <w:p>
      <w:pPr>
        <w:pStyle w:val="Heading3"/>
        <w:spacing w:after="160" w:before="280"/>
      </w:pPr>
      <w:r>
        <w:t xml:space="preserve">6.4.2  Algorithm 4: Policy-Aware Access Decision</w:t>
      </w:r>
    </w:p>
    <w:p>
      <w:pPr>
        <w:pBdr>
          <w:top w:val="single" w:color="000000" w:sz="12"/>
          <w:bottom w:val="single" w:color="000000" w:sz="6"/>
        </w:pBdr>
        <w:spacing w:after="40" w:before="220"/>
      </w:pPr>
      <w:r>
        <w:rPr>
          <w:rFonts w:ascii="Cambria" w:cs="Cambria" w:eastAsia="Cambria" w:hAnsi="Cambria"/>
          <w:b/>
          <w:bCs/>
          <w:sz w:val="21"/>
          <w:szCs w:val="21"/>
        </w:rPr>
        <w:t xml:space="preserve">Algorithm 4 </w:t>
      </w:r>
      <w:r>
        <w:rPr>
          <w:rFonts w:ascii="Cambria" w:cs="Cambria" w:eastAsia="Cambria" w:hAnsi="Cambria"/>
          <w:sz w:val="21"/>
          <w:szCs w:val="21"/>
        </w:rPr>
        <w:t xml:space="preserve">Policy-Aware Access Decision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access request R, requesting participant u</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Access decision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Verify DID and VC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identity or authority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Evaluate consent state</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consent is not active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Verify multi-party authorisation</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threshold is not satisfied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requested purpose</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purpose is incompatible with consent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Evaluate requested data scope</w:t>
      </w:r>
    </w:p>
    <w:p>
      <w:pPr>
        <w:spacing w:after="20"/>
        <w:ind w:left="240"/>
      </w:pPr>
      <w:r>
        <w:rPr>
          <w:rFonts w:ascii="Cambria" w:cs="Cambria" w:eastAsia="Cambria" w:hAnsi="Cambria"/>
          <w:color w:val="000000"/>
          <w:sz w:val="18"/>
          <w:szCs w:val="18"/>
        </w:rPr>
        <w:t xml:space="preserve">22: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 or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S</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24: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26: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t &lt;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or t &gt;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27: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Jur(R) ≠ Jur(C)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28:  </w:t>
      </w:r>
      <w:r>
        <w:rPr>
          <w:rFonts w:ascii="Cambria" w:cs="Cambria" w:eastAsia="Cambria" w:hAnsi="Cambria"/>
          <w:color w:val="000000"/>
          <w:sz w:val="21"/>
          <w:szCs w:val="21"/>
        </w:rPr>
        <w:t xml:space="preserve">Generate and verify a Groth16 proof that Poseidon(secret, expiry) equals the public commitment and that t ≤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record proof_mode = groth16</w:t>
      </w:r>
    </w:p>
    <w:p>
      <w:pPr>
        <w:spacing w:after="20"/>
        <w:ind w:left="240"/>
      </w:pPr>
      <w:r>
        <w:rPr>
          <w:rFonts w:ascii="Cambria" w:cs="Cambria" w:eastAsia="Cambria" w:hAnsi="Cambria"/>
          <w:color w:val="555555"/>
          <w:sz w:val="18"/>
          <w:szCs w:val="18"/>
        </w:rPr>
        <w:t xml:space="preserve">29:  </w:t>
      </w:r>
      <w:r>
        <w:rPr>
          <w:rFonts w:ascii="Cambria" w:cs="Cambria" w:eastAsia="Cambria" w:hAnsi="Cambria"/>
          <w:sz w:val="21"/>
          <w:szCs w:val="21"/>
        </w:rPr>
        <w:t xml:space="preserve">Retrieve authorised healthcare data</w:t>
      </w:r>
    </w:p>
    <w:p>
      <w:pPr>
        <w:spacing w:after="20"/>
        <w:ind w:left="240"/>
      </w:pPr>
      <w:r>
        <w:rPr>
          <w:rFonts w:ascii="Cambria" w:cs="Cambria" w:eastAsia="Cambria" w:hAnsi="Cambria"/>
          <w:color w:val="555555"/>
          <w:sz w:val="18"/>
          <w:szCs w:val="18"/>
        </w:rPr>
        <w:t xml:space="preserve">30:  </w:t>
      </w:r>
      <w:r>
        <w:rPr>
          <w:rFonts w:ascii="Cambria" w:cs="Cambria" w:eastAsia="Cambria" w:hAnsi="Cambria"/>
          <w:sz w:val="21"/>
          <w:szCs w:val="21"/>
        </w:rPr>
        <w:t xml:space="preserve">Record granted decision</w:t>
      </w:r>
    </w:p>
    <w:p>
      <w:pPr>
        <w:spacing w:after="20"/>
        <w:ind w:left="240"/>
      </w:pPr>
      <w:r>
        <w:rPr>
          <w:rFonts w:ascii="Cambria" w:cs="Cambria" w:eastAsia="Cambria" w:hAnsi="Cambria"/>
          <w:color w:val="555555"/>
          <w:sz w:val="18"/>
          <w:szCs w:val="18"/>
        </w:rPr>
        <w:t xml:space="preserve">31:  </w:t>
      </w:r>
      <w:r>
        <w:rPr>
          <w:rFonts w:ascii="Cambria" w:cs="Cambria" w:eastAsia="Cambria" w:hAnsi="Cambria"/>
          <w:b/>
          <w:bCs/>
          <w:sz w:val="21"/>
          <w:szCs w:val="21"/>
        </w:rPr>
        <w:t xml:space="preserve">return</w:t>
      </w:r>
      <w:r>
        <w:rPr>
          <w:rFonts w:ascii="Cambria" w:cs="Cambria" w:eastAsia="Cambria" w:hAnsi="Cambria"/>
          <w:sz w:val="21"/>
          <w:szCs w:val="21"/>
        </w:rPr>
        <w:t xml:space="preserve"> ALLOW</w:t>
      </w:r>
    </w:p>
    <w:p>
      <w:pPr>
        <w:pBdr>
          <w:bottom w:val="single" w:color="000000" w:sz="12"/>
        </w:pBdr>
        <w:spacing w:after="60"/>
      </w:pPr>
    </w:p>
    <w:p>
      <w:pPr>
        <w:spacing w:after="160"/>
      </w:pPr>
    </w:p>
    <w:p>
      <w:pPr>
        <w:spacing w:after="140" w:line="300"/>
        <w:jc w:val="both"/>
      </w:pPr>
      <w:r>
        <w:rPr>
          <w:rFonts w:ascii="Cambria" w:cs="Cambria" w:eastAsia="Cambria" w:hAnsi="Cambria"/>
          <w:sz w:val="24"/>
          <w:szCs w:val="24"/>
        </w:rP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spacing w:after="140" w:line="300"/>
        <w:jc w:val="both"/>
      </w:pPr>
      <w:r>
        <w:rPr>
          <w:rFonts w:ascii="Cambria" w:cs="Cambria" w:eastAsia="Cambria" w:hAnsi="Cambria"/>
          <w:sz w:val="24"/>
          <w:szCs w:val="24"/>
        </w:rP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p>
      <w:pPr>
        <w:pStyle w:val="Heading3"/>
        <w:spacing w:after="160" w:before="280"/>
      </w:pPr>
      <w:r>
        <w:t xml:space="preserve">6.4.3  Procedure for Policy-Aware Access Decision</w:t>
      </w:r>
    </w:p>
    <w:p>
      <w:pPr>
        <w:spacing w:after="140" w:line="300"/>
        <w:jc w:val="both"/>
      </w:pPr>
      <w:r>
        <w:rPr>
          <w:rFonts w:ascii="Cambria" w:cs="Cambria" w:eastAsia="Cambria" w:hAnsi="Cambria"/>
          <w:sz w:val="24"/>
          <w:szCs w:val="24"/>
        </w:rP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 1. Step 1 – Receive and Parse the Access Request. The system receives an access request R from requesting participant u. The request specifies the healthcare resources requested by the participant and the intended purpose of access. The requested data scope is denoted by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while the purpose associated with the request is denoted by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access request can therefore be represented as R = (u,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system associates R with the relevant consent object C before continuing with the authorisation process. 2. Step 2 – Verify the Requesting Participant’s DID and VC. The system verifies the DID and VC associated with participant u. This step invokes the identity and authority verification procedure defined in Algorithm 2. 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 Formally,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must hold before the request can proceed to the subsequent authorisation stages. 3. Step 3 – Evaluate the Current Consent State. After successful identity verification, the system evaluates the current state of consent object C. The system determines whether the consent is active and whether it remains within its defined validity period. In particular, the system verifies that the consent has not expired, been revoked, or otherwise transitioned into an inactive state. If State(C) ≠ ACTIVE, the access request is denied and the decision is recorded.</w:t>
      </w:r>
    </w:p>
    <w:p>
      <w:pPr>
        <w:spacing w:after="140" w:line="300"/>
        <w:jc w:val="both"/>
      </w:pPr>
      <w:r>
        <w:rPr>
          <w:rFonts w:ascii="Cambria" w:cs="Cambria" w:eastAsia="Cambria" w:hAnsi="Cambria"/>
          <w:sz w:val="24"/>
          <w:szCs w:val="24"/>
        </w:rPr>
        <w:t xml:space="preserve">4. Step 4 – Verify Multi-Party Authorisation. The system verifies whether the multi-party authorisation requirement associated with consent object C has been satisfied.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is evaluated against the required threshold N. The authorisation condition is expressed as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If the threshold has not been satisfied, the consent cannot be used to authorise the requested access. The system therefore records a denied decision and returns DENY. 5. Step 5 – Evaluate the Requested Purpose. The system compares the purpose specified in the access request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with the purpose permitted by the consent object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purpose compatibility condition can be represented as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t>
      </w:r>
      <w:r>
        <w:rPr>
          <w:rFonts w:ascii="Cambria" w:cs="Cambria" w:eastAsia="Cambria" w:hAnsi="Cambria"/>
          <w:color w:val="000000"/>
          <w:sz w:val="24"/>
          <w:szCs w:val="24"/>
        </w:rPr>
        <w:t xml:space="preserve">which means the requested purpose is required to satisfy the privacy constraint P</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before access can proceed.</w:t>
      </w:r>
      <w:r>
        <w:rPr>
          <w:rFonts w:ascii="Cambria" w:cs="Cambria" w:eastAsia="Cambria" w:hAnsi="Cambria"/>
          <w:sz w:val="24"/>
          <w:szCs w:val="24"/>
        </w:rPr>
        <w:t xml:space="preserve"> </w:t>
      </w:r>
      <w:r>
        <w:rPr>
          <w:rFonts w:ascii="Cambria" w:cs="Cambria" w:eastAsia="Cambria" w:hAnsi="Cambria"/>
          <w:color w:val="000000"/>
          <w:sz w:val="24"/>
          <w:szCs w:val="24"/>
        </w:rPr>
        <w:t xml:space="preserve">The evaluation pipeline is designed so that a request violating the privacy constraint is refused before any data is released; a formal proof of this property forms part of the next stage security analysis.</w:t>
      </w:r>
      <w:r>
        <w:rPr>
          <w:rFonts w:ascii="Cambria" w:cs="Cambria" w:eastAsia="Cambria" w:hAnsi="Cambria"/>
          <w:sz w:val="24"/>
          <w:szCs w:val="24"/>
        </w:rPr>
        <w:t xml:space="preserve"> If the requested purpose is incompatible with the patient’s consent, the request is denied. This step prevents a participant from using otherwise valid credentials and consent to access healthcare information for a purpose that was not authorised by the patient. 6. Step 6 – Evaluate the Requested Data Scope. The system evaluates whether the requested data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is contained within the data scope authorised by the consent, denoted by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required containment relationship is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If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requested access exceeds the patient’s authorised data scope. The system records a denied decision and returns DENY. This step is particularly important for fine-grained healthcare data access because authorisation to access one category of healthcare information does not imply authorisation to access all categories of the patient’s record. 7. Step 7 – Evaluate the Complete Authorisation Policy. After the individual conditions have been successfully evaluated, the system performs the final policy evaluation. The decision is based on the conjunction of identity validity, active consent, sufficient multi-party approval, purpose compatibility, and scope containment. The overall authorisation condition can be represented as Authorised(R, C, u)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Active(C)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PurposeMatch(P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ScopeMatch(S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Access can proceed only when all required conditions evaluate to true. 8. Step 8 – Generate or Verify Access Evidence. 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 This evidence provides an auditable relationship between the access request and the conditions that justified the resulting authorisation. 9. Step 9 – Retrieve the Authorised Healthcare Data. Once the request has been successfully authorised, the system retrieves only the healthcare data satisfying the authorised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retrieval operation must enforce the same scope constraints that were evaluated during the policy decision. Thus, Data</w:t>
      </w:r>
      <w:r>
        <w:rPr>
          <w:rFonts w:ascii="Cambria" w:cs="Cambria" w:eastAsia="Cambria" w:hAnsi="Cambria"/>
          <w:sz w:val="24"/>
          <w:szCs w:val="24"/>
          <w:vertAlign w:val="subscript"/>
        </w:rPr>
        <w:t xml:space="preserve">returned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This prevents a mismatch between the policy decision and the actual data returned to the requester. 10. Step 10 – Record the Granted Decision. The system records the successful access-authorisation event. The recorded evidence may include the request identifier, consent identifier, requester identity, authorised purpose, authorised data scope, authorisation result, and relevant timestamp. The resulting event provides an auditable record of why and under which conditions access was granted. 11. Step 11 – Return the Final Access Decision. If all mandatory conditions have been satisfied, the system returns AccessDecision = ALLOW. If any mandatory condition fails during the evaluation process, the system records the corresponding denial evidence and returns AccessDecision = DENY. The overall decision process can therefore be represented as R → DID/VC → Consent State → Threshold → Purpose → Scope → Policy Eval. → Evidence → Data Retr. → { ALLOW; DENY }</w:t>
      </w:r>
    </w:p>
    <w:p>
      <w:pPr>
        <w:spacing w:after="140" w:line="300"/>
        <w:jc w:val="both"/>
      </w:pPr>
      <w:r>
        <w:rPr>
          <w:rFonts w:ascii="Cambria" w:cs="Cambria" w:eastAsia="Cambria" w:hAnsi="Cambria"/>
          <w:color w:val="000000"/>
          <w:sz w:val="24"/>
          <w:szCs w:val="24"/>
        </w:rPr>
        <w:t xml:space="preserve">In the implemented system the approval threshold is N-of-N: N = |G|, so that every designated guardian must sign, and the evaluated configuration is accordingly 2-of-2. Consequently, a configurable k-of-n threshold remains an item of future work rather than a property of the demonstrated prototype.</w:t>
      </w:r>
    </w:p>
    <w:p>
      <w:pPr>
        <w:spacing w:after="140" w:line="300"/>
        <w:jc w:val="both"/>
      </w:pPr>
      <w:r>
        <w:rPr>
          <w:rFonts w:ascii="Cambria" w:cs="Cambria" w:eastAsia="Cambria" w:hAnsi="Cambria"/>
          <w:color w:val="000000"/>
          <w:sz w:val="24"/>
          <w:szCs w:val="24"/>
        </w:rPr>
        <w:t xml:space="preserve">In the demonstrated prototype, purpose compatibility is evaluated as an exact match against the consent purpose, which is stored on-chain as keccak256(purpose). Therefore, a formal proof that no execution path can violate the privacy policy is deliberately left to future work.</w:t>
      </w:r>
    </w:p>
    <w:p>
      <w:pPr>
        <w:spacing w:after="140" w:line="300"/>
        <w:jc w:val="both"/>
      </w:pPr>
      <w:r>
        <w:rPr>
          <w:rFonts w:ascii="Cambria" w:cs="Cambria" w:eastAsia="Cambria" w:hAnsi="Cambria"/>
          <w:sz w:val="24"/>
          <w:szCs w:val="24"/>
        </w:rPr>
        <w:t xml:space="preserve">The final access decision can be formally expressed as ALLOW ⟺ Identity ∧ Consent ∧ Authority ∧ Threshold ∧ Purpose ∧ Scope ∧ Evidence where the individual conditions represent verified participant identity, active consent, sufficient authority, satisfied multi-party approval, compatible purpose, authorised data scope, and sufficient decision evidence, respectively. This procedure establishes an important distinction between authentication, consent, and authorisation.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 The procedure also implements the principle of least privilege through the explicit scope-containment condition that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 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The resulting end-to-end authorisation lifecycle can be summarised as</w:t>
      </w:r>
    </w:p>
    <w:p>
      <w:pPr>
        <w:tabs>
          <w:tab w:val="right" w:pos="9360"/>
        </w:tabs>
        <w:spacing w:after="160" w:before="60"/>
        <w:jc w:val="center"/>
      </w:pPr>
      <w:r>
        <w:rPr>
          <w:rFonts w:ascii="Cambria Math" w:cs="Cambria Math" w:eastAsia="Cambria Math" w:hAnsi="Cambria Math"/>
          <w:i/>
          <w:iCs/>
          <w:sz w:val="22"/>
          <w:szCs w:val="22"/>
        </w:rPr>
        <w:t xml:space="preserve">Consent Creation ⟶ Identity Verification ⟶ Multi-Party Auth ⟶ Policy Decision</w:t>
      </w:r>
    </w:p>
    <w:p>
      <w:pPr>
        <w:spacing w:after="140" w:line="300"/>
        <w:jc w:val="both"/>
      </w:pPr>
      <w:r>
        <w:rPr>
          <w:rFonts w:ascii="Cambria" w:cs="Cambria" w:eastAsia="Cambria" w:hAnsi="Cambria"/>
          <w:sz w:val="24"/>
          <w:szCs w:val="24"/>
        </w:rP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p>
      <w:pPr>
        <w:pStyle w:val="Heading2"/>
        <w:spacing w:after="160" w:before="280"/>
      </w:pPr>
      <w:r>
        <w:t xml:space="preserve">6.5  Temporal and Lifecycle Trust for RO5</w:t>
      </w:r>
    </w:p>
    <w:p>
      <w:pPr>
        <w:spacing w:after="140" w:line="300"/>
        <w:jc w:val="both"/>
      </w:pPr>
      <w:r>
        <w:rPr>
          <w:rFonts w:ascii="Cambria" w:cs="Cambria" w:eastAsia="Cambria" w:hAnsi="Cambria"/>
          <w:sz w:val="24"/>
          <w:szCs w:val="24"/>
        </w:rPr>
        <w:t xml:space="preserve">RO5 addresses RQ5 and extends the foundational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authorisation model with temporal validity and consent lifecycle controls. This objective belongs primarily to CA3 because it investigates how an authorisation remains trustworthy as time passes and as the consent state changes. The current stage model evaluates identity, collective authorisation, and policy compliance. RO5 extends this model by introducing temporal and lifecycle conditions that</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1,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0, otherwise.</w:t>
      </w:r>
      <w:r>
        <w:rPr>
          <w:rFonts w:ascii="Cambria" w:cs="Cambria" w:eastAsia="Cambria" w:hAnsi="Cambria"/>
          <w:sz w:val="22"/>
          <w:szCs w:val="22"/>
        </w:rPr>
        <w:t xml:space="preserve">	(63)</w:t>
      </w:r>
    </w:p>
    <w:p>
      <w:pPr>
        <w:spacing w:after="140" w:line="300"/>
        <w:jc w:val="both"/>
      </w:pPr>
      <w:r>
        <w:rPr>
          <w:rFonts w:ascii="Cambria" w:cs="Cambria" w:eastAsia="Cambria" w:hAnsi="Cambria"/>
          <w:sz w:val="24"/>
          <w:szCs w:val="24"/>
        </w:rPr>
        <w:t xml:space="preserve">The lifecycle condition can be expressed as</w:t>
      </w:r>
    </w:p>
    <w:p>
      <w:pPr>
        <w:tabs>
          <w:tab w:val="right" w:pos="9360"/>
        </w:tabs>
        <w:spacing w:after="160" w:before="60"/>
        <w:jc w:val="center"/>
      </w:pPr>
      <w:r>
        <w:rPr>
          <w:rFonts w:ascii="Cambria Math" w:cs="Cambria Math" w:eastAsia="Cambria Math" w:hAnsi="Cambria Math"/>
          <w:i/>
          <w:iCs/>
          <w:color w:val="000000"/>
          <w:sz w:val="22"/>
          <w:szCs w:val="22"/>
        </w:rPr>
        <w:t xml:space="preserve">V</w:t>
      </w:r>
      <w:r>
        <w:rPr>
          <w:rFonts w:ascii="Cambria Math" w:cs="Cambria Math" w:eastAsia="Cambria Math" w:hAnsi="Cambria Math"/>
          <w:i/>
          <w:iCs/>
          <w:color w:val="000000"/>
          <w:sz w:val="22"/>
          <w:szCs w:val="22"/>
          <w:vertAlign w:val="subscript"/>
        </w:rPr>
        <w:t xml:space="preserve">L</w:t>
      </w:r>
      <w:r>
        <w:rPr>
          <w:rFonts w:ascii="Cambria Math" w:cs="Cambria Math" w:eastAsia="Cambria Math" w:hAnsi="Cambria Math"/>
          <w:i/>
          <w:iCs/>
          <w:color w:val="000000"/>
          <w:sz w:val="22"/>
          <w:szCs w:val="22"/>
        </w:rPr>
        <w:t xml:space="preserve">(C, R) = 1 ⟺ Jur(R) = Jur(C) ∨ Jur(C) = ∅</w:t>
      </w:r>
      <w:r>
        <w:rPr>
          <w:rFonts w:ascii="Cambria" w:cs="Cambria" w:eastAsia="Cambria" w:hAnsi="Cambria"/>
          <w:color w:val="000000"/>
          <w:sz w:val="22"/>
          <w:szCs w:val="22"/>
        </w:rPr>
        <w:t xml:space="preserve">	(64)</w:t>
      </w:r>
    </w:p>
    <w:p>
      <w:pPr>
        <w:spacing w:after="140" w:line="300"/>
        <w:jc w:val="both"/>
      </w:pPr>
      <w:r>
        <w:rPr>
          <w:rFonts w:ascii="Cambria" w:cs="Cambria" w:eastAsia="Cambria" w:hAnsi="Cambria"/>
          <w:color w:val="000000"/>
          <w:sz w:val="24"/>
          <w:szCs w:val="24"/>
        </w:rPr>
        <w:t xml:space="preserve">where Jur(·) denotes the jurisdiction attribute, recorded on-chain as a two-letter ISO code, and where lifecycle state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rather than within this predicate. This is important because it is precisely this check that produced the demonstrated denial in which a request declaring jurisdiction SA was refused against a consent issued for AU.</w:t>
      </w:r>
    </w:p>
    <w:p>
      <w:pPr>
        <w:spacing w:after="140" w:line="300"/>
        <w:jc w:val="both"/>
      </w:pPr>
      <w:r>
        <w:rPr>
          <w:rFonts w:ascii="Cambria" w:cs="Cambria" w:eastAsia="Cambria" w:hAnsi="Cambria"/>
          <w:sz w:val="24"/>
          <w:szCs w:val="24"/>
        </w:rPr>
        <w:t xml:space="preserve">The extended authorisation decision is therefore</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(65)</w:t>
      </w:r>
    </w:p>
    <w:p>
      <w:pPr>
        <w:spacing w:after="140" w:line="300"/>
        <w:jc w:val="both"/>
      </w:pPr>
      <w:r>
        <w:rPr>
          <w:rFonts w:ascii="Cambria" w:cs="Cambria" w:eastAsia="Cambria" w:hAnsi="Cambria"/>
          <w:sz w:val="24"/>
          <w:szCs w:val="24"/>
        </w:rP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p>
      <w:pPr>
        <w:pStyle w:val="Heading3"/>
        <w:spacing w:after="160" w:before="280"/>
      </w:pPr>
      <w:r>
        <w:t xml:space="preserve">6.5.1  RO5 Temporal and Lifecycle Workflow</w:t>
      </w:r>
    </w:p>
    <w:p>
      <w:pPr>
        <w:spacing w:after="140" w:line="300"/>
        <w:jc w:val="both"/>
      </w:pPr>
      <w:r>
        <w:rPr>
          <w:rFonts w:ascii="Cambria" w:cs="Cambria" w:eastAsia="Cambria" w:hAnsi="Cambria"/>
          <w:color w:val="000000"/>
          <w:sz w:val="24"/>
          <w:szCs w:val="24"/>
        </w:rPr>
        <w:t xml:space="preserve">Temporal and lifecycle enforcement is implemented in the demonstrated prototype. In particular, the Consent Engine evaluates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 t ≤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at every access request, the deployed contract stores the notBefore and expiry fields and exposes the checkValid and checkValidAt functions, and revocation is executed both in the application state and as an on-chain revoke transaction confirmed in block 11,771,307.</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implemented</w:t>
      </w:r>
      <w:r>
        <w:rPr>
          <w:rFonts w:ascii="Cambria" w:cs="Cambria" w:eastAsia="Cambria" w:hAnsi="Cambria"/>
          <w:sz w:val="24"/>
          <w:szCs w:val="24"/>
        </w:rPr>
        <w:t xml:space="preserve"> workflow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pStyle w:val="Heading3"/>
        <w:spacing w:after="160" w:before="280"/>
      </w:pPr>
      <w:r>
        <w:t xml:space="preserve">6.5.2  Procedure for Temporal and Lifecycle Validation</w:t>
      </w:r>
    </w:p>
    <w:p>
      <w:pPr>
        <w:spacing w:after="140" w:line="300"/>
        <w:jc w:val="both"/>
      </w:pPr>
      <w:r>
        <w:rPr>
          <w:rFonts w:ascii="Cambria" w:cs="Cambria" w:eastAsia="Cambria" w:hAnsi="Cambria"/>
          <w:sz w:val="24"/>
          <w:szCs w:val="24"/>
        </w:rP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 1. Step 1 – Retrieve the Consent Validity Interval. The system retrieves the start time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and expiry time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associated with consent object C. These temporal attributes define the period during which the consent is potentially valid. The consent validity interval is represented as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system uses the current time t to determine whether the consent is currently within its defined validity period. 2. Step 2 – Validate the Current Time. The system compares the current time t with the consent validity interval. Temporal validity requires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If t &lt;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or t &gt;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consent is considered temporally invalid. The system records the temporal invalidity evidence and returns INVALID. This step prevents a consent from being used before its effective start time or after its expiration time. 3. Step 3 – Retrieve the Current Lifecycle State. If the temporal condition is satisfied, the system retrieves the current lifecycle state of consent object C. Typical lifecycle states may include CREATED, PENDING, ACTIVE, SUSPENDED, REVOKED, and EXPIRED, depending on the system configuration. The current state is used to determine whether the requested operation can legally and logically be performed. 4. Step 4 – Validate State-Dependent Operations. The system evaluates whether the current lifecycle state permits the requested operation q. Different operations may be permitted only in specific lifecycle states. For example, activation may require a consent to be in a pending state, while data access may require the consent to be active.</w:t>
      </w:r>
    </w:p>
    <w:p>
      <w:pPr>
        <w:spacing w:after="140" w:line="300"/>
        <w:jc w:val="both"/>
      </w:pPr>
      <w:r>
        <w:rPr>
          <w:rFonts w:ascii="Cambria" w:cs="Cambria" w:eastAsia="Cambria" w:hAnsi="Cambria"/>
          <w:color w:val="000000"/>
          <w:sz w:val="24"/>
          <w:szCs w:val="24"/>
        </w:rPr>
        <w:t xml:space="preserve">The implemented lifecycle states are PENDING_SIGNATURE, PENDING_TOKEN, NOT_STARTED, ACTIVE, EXPIRED and REVOKED.</w:t>
      </w:r>
    </w:p>
    <w:p>
      <w:pPr>
        <w:spacing w:after="140" w:line="300"/>
        <w:jc w:val="both"/>
      </w:pPr>
      <w:r>
        <w:rPr>
          <w:rFonts w:ascii="Cambria" w:cs="Cambria" w:eastAsia="Cambria" w:hAnsi="Cambria"/>
          <w:sz w:val="24"/>
          <w:szCs w:val="24"/>
        </w:rPr>
        <w:t xml:space="preserve">The state transition condition can be represented as State(C) |= q. If the current state does not permit operation q, the system records an invalid lifecycle-state event and returns INVALID. 5. Step 5 – Check Revocation Status. The system explicitly checks whether consent object C has been revoked. Revocation represents a deliberate termination of the previously granted consent and must therefore override an otherwise valid temporal interval. Formally, Revoked(C) = false must hold for the consent to remain usable. If Revoked(C) = true, the system records revocation-based invalidity and returns INVALID. 6. Step 6 – Validate the Requested Lifecycle Transition. If the consent is temporally valid, in an appropriate lifecycle state, and has not been revoked, the system validates the requested transition q. The transition is evaluated against the predefined lifecycle-transition policy: State(C) →</w:t>
      </w:r>
      <w:r>
        <w:rPr>
          <w:rFonts w:ascii="Cambria" w:cs="Cambria" w:eastAsia="Cambria" w:hAnsi="Cambria"/>
          <w:sz w:val="24"/>
          <w:szCs w:val="24"/>
          <w:vertAlign w:val="superscript"/>
        </w:rPr>
        <w:t xml:space="preserve">q</w:t>
      </w:r>
      <w:r>
        <w:rPr>
          <w:rFonts w:ascii="Cambria" w:cs="Cambria" w:eastAsia="Cambria" w:hAnsi="Cambria"/>
          <w:sz w:val="24"/>
          <w:szCs w:val="24"/>
        </w:rPr>
        <w:t xml:space="preserve"> State′(C). The transition is valid only when q is explicitly permitted from the current state. If the transition is not permitted, the system records an unauthorised state-transition event and returns INVALID. 7. Step 7 – Establish Temporal and Lifecycle Consistency. After all individual checks have succeeded, the system establishes that the consent is simultaneously valid in terms of time, lifecycle state, revocation status, and requested transition. The overall lifecycle-validity condition can therefore be expressed as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TimeValid(C, t) ∧ StateValid(C, q) ∧ ¬Revoked(C) ∧ TransitionValid(C, q). Only when all four conditions are satisfied can the consent proceed to the subsequent operation. 8. Step 8 – Record Temporal and Lifecycle Evidence. The system records evidence associated with the successful validation. The evidence may include the consent identifier, current timestamp, validity interval, current lifecycle state, revocation status, requested transition, and validation result. This evidence establishes an auditable relationship between the consent’s lifecycle state and the operation performed at a particular point in time. </w:t>
      </w:r>
      <w:r>
        <w:rPr>
          <w:rFonts w:ascii="Cambria" w:cs="Cambria" w:eastAsia="Cambria" w:hAnsi="Cambria"/>
          <w:color w:val="000000"/>
          <w:sz w:val="24"/>
          <w:szCs w:val="24"/>
        </w:rPr>
        <w:t xml:space="preserve">Here 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denotes the composite temporal–state predicate evaluated by this procedure; it is distinct from the jurisdictional predicate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of the decision rule, which is evaluated separately.</w:t>
      </w:r>
    </w:p>
    <w:p>
      <w:pPr>
        <w:spacing w:after="140" w:line="300"/>
        <w:jc w:val="both"/>
      </w:pPr>
      <w:r>
        <w:rPr>
          <w:rFonts w:ascii="Cambria" w:cs="Cambria" w:eastAsia="Cambria" w:hAnsi="Cambria"/>
          <w:sz w:val="24"/>
          <w:szCs w:val="24"/>
        </w:rPr>
        <w:t xml:space="preserve">9. Step 9 – Return the Lifecycle Validation Result. If all temporal and lifecycle conditions are satisfied, the system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VALID. If any mandatory condition fails, the procedure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INVALID. The overall validation process can therefore be represented as C →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State(C) → Revocation → q → Lifecycle Validation → Evidence → { VALID; INVALID }. The complete lifecycle-validity condition can be summarised as VALID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 State(C) |= q ∧ ¬Revoked(C) ∧ TransitionPermitted(q) This procedure establishes that consent validity is not a static property. Instead, the validity of consent is a function of both time and lifecycle state that Validity(C) = f(t, State(C), Revocation(C)). Consequently, a consent that was valid at time t</w:t>
      </w:r>
      <w:r>
        <w:rPr>
          <w:rFonts w:ascii="Cambria" w:cs="Cambria" w:eastAsia="Cambria" w:hAnsi="Cambria"/>
          <w:sz w:val="24"/>
          <w:szCs w:val="24"/>
          <w:vertAlign w:val="subscript"/>
        </w:rPr>
        <w:t xml:space="preserve">1</w:t>
      </w:r>
      <w:r>
        <w:rPr>
          <w:rFonts w:ascii="Cambria" w:cs="Cambria" w:eastAsia="Cambria" w:hAnsi="Cambria"/>
          <w:sz w:val="24"/>
          <w:szCs w:val="24"/>
        </w:rPr>
        <w:t xml:space="preserve"> may become invalid at a later time t</w:t>
      </w:r>
      <w:r>
        <w:rPr>
          <w:rFonts w:ascii="Cambria" w:cs="Cambria" w:eastAsia="Cambria" w:hAnsi="Cambria"/>
          <w:sz w:val="24"/>
          <w:szCs w:val="24"/>
          <w:vertAlign w:val="subscript"/>
        </w:rPr>
        <w:t xml:space="preserve">2</w:t>
      </w:r>
      <w:r>
        <w:rPr>
          <w:rFonts w:ascii="Cambria" w:cs="Cambria" w:eastAsia="Cambria" w:hAnsi="Cambria"/>
          <w:sz w:val="24"/>
          <w:szCs w:val="24"/>
        </w:rPr>
        <w:t xml:space="preserve"> because it has expired, been revoked, suspended, or otherwise transitioned into a state that does not permit the requested operation. The explicit lifecycle validation also introduces an important distinction between consent existence and consent usability.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 ConsentExists(C) ⇏ ConsentUsable(C, t). Instead, ConsentUsable(C, t) ⇒ TimeValid(C, t) ∧ StateValid(C) ∧ ¬Revoked(C). 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overall flow can therefore be summarised as Consent → Identity → Authority → Policy → Temporal/Lifecycle Validation → Access</w:t>
      </w:r>
    </w:p>
    <w:p>
      <w:pPr>
        <w:spacing w:after="140" w:line="300"/>
        <w:jc w:val="both"/>
      </w:pPr>
      <w:r>
        <w:rPr>
          <w:rFonts w:ascii="Cambria" w:cs="Cambria" w:eastAsia="Cambria" w:hAnsi="Cambria"/>
          <w:color w:val="000000"/>
          <w:sz w:val="24"/>
          <w:szCs w:val="24"/>
        </w:rPr>
        <w:t xml:space="preserve">the lifecycle validation mechanism can therefore be interpreted as a per-request validity layer: validity is re-established at each evaluated access request and recorded as a STATE_CHECK event in the audit ledger, rather than being assumed to persist between requests.</w:t>
      </w:r>
    </w:p>
    <w:p>
      <w:pPr>
        <w:spacing w:after="140" w:line="300"/>
        <w:jc w:val="both"/>
      </w:pPr>
      <w:r>
        <w:rPr>
          <w:rFonts w:ascii="Cambria" w:cs="Cambria" w:eastAsia="Cambria" w:hAnsi="Cambria"/>
          <w:sz w:val="24"/>
          <w:szCs w:val="24"/>
        </w:rPr>
        <w:t xml:space="preserve">Rather than treating authorisation as a one-time event, this approach enables the system to determine whether authorisation remains valid at the precise time an operation is requested. This is particularly important for dynamic consent environments in which permissions may expire, be revoked, suspended, renewed, or otherwise modified during the lifecycle of a healthcare data-sharing relationship.</w:t>
      </w:r>
    </w:p>
    <w:p>
      <w:pPr>
        <w:pStyle w:val="Heading3"/>
        <w:spacing w:after="160" w:before="280"/>
      </w:pPr>
      <w:r>
        <w:t xml:space="preserve">6.5.3  Algorithm 5: Temporal and Lifecycle Validation</w:t>
      </w:r>
    </w:p>
    <w:p>
      <w:pPr>
        <w:pBdr>
          <w:top w:val="single" w:color="000000" w:sz="12"/>
          <w:bottom w:val="single" w:color="000000" w:sz="6"/>
        </w:pBdr>
        <w:spacing w:after="40" w:before="220"/>
      </w:pPr>
      <w:r>
        <w:rPr>
          <w:rFonts w:ascii="Cambria" w:cs="Cambria" w:eastAsia="Cambria" w:hAnsi="Cambria"/>
          <w:b/>
          <w:bCs/>
          <w:sz w:val="21"/>
          <w:szCs w:val="21"/>
        </w:rPr>
        <w:t xml:space="preserve">Algorithm 5 </w:t>
      </w:r>
      <w:r>
        <w:rPr>
          <w:rFonts w:ascii="Cambria" w:cs="Cambria" w:eastAsia="Cambria" w:hAnsi="Cambria"/>
          <w:sz w:val="21"/>
          <w:szCs w:val="21"/>
        </w:rPr>
        <w:t xml:space="preserve">Temporal and Lifecycle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current time t, requested transition q</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Lifecycle validity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consent start time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and expiry time t</w:t>
      </w:r>
      <w:r>
        <w:rPr>
          <w:rFonts w:ascii="Cambria" w:cs="Cambria" w:eastAsia="Cambria" w:hAnsi="Cambria"/>
          <w:sz w:val="21"/>
          <w:szCs w:val="21"/>
          <w:vertAlign w:val="subscript"/>
        </w:rPr>
        <w:t xml:space="preserve">e</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t &lt;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or t &gt;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temporal invalidity</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Retrieve current lifecycle state of C</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current state does not permit the requested operation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invalid lifecycle state</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Check whether C has been revoked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C is revoked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revocation-based invalidity</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Validate requested transition q</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transition q is not permitted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unauthorised state transition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valid temporal and lifecycle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spacing w:after="140" w:line="300"/>
        <w:jc w:val="both"/>
      </w:pPr>
      <w:r>
        <w:rPr>
          <w:rFonts w:ascii="Cambria" w:cs="Cambria" w:eastAsia="Cambria" w:hAnsi="Cambria"/>
          <w:color w:val="000000"/>
          <w:sz w:val="24"/>
          <w:szCs w:val="24"/>
        </w:rPr>
        <w:t xml:space="preserve">Algorithm 5 is implemented in the current prototype. Its checks are executed at every access request and recorded as STATE_CHECK events in the audit ledger, so that expiration, revocation and controlled state transitions already condition the demonstrated access decisions rather than awaiting a later implementation stage.</w:t>
      </w:r>
    </w:p>
    <w:p>
      <w:pPr>
        <w:keepNext/>
        <w:spacing w:after="60" w:before="140"/>
        <w:jc w:val="center"/>
      </w:pPr>
      <w:r>
        <w:drawing>
          <wp:inline distT="0" distB="0" distL="0" distR="0">
            <wp:extent cx="4095750" cy="5876925"/>
            <wp:effectExtent t="0" r="0" b="0" l="0"/>
            <wp:docPr id="1" name="gfig11.png" descr="Figure 15: RO5 workflow for temporal and consent lifecycle trust" title="Figure 15: RO5 workflow for temporal and consent lifecycle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5876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15: RO5 workflow for temporal and consent lifecycle trust</w:t>
      </w:r>
    </w:p>
    <w:p>
      <w:pPr>
        <w:jc w:val="center"/>
      </w:pPr>
      <w:r>
        <w:rPr>
          <w:rFonts w:ascii="Cambria" w:cs="Cambria" w:eastAsia="Cambria" w:hAnsi="Cambria"/>
          <w:i/>
          <w:iCs/>
          <w:sz w:val="20"/>
          <w:szCs w:val="20"/>
        </w:rPr>
        <w:t xml:space="preserve">[Figure 15: RO5 workflow for temporal and consent lifecycle trust]</w:t>
      </w:r>
    </w:p>
    <w:p>
      <w:pPr>
        <w:spacing w:after="140" w:line="300"/>
        <w:jc w:val="both"/>
      </w:pPr>
      <w:r>
        <w:rPr>
          <w:rFonts w:ascii="Cambria" w:cs="Cambria" w:eastAsia="Cambria" w:hAnsi="Cambria"/>
          <w:sz w:val="24"/>
          <w:szCs w:val="24"/>
        </w:rPr>
        <w:t xml:space="preserve">Algorithm 5 extends the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decision process by ensuring that consent validity is dynamic rather than permanent.</w:t>
      </w:r>
    </w:p>
    <w:p>
      <w:pPr>
        <w:pStyle w:val="Heading2"/>
        <w:spacing w:after="160" w:before="280"/>
      </w:pPr>
      <w:r>
        <w:t xml:space="preserve">6.6  Formal Security Assurance and Empirical Validation for RO6</w:t>
      </w:r>
    </w:p>
    <w:p>
      <w:pPr>
        <w:spacing w:after="140" w:line="300"/>
        <w:jc w:val="both"/>
      </w:pPr>
      <w:r>
        <w:rPr>
          <w:rFonts w:ascii="Cambria" w:cs="Cambria" w:eastAsia="Cambria" w:hAnsi="Cambria"/>
          <w:sz w:val="24"/>
          <w:szCs w:val="24"/>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 The formal decision model is expressed as</w:t>
      </w:r>
    </w:p>
    <w:p>
      <w:pPr>
        <w:spacing w:after="140" w:line="300"/>
        <w:jc w:val="both"/>
      </w:pPr>
      <w:r>
        <w:rPr>
          <w:rFonts w:ascii="Cambria" w:cs="Cambria" w:eastAsia="Cambria" w:hAnsi="Cambria"/>
          <w:color w:val="000000"/>
          <w:sz w:val="24"/>
          <w:szCs w:val="24"/>
        </w:rPr>
        <w:t xml:space="preserve">The empirical half of this objective has been carried out on the demonstrated prototype, whereas formal proofs and model checking of the authorisation properties remain future work. Figure 16 accordingly presents the RO6 workflow for security assurance, in which the empirical branch has been executed and the formal branch remains planned.</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(66)</w:t>
      </w:r>
    </w:p>
    <w:p>
      <w:pPr>
        <w:spacing w:after="140" w:line="300"/>
        <w:jc w:val="both"/>
      </w:pPr>
      <w:r>
        <w:rPr>
          <w:rFonts w:ascii="Cambria" w:cs="Cambria" w:eastAsia="Cambria" w:hAnsi="Cambria"/>
          <w:color w:val="000000"/>
          <w:sz w:val="24"/>
          <w:szCs w:val="24"/>
        </w:rPr>
        <w:t xml:space="preserve">Decision(C, R) = ALLOW ⇒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where this soundness property is the one actually validated: each conjunct is exercised by a dedicated per-dimension failure test that confirms access is denied when that predicate alone fails.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(67)</w:t>
      </w:r>
    </w:p>
    <w:p>
      <w:pPr>
        <w:spacing w:after="140" w:line="300"/>
        <w:jc w:val="both"/>
      </w:pPr>
      <w:r>
        <w:rPr>
          <w:rFonts w:ascii="Cambria" w:cs="Cambria" w:eastAsia="Cambria" w:hAnsi="Cambria"/>
          <w:sz w:val="24"/>
          <w:szCs w:val="24"/>
        </w:rPr>
        <w:t xml:space="preserve">This implication expresses the soundness requirement that every granted request must satisfy the identity, authorisation, and policy conditions. Conversely, if any mandatory condition is violated, the request must be denied:</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Decision(C, R) = DENY.</w:t>
      </w:r>
      <w:r>
        <w:rPr>
          <w:rFonts w:ascii="Cambria" w:cs="Cambria" w:eastAsia="Cambria" w:hAnsi="Cambria"/>
          <w:sz w:val="22"/>
          <w:szCs w:val="22"/>
        </w:rPr>
        <w:t xml:space="preserve">	(68)</w:t>
      </w:r>
    </w:p>
    <w:p>
      <w:pPr>
        <w:pStyle w:val="Heading3"/>
        <w:spacing w:after="160" w:before="280"/>
      </w:pPr>
      <w:r>
        <w:t xml:space="preserve">6.6.1  RO6 Assurance and Validation Workflow</w:t>
      </w:r>
    </w:p>
    <w:p>
      <w:pPr>
        <w:spacing w:after="140" w:line="300"/>
        <w:jc w:val="both"/>
      </w:pPr>
      <w:r>
        <w:rPr>
          <w:rFonts w:ascii="Cambria" w:cs="Cambria" w:eastAsia="Cambria" w:hAnsi="Cambria"/>
          <w:sz w:val="24"/>
          <w:szCs w:val="24"/>
        </w:rPr>
        <w:t xml:space="preserve">The validation process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 The HALAH prototype provides the implementation basis for this evaluation. The current system includes separate patient, guardian, doctor, and auditor interfaces. It also records consent creation, guardian approval, token minting, state checks, and data-access events.</w:t>
      </w:r>
    </w:p>
    <w:p>
      <w:pPr>
        <w:pStyle w:val="Heading3"/>
        <w:spacing w:after="160" w:before="280"/>
      </w:pPr>
      <w:r>
        <w:t xml:space="preserve">6.6.2  Procedure for Formal and Empirical Authorisation Validation</w:t>
      </w:r>
    </w:p>
    <w:p>
      <w:pPr>
        <w:spacing w:after="140" w:line="300"/>
        <w:jc w:val="both"/>
      </w:pPr>
      <w:r>
        <w:rPr>
          <w:rFonts w:ascii="Cambria" w:cs="Cambria" w:eastAsia="Cambria" w:hAnsi="Cambria"/>
          <w:sz w:val="24"/>
          <w:szCs w:val="24"/>
        </w:rPr>
        <w:t xml:space="preserve">The Formal and Empirical Authorisation Validation procedure evaluates whether the proposed framework F correctly implements the intended authorisation model under normal, invalid, and adversarial conditions. Rather than validating the framework only through successful</w:t>
      </w:r>
    </w:p>
    <w:p>
      <w:pPr>
        <w:keepNext/>
        <w:spacing w:after="60" w:before="140"/>
        <w:jc w:val="center"/>
      </w:pPr>
      <w:r>
        <w:drawing>
          <wp:inline distT="0" distB="0" distL="0" distR="0">
            <wp:extent cx="4762500" cy="5343525"/>
            <wp:effectExtent t="0" r="0" b="0" l="0"/>
            <wp:docPr id="1" name="gfig12.png" descr="Figure 16: RO6 workflow for formal security assurance and empirical validation" title="Figure 16: RO6 workflow for formal security assurance and empi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5343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16: RO6 workflow for formal security assurance and empirical validation</w:t>
      </w:r>
    </w:p>
    <w:p>
      <w:pPr>
        <w:jc w:val="center"/>
      </w:pPr>
      <w:r>
        <w:rPr>
          <w:rFonts w:ascii="Cambria" w:cs="Cambria" w:eastAsia="Cambria" w:hAnsi="Cambria"/>
          <w:i/>
          <w:iCs/>
          <w:sz w:val="20"/>
          <w:szCs w:val="20"/>
        </w:rPr>
        <w:t xml:space="preserve">[Figure 16: RO6 workflow for formal security assurance and empirical validation]</w:t>
      </w:r>
    </w:p>
    <w:p>
      <w:pPr>
        <w:spacing w:after="140" w:line="300"/>
        <w:jc w:val="both"/>
      </w:pPr>
      <w:r>
        <w:rPr>
          <w:rFonts w:ascii="Cambria" w:cs="Cambria" w:eastAsia="Cambria" w:hAnsi="Cambria"/>
          <w:sz w:val="24"/>
          <w:szCs w:val="24"/>
        </w:rPr>
        <w:t xml:space="preserve">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 1. Step 1 – Define the Expected Authorisation Properties. The first step is to define the security and authorisation properties P that the framework is expected to satisfy. These properties provide the formal evaluation criteria against which the observed system behaviour will subsequently be compared. The properties may include authorisation soundness, correct denial of unauthorised requests, threshold correctness, policy compliance, scope enforcement, temporal consistency, and audit consistency. Formally, P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2. Step 2 – Define Valid Scenarios. The system defines a set of valid scenarios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representing legitimate healthcare data-access workflows. These scenarios should contain valid patient identities, valid credentials, active consent, sufficient authority, satisfied multi-party approval, compatible purposes, and authorised data scopes. The purpose of these scenarios is to verify that legitimate requests are successfully authorised and that the framework does not incorrectly reject valid operations. 3. Step 3 – Define Negative Scenarios. The system defines a set of negative scenarios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 4. Step 4 – Define Adversarial Scenarios. The system defines adversarial scenarios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 representing attempts to circumvent or manipulate the authorisation process. Such scenarios may include replayed approvals, duplicate approvals, unauthorised participants attempting to satisfy a threshold, invalid or forged credentials, attempts to access data outside the authorised scope, and attempts to use a revoked or expired consent object. The adversarial test set is particularly important because a framework should not only demonstrate that legitimate requests succeed, but also demonstrate resilience against foreseeable attempts to bypass its security controls. 5. Step 5 – Construct the Complete Validation Scenario Set. The three scenario classes are combined into the complete validation set: S =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Each scenario s ∈ S is associated with an expected authorisation outcome and the security properties that it is intended to evaluate. 6. Step 6 – Execute Each Scenario Using the Framework. The system executes each scenario s using the implemented framework F. During execution, the framework performs the corresponding consent, identity, authority, threshold, policy, scope, and lifecycle checks. The execution process is treated as an empirical observation of the implemented authorisation model that F(s)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where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denotes the observed authorisation decision. 7. Step 7 – Collect the Observed Authorisation Decision. After each scenario has been executed, the system records the resulting authorisation decision. Depending on the operation, the observed result may be ALLOW, DENY, PENDING, or another explicitly defined lifecycle state. The observed decision is stored together with the corresponding scenario identifier to enable subsequent comparison with the expected outcome. 8. Step 8 – Collect Supporting Authorisation Evidence. 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 The collected evidence can therefore be represented as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{E</w:t>
      </w:r>
      <w:r>
        <w:rPr>
          <w:rFonts w:ascii="Cambria" w:cs="Cambria" w:eastAsia="Cambria" w:hAnsi="Cambria"/>
          <w:sz w:val="24"/>
          <w:szCs w:val="24"/>
          <w:vertAlign w:val="subscript"/>
        </w:rPr>
        <w:t xml:space="preserve">I</w:t>
      </w:r>
      <w:r>
        <w:rPr>
          <w:rFonts w:ascii="Cambria" w:cs="Cambria" w:eastAsia="Cambria" w:hAnsi="Cambria"/>
          <w:sz w:val="24"/>
          <w:szCs w:val="24"/>
        </w:rPr>
        <w:t xml:space="preserve">, E</w:t>
      </w:r>
      <w:r>
        <w:rPr>
          <w:rFonts w:ascii="Cambria" w:cs="Cambria" w:eastAsia="Cambria" w:hAnsi="Cambria"/>
          <w:sz w:val="24"/>
          <w:szCs w:val="24"/>
          <w:vertAlign w:val="subscript"/>
        </w:rPr>
        <w:t xml:space="preserve">A</w:t>
      </w:r>
      <w:r>
        <w:rPr>
          <w:rFonts w:ascii="Cambria" w:cs="Cambria" w:eastAsia="Cambria" w:hAnsi="Cambria"/>
          <w:sz w:val="24"/>
          <w:szCs w:val="24"/>
        </w:rPr>
        <w:t xml:space="preserve">, E</w:t>
      </w:r>
      <w:r>
        <w:rPr>
          <w:rFonts w:ascii="Cambria" w:cs="Cambria" w:eastAsia="Cambria" w:hAnsi="Cambria"/>
          <w:sz w:val="24"/>
          <w:szCs w:val="24"/>
          <w:vertAlign w:val="subscript"/>
        </w:rPr>
        <w:t xml:space="preserve">C</w:t>
      </w:r>
      <w:r>
        <w:rPr>
          <w:rFonts w:ascii="Cambria" w:cs="Cambria" w:eastAsia="Cambria" w:hAnsi="Cambria"/>
          <w:sz w:val="24"/>
          <w:szCs w:val="24"/>
        </w:rPr>
        <w:t xml:space="preserve">, E</w:t>
      </w:r>
      <w:r>
        <w:rPr>
          <w:rFonts w:ascii="Cambria" w:cs="Cambria" w:eastAsia="Cambria" w:hAnsi="Cambria"/>
          <w:sz w:val="24"/>
          <w:szCs w:val="24"/>
          <w:vertAlign w:val="subscript"/>
        </w:rPr>
        <w:t xml:space="preserve">T</w:t>
      </w:r>
      <w:r>
        <w:rPr>
          <w:rFonts w:ascii="Cambria" w:cs="Cambria" w:eastAsia="Cambria" w:hAnsi="Cambria"/>
          <w:sz w:val="24"/>
          <w:szCs w:val="24"/>
        </w:rPr>
        <w:t xml:space="preserve">, E</w:t>
      </w:r>
      <w:r>
        <w:rPr>
          <w:rFonts w:ascii="Cambria" w:cs="Cambria" w:eastAsia="Cambria" w:hAnsi="Cambria"/>
          <w:sz w:val="24"/>
          <w:szCs w:val="24"/>
          <w:vertAlign w:val="subscript"/>
        </w:rPr>
        <w:t xml:space="preserve">P</w:t>
      </w:r>
      <w:r>
        <w:rPr>
          <w:rFonts w:ascii="Cambria" w:cs="Cambria" w:eastAsia="Cambria" w:hAnsi="Cambria"/>
          <w:sz w:val="24"/>
          <w:szCs w:val="24"/>
        </w:rPr>
        <w:t xml:space="preserve">,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E</w:t>
      </w:r>
      <w:r>
        <w:rPr>
          <w:rFonts w:ascii="Cambria" w:cs="Cambria" w:eastAsia="Cambria" w:hAnsi="Cambria"/>
          <w:sz w:val="24"/>
          <w:szCs w:val="24"/>
          <w:vertAlign w:val="subscript"/>
        </w:rPr>
        <w:t xml:space="preserve">L</w:t>
      </w:r>
      <w:r>
        <w:rPr>
          <w:rFonts w:ascii="Cambria" w:cs="Cambria" w:eastAsia="Cambria" w:hAnsi="Cambria"/>
          <w:sz w:val="24"/>
          <w:szCs w:val="24"/>
        </w:rPr>
        <w:t xml:space="preserve">}, where the individual components represent identity, authority, consent, threshold, policy, scope, and lifecycle evidence. 9. Step 9 – Compare Observed and Expected Decisions. The observed decision is compared with the expected decision defined for scenario s. Let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denote the expected decision and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denote the observed decision. The scenario passes when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Otherwise, the scenario is classified as a validation failure.</w:t>
      </w:r>
    </w:p>
    <w:p>
      <w:pPr>
        <w:spacing w:after="140" w:line="300"/>
        <w:jc w:val="both"/>
      </w:pPr>
      <w:r>
        <w:rPr>
          <w:rFonts w:ascii="Cambria" w:cs="Cambria" w:eastAsia="Cambria" w:hAnsi="Cambria"/>
          <w:sz w:val="24"/>
          <w:szCs w:val="24"/>
        </w:rPr>
        <w:t xml:space="preserve">10. Step 10 – Record the Scenario Result. The system records whether each scenario has passed or failed. For each failure, the corresponding condition, observed behaviour, expected behaviour, and supporting evidence are retained for subsequent analysis. This enables validation results to be traced from the final decision back to the individual authorisation conditions that produced that decision. 11. Step 11 – Evaluate Authorisation Soundness. The system evaluates the soundness property to determine whether every granted request satisfies the required authorisation conditions. Formally,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Authorised(s) = TRUE. A sound framework should not grant access when one or more mandatory authorisation conditions are violated. 12. Step 12 – Evaluate Denial Correctness. The system evaluates whether invalid or unauthorised requests are correctly denied. The denial property can be represented as Authorised(s) = FALSE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This evaluation is particularly important for negative and adversarial scenarios because successful operation under valid conditions alone cannot demonstrate that unauthorised access is reliably prevented. 13. Step 13 – Evaluate Threshold Correctness. The system evaluates whether multi-party authorisation is activated only when the required threshold condition is satisfied. The expected threshold property is Authorisation(C) = ALLOW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evaluation should also verify that invalid, duplicate, or unauthorised approvals do not contribute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This ensures that the threshold cannot be artificially satisfied by repeated or illegitimate approval submissions. 14. Step 14 – Evaluate Policy and Scope Enforcement. The system evaluates whether every granted request satisfies the consent-defined policy and data-scope constraints. In particular, the scope enforcement property is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 evaluation should verify that a participant cannot obtain healthcare resources outside the scope authorised by the patient’s consent, even when the participant possesses a valid identity and authority credential. Purpose compatibility is evaluated similarly: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15. Step 15 – Evaluate Audit Consistency. The system evaluates whether the recorded audit evidence is consistent with the actual authorisation decision and the underlying verification events. For an access event e, the audit record should provide sufficient evidence to establish a relationship between the request, requester, consent, policy evaluation, authorisation result, and timestamp. Therefore, Audit(e) ⊨ Decision(e). An audit inconsistency occurs when the recorded evidence does not correspond to the actual system decision or when critical authorisation evidence is missing. 16. Step 16 – Analyse Failures and Limitations. Any failed scenario is analysed to determine the source and significance of the failure. The analysis distinguishes between implementation defects, policy-definition errors, integration problems, incomplete security controls, and limitations of the experimental environment. The purpose of this step is not to conceal unsuccessful cases but to determine whether observed failures represent violations of the intended security properties or limitations that should be addressed in future work. 17. Step 17 – Consolidate the Validation Results. Finally, the individual scenario results and property-level evaluations are consolidated into an overall validation result. The resulting evidence includes: V = {R</w:t>
      </w:r>
      <w:r>
        <w:rPr>
          <w:rFonts w:ascii="Cambria" w:cs="Cambria" w:eastAsia="Cambria" w:hAnsi="Cambria"/>
          <w:sz w:val="24"/>
          <w:szCs w:val="24"/>
          <w:vertAlign w:val="subscript"/>
        </w:rPr>
        <w:t xml:space="preserve">scenario</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R</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The framework is considered empirically consistent with the specified authorisation model when the observed decisions satisfy the expected outcomes across the defined validation scenarios and no critical security property is violated. The overall validation process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P → S</w:t>
      </w:r>
      <w:r>
        <w:rPr>
          <w:rFonts w:ascii="Cambria Math" w:cs="Cambria Math" w:eastAsia="Cambria Math" w:hAnsi="Cambria Math"/>
          <w:i/>
          <w:iCs/>
          <w:sz w:val="22"/>
          <w:szCs w:val="22"/>
          <w:vertAlign w:val="subscript"/>
        </w:rPr>
        <w:t xml:space="preserve">valid</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negative</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adv</w:t>
      </w:r>
      <w:r>
        <w:rPr>
          <w:rFonts w:ascii="Cambria Math" w:cs="Cambria Math" w:eastAsia="Cambria Math" w:hAnsi="Cambria Math"/>
          <w:i/>
          <w:iCs/>
          <w:sz w:val="22"/>
          <w:szCs w:val="22"/>
        </w:rPr>
        <w:t xml:space="preserve"> → F(s)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E</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exp</w:t>
      </w:r>
      <w:r>
        <w:rPr>
          <w:rFonts w:ascii="Cambria Math" w:cs="Cambria Math" w:eastAsia="Cambria Math" w:hAnsi="Cambria Math"/>
          <w:i/>
          <w:iCs/>
          <w:sz w:val="22"/>
          <w:szCs w:val="22"/>
        </w:rPr>
        <w:t xml:space="preserve"> → Property Evaluation → Failure Analysis → Validation Evidence</w:t>
      </w:r>
    </w:p>
    <w:p>
      <w:pPr>
        <w:spacing w:after="140" w:line="300"/>
        <w:jc w:val="both"/>
      </w:pPr>
      <w:r>
        <w:rPr>
          <w:rFonts w:ascii="Cambria" w:cs="Cambria" w:eastAsia="Cambria" w:hAnsi="Cambria"/>
          <w:sz w:val="24"/>
          <w:szCs w:val="24"/>
        </w:rPr>
        <w:t xml:space="preserve">The fundamental scenario-level validation criterion is Pass(s)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while the framework-level validation can be expressed as: Valid(F)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This procedure establishes a distinction between functional correctness and security correctness.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 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 positive security property of granting legitimate access and the negative security property of preventing illegitimate access. The validation procedure also provides traceability between the final access decision and its supporting evidence. For each scenario, the decision can be interpreted as: Decision(s) = f(Identity, Authority, Consent, Threshold, Purpose, Scope, Lifecycle, Evidence). Consequently, validation does not merely determine whether the final output is ALLOW or DENY ; it also determines whether the underlying evidence is consistent with the decision. This is particularly important for a trust-aware framework because a correct decision without sufficient supporting evidence cannot provide strong assurance regarding how the decision was reached. The relationship between the six algorithms can therefore be represented as Algorithm 1 : Create Consent Algorithm 2 : Verify Identity and Authority Algorithm 3 : Establish Multi-Party Authorisation Algorithm 4 : Evaluate Access Request Algorithm 5 : Validate Temporal and Lifecycle State Algorithm 6 : Validate the Complete Framework 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 Design → Implementation → Execution → Observation → Verification → Validation The resulting validation methodology provides empirical evidence that the proposed authorisation model is not merely conceptually defined but is operationally enforceable and testable under legitimate, invalid, and adversarial conditions.</w:t>
      </w:r>
    </w:p>
    <w:p>
      <w:pPr>
        <w:pBdr>
          <w:top w:val="single" w:color="000000" w:sz="12"/>
          <w:bottom w:val="single" w:color="000000" w:sz="6"/>
        </w:pBdr>
        <w:spacing w:after="40" w:before="220"/>
      </w:pPr>
      <w:r>
        <w:rPr>
          <w:rFonts w:ascii="Cambria" w:cs="Cambria" w:eastAsia="Cambria" w:hAnsi="Cambria"/>
          <w:b/>
          <w:bCs/>
          <w:sz w:val="21"/>
          <w:szCs w:val="21"/>
        </w:rPr>
        <w:t xml:space="preserve">Algorithm 6 </w:t>
      </w:r>
      <w:r>
        <w:rPr>
          <w:rFonts w:ascii="Cambria" w:cs="Cambria" w:eastAsia="Cambria" w:hAnsi="Cambria"/>
          <w:sz w:val="21"/>
          <w:szCs w:val="21"/>
        </w:rPr>
        <w:t xml:space="preserve">Formal and Empirical Authorisation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Framework implementation F, validation scenarios S, security properties P</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Validation evidence and evaluation results</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Define expected authorisation properties P</w:t>
      </w:r>
    </w:p>
    <w:p>
      <w:pPr>
        <w:spacing w:after="20"/>
        <w:ind w:left="240"/>
      </w:pPr>
      <w:r>
        <w:rPr>
          <w:rFonts w:ascii="Cambria" w:cs="Cambria" w:eastAsia="Cambria" w:hAnsi="Cambria"/>
          <w:color w:val="555555"/>
          <w:sz w:val="18"/>
          <w:szCs w:val="18"/>
        </w:rPr>
        <w:t xml:space="preserve">2:  </w:t>
      </w:r>
      <w:r>
        <w:rPr>
          <w:rFonts w:ascii="Cambria" w:cs="Cambria" w:eastAsia="Cambria" w:hAnsi="Cambria"/>
          <w:sz w:val="21"/>
          <w:szCs w:val="21"/>
        </w:rPr>
        <w:t xml:space="preserve">Define valid scenarios S ∗ valid</w:t>
      </w:r>
    </w:p>
    <w:p>
      <w:pPr>
        <w:spacing w:after="20"/>
        <w:ind w:left="240"/>
      </w:pPr>
      <w:r>
        <w:rPr>
          <w:rFonts w:ascii="Cambria" w:cs="Cambria" w:eastAsia="Cambria" w:hAnsi="Cambria"/>
          <w:color w:val="555555"/>
          <w:sz w:val="18"/>
          <w:szCs w:val="18"/>
        </w:rPr>
        <w:t xml:space="preserve">3:  </w:t>
      </w:r>
      <w:r>
        <w:rPr>
          <w:rFonts w:ascii="Cambria" w:cs="Cambria" w:eastAsia="Cambria" w:hAnsi="Cambria"/>
          <w:sz w:val="21"/>
          <w:szCs w:val="21"/>
        </w:rPr>
        <w:t xml:space="preserve">Define negative scenarios S ∗ negative</w:t>
      </w:r>
    </w:p>
    <w:p>
      <w:pPr>
        <w:spacing w:after="20"/>
        <w:ind w:left="240"/>
      </w:pPr>
      <w:r>
        <w:rPr>
          <w:rFonts w:ascii="Cambria" w:cs="Cambria" w:eastAsia="Cambria" w:hAnsi="Cambria"/>
          <w:color w:val="555555"/>
          <w:sz w:val="18"/>
          <w:szCs w:val="18"/>
        </w:rPr>
        <w:t xml:space="preserve">4:  </w:t>
      </w:r>
      <w:r>
        <w:rPr>
          <w:rFonts w:ascii="Cambria" w:cs="Cambria" w:eastAsia="Cambria" w:hAnsi="Cambria"/>
          <w:sz w:val="21"/>
          <w:szCs w:val="21"/>
        </w:rPr>
        <w:t xml:space="preserve">Define adversarial scenarios S ∗ adv</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for</w:t>
      </w:r>
      <w:r>
        <w:rPr>
          <w:rFonts w:ascii="Cambria" w:cs="Cambria" w:eastAsia="Cambria" w:hAnsi="Cambria"/>
          <w:sz w:val="21"/>
          <w:szCs w:val="21"/>
        </w:rPr>
        <w:t xml:space="preserve"> each scenario s in S ∗ valid ∪ S ∗ negative ∪ S ∗ adv </w:t>
      </w:r>
      <w:r>
        <w:rPr>
          <w:rFonts w:ascii="Cambria" w:cs="Cambria" w:eastAsia="Cambria" w:hAnsi="Cambria"/>
          <w:b/>
          <w:bCs/>
          <w:sz w:val="21"/>
          <w:szCs w:val="21"/>
        </w:rPr>
        <w:t xml:space="preserve">do</w:t>
      </w:r>
    </w:p>
    <w:p>
      <w:pPr>
        <w:spacing w:after="20"/>
        <w:ind w:left="600"/>
      </w:pPr>
      <w:r>
        <w:rPr>
          <w:rFonts w:ascii="Cambria" w:cs="Cambria" w:eastAsia="Cambria" w:hAnsi="Cambria"/>
          <w:color w:val="555555"/>
          <w:sz w:val="18"/>
          <w:szCs w:val="18"/>
        </w:rPr>
        <w:t xml:space="preserve">6:  </w:t>
      </w:r>
      <w:r>
        <w:rPr>
          <w:rFonts w:ascii="Cambria" w:cs="Cambria" w:eastAsia="Cambria" w:hAnsi="Cambria"/>
          <w:sz w:val="21"/>
          <w:szCs w:val="21"/>
        </w:rPr>
        <w:t xml:space="preserve">Execute s using framework F</w:t>
      </w:r>
    </w:p>
    <w:p>
      <w:pPr>
        <w:spacing w:after="20"/>
        <w:ind w:left="600"/>
      </w:pPr>
      <w:r>
        <w:rPr>
          <w:rFonts w:ascii="Cambria" w:cs="Cambria" w:eastAsia="Cambria" w:hAnsi="Cambria"/>
          <w:color w:val="555555"/>
          <w:sz w:val="18"/>
          <w:szCs w:val="18"/>
        </w:rPr>
        <w:t xml:space="preserve">7:  </w:t>
      </w:r>
      <w:r>
        <w:rPr>
          <w:rFonts w:ascii="Cambria" w:cs="Cambria" w:eastAsia="Cambria" w:hAnsi="Cambria"/>
          <w:sz w:val="21"/>
          <w:szCs w:val="21"/>
        </w:rPr>
        <w:t xml:space="preserve">Collect authorisation decision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Collect identity, approval, policy, and audit evidence</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Compare observed decision with expected decision</w:t>
      </w:r>
    </w:p>
    <w:p>
      <w:pPr>
        <w:spacing w:after="20"/>
        <w:ind w:left="600"/>
      </w:pPr>
      <w:r>
        <w:rPr>
          <w:rFonts w:ascii="Cambria" w:cs="Cambria" w:eastAsia="Cambria" w:hAnsi="Cambria"/>
          <w:color w:val="555555"/>
          <w:sz w:val="18"/>
          <w:szCs w:val="18"/>
        </w:rPr>
        <w:t xml:space="preserve">10:  </w:t>
      </w:r>
      <w:r>
        <w:rPr>
          <w:rFonts w:ascii="Cambria" w:cs="Cambria" w:eastAsia="Cambria" w:hAnsi="Cambria"/>
          <w:sz w:val="21"/>
          <w:szCs w:val="21"/>
        </w:rPr>
        <w:t xml:space="preserve">Record pass or failure result</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for</w:t>
      </w:r>
    </w:p>
    <w:p>
      <w:pPr>
        <w:spacing w:after="20"/>
        <w:ind w:left="240"/>
      </w:pPr>
      <w:r>
        <w:rPr>
          <w:rFonts w:ascii="Cambria" w:cs="Cambria" w:eastAsia="Cambria" w:hAnsi="Cambria"/>
          <w:color w:val="555555"/>
          <w:sz w:val="18"/>
          <w:szCs w:val="18"/>
        </w:rPr>
        <w:t xml:space="preserve">12:  </w:t>
      </w:r>
      <w:r>
        <w:rPr>
          <w:rFonts w:ascii="Cambria" w:cs="Cambria" w:eastAsia="Cambria" w:hAnsi="Cambria"/>
          <w:sz w:val="21"/>
          <w:szCs w:val="21"/>
        </w:rPr>
        <w:t xml:space="preserve">Evaluate soundness property</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Evaluate denial property</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Evaluate threshold correctness</w:t>
      </w:r>
    </w:p>
    <w:p>
      <w:pPr>
        <w:spacing w:after="20"/>
        <w:ind w:left="240"/>
      </w:pPr>
      <w:r>
        <w:rPr>
          <w:rFonts w:ascii="Cambria" w:cs="Cambria" w:eastAsia="Cambria" w:hAnsi="Cambria"/>
          <w:color w:val="555555"/>
          <w:sz w:val="18"/>
          <w:szCs w:val="18"/>
        </w:rPr>
        <w:t xml:space="preserve">15:  </w:t>
      </w:r>
      <w:r>
        <w:rPr>
          <w:rFonts w:ascii="Cambria" w:cs="Cambria" w:eastAsia="Cambria" w:hAnsi="Cambria"/>
          <w:sz w:val="21"/>
          <w:szCs w:val="21"/>
        </w:rPr>
        <w:t xml:space="preserve">Evaluate policy-scope enforcement</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audit consistency</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Analyse failures and limitations</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return</w:t>
      </w:r>
      <w:r>
        <w:rPr>
          <w:rFonts w:ascii="Cambria" w:cs="Cambria" w:eastAsia="Cambria" w:hAnsi="Cambria"/>
          <w:sz w:val="21"/>
          <w:szCs w:val="21"/>
        </w:rPr>
        <w:t xml:space="preserve"> Validation results</w:t>
      </w:r>
    </w:p>
    <w:p>
      <w:pPr>
        <w:pBdr>
          <w:bottom w:val="single" w:color="000000" w:sz="12"/>
        </w:pBdr>
        <w:spacing w:after="60"/>
      </w:pPr>
    </w:p>
    <w:p>
      <w:pPr>
        <w:spacing w:after="160"/>
      </w:pPr>
    </w:p>
    <w:p>
      <w:pPr>
        <w:pStyle w:val="Heading3"/>
        <w:spacing w:after="160" w:before="280"/>
      </w:pPr>
      <w:r>
        <w:t xml:space="preserve">6.6.3  Algorithm 6: Formal and Empirical Authorisation Validation</w:t>
      </w:r>
    </w:p>
    <w:p>
      <w:pPr>
        <w:spacing w:after="140" w:line="300"/>
        <w:jc w:val="both"/>
      </w:pPr>
      <w:r>
        <w:rPr>
          <w:rFonts w:ascii="Cambria" w:cs="Cambria" w:eastAsia="Cambria" w:hAnsi="Cambria"/>
          <w:sz w:val="24"/>
          <w:szCs w:val="24"/>
        </w:rP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 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p>
      <w:pPr>
        <w:pStyle w:val="Heading2"/>
        <w:spacing w:after="160" w:before="280"/>
      </w:pPr>
      <w:r>
        <w:t xml:space="preserve">6.7  Algorithms and the Research Objectives</w:t>
      </w:r>
    </w:p>
    <w:p>
      <w:pPr>
        <w:spacing w:after="140" w:line="300"/>
        <w:jc w:val="both"/>
      </w:pPr>
      <w:r>
        <w:rPr>
          <w:rFonts w:ascii="Cambria" w:cs="Cambria" w:eastAsia="Cambria" w:hAnsi="Cambria"/>
          <w:sz w:val="24"/>
          <w:szCs w:val="24"/>
        </w:rP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 The final two algorithms extend this foundational mechanism. Algorithm 5 introduces temporal and lifecycle validity, while Algorithm 6 provides formal and empirical assurance of the complete framework. This structure reflects the staged research design in which current stage establishes the foundational authorisation mechanisms and CA3 investigates their</w:t>
      </w:r>
    </w:p>
    <w:p>
      <w:pPr>
        <w:spacing w:after="140" w:line="300"/>
        <w:jc w:val="both"/>
      </w:pPr>
      <w:r>
        <w:rPr>
          <w:rFonts w:ascii="Cambria" w:cs="Cambria" w:eastAsia="Cambria" w:hAnsi="Cambria"/>
          <w:sz w:val="24"/>
          <w:szCs w:val="24"/>
        </w:rPr>
        <w:t xml:space="preserve">dynamic validity, security assurance, and comprehensive practical effectiveness. The overall trust-oriented authorisation process can therefore be summarised as Trustworthy Access with </w:t>
      </w:r>
      <w:r>
        <w:rPr>
          <w:rFonts w:ascii="Cambria" w:cs="Cambria" w:eastAsia="Cambria" w:hAnsi="Cambria"/>
          <w:color w:val="000000"/>
          <w:sz w:val="24"/>
          <w:szCs w:val="24"/>
        </w:rPr>
        <w:t xml:space="preserve">1) Identity Trust,</w:t>
      </w:r>
      <w:r>
        <w:rPr>
          <w:rFonts w:ascii="Cambria" w:cs="Cambria" w:eastAsia="Cambria" w:hAnsi="Cambria"/>
          <w:sz w:val="24"/>
          <w:szCs w:val="24"/>
        </w:rPr>
        <w:t xml:space="preserve"> </w:t>
      </w:r>
      <w:r>
        <w:rPr>
          <w:rFonts w:ascii="Cambria" w:cs="Cambria" w:eastAsia="Cambria" w:hAnsi="Cambria"/>
          <w:color w:val="000000"/>
          <w:sz w:val="24"/>
          <w:szCs w:val="24"/>
        </w:rPr>
        <w:t xml:space="preserve">2)</w:t>
      </w:r>
      <w:r>
        <w:rPr>
          <w:rFonts w:ascii="Cambria" w:cs="Cambria" w:eastAsia="Cambria" w:hAnsi="Cambria"/>
          <w:sz w:val="24"/>
          <w:szCs w:val="24"/>
        </w:rPr>
        <w:t xml:space="preserve"> Authority Trust, </w:t>
      </w:r>
      <w:r>
        <w:rPr>
          <w:rFonts w:ascii="Cambria" w:cs="Cambria" w:eastAsia="Cambria" w:hAnsi="Cambria"/>
          <w:color w:val="000000"/>
          <w:sz w:val="24"/>
          <w:szCs w:val="24"/>
        </w:rPr>
        <w:t xml:space="preserve">3)</w:t>
      </w:r>
      <w:r>
        <w:rPr>
          <w:rFonts w:ascii="Cambria" w:cs="Cambria" w:eastAsia="Cambria" w:hAnsi="Cambria"/>
          <w:sz w:val="24"/>
          <w:szCs w:val="24"/>
        </w:rPr>
        <w:t xml:space="preserve"> Collective Authorisation, </w:t>
      </w:r>
      <w:r>
        <w:rPr>
          <w:rFonts w:ascii="Cambria" w:cs="Cambria" w:eastAsia="Cambria" w:hAnsi="Cambria"/>
          <w:color w:val="000000"/>
          <w:sz w:val="24"/>
          <w:szCs w:val="24"/>
        </w:rPr>
        <w:t xml:space="preserve">4)</w:t>
      </w:r>
      <w:r>
        <w:rPr>
          <w:rFonts w:ascii="Cambria" w:cs="Cambria" w:eastAsia="Cambria" w:hAnsi="Cambria"/>
          <w:sz w:val="24"/>
          <w:szCs w:val="24"/>
        </w:rPr>
        <w:t xml:space="preserve"> Policy Compliance, </w:t>
      </w:r>
      <w:r>
        <w:rPr>
          <w:rFonts w:ascii="Cambria" w:cs="Cambria" w:eastAsia="Cambria" w:hAnsi="Cambria"/>
          <w:color w:val="000000"/>
          <w:sz w:val="24"/>
          <w:szCs w:val="24"/>
        </w:rPr>
        <w:t xml:space="preserve">5) </w:t>
      </w:r>
      <w:r>
        <w:rPr>
          <w:rFonts w:ascii="Cambria" w:cs="Cambria" w:eastAsia="Cambria" w:hAnsi="Cambria"/>
          <w:sz w:val="24"/>
          <w:szCs w:val="24"/>
        </w:rPr>
        <w:t xml:space="preserve">Temporal and Lifecycle Trust. For the current stage implementation, the operational decision is based on</w:t>
      </w:r>
    </w:p>
    <w:p>
      <w:pPr>
        <w:spacing w:after="140" w:line="300"/>
        <w:jc w:val="both"/>
      </w:pPr>
      <w:r>
        <w:rPr>
          <w:rFonts w:ascii="Cambria" w:cs="Cambria" w:eastAsia="Cambria" w:hAnsi="Cambria"/>
          <w:color w:val="000000"/>
          <w:sz w:val="24"/>
          <w:szCs w:val="24"/>
        </w:rPr>
        <w:t xml:space="preserve">Algorithms 1–5 are all realised in the current prototype, and the empirical branch of Algorithm 6 has been executed against it. Consequently, only the formal-assurance branch, together with configurable k-of-n thresholds and authenticated requesters, remains for the next stage.</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(69)</w:t>
      </w:r>
    </w:p>
    <w:p>
      <w:pPr>
        <w:spacing w:after="140" w:line="300"/>
        <w:jc w:val="both"/>
      </w:pPr>
      <w:r>
        <w:rPr>
          <w:rFonts w:ascii="Cambria" w:cs="Cambria" w:eastAsia="Cambria" w:hAnsi="Cambria"/>
          <w:sz w:val="24"/>
          <w:szCs w:val="24"/>
        </w:rPr>
        <w:t xml:space="preserve">The CA3 extension incorporates temporal and lifecycle conditions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(70)</w:t>
      </w:r>
    </w:p>
    <w:p>
      <w:pPr>
        <w:spacing w:after="140" w:line="300"/>
        <w:jc w:val="both"/>
      </w:pPr>
      <w:r>
        <w:rPr>
          <w:rFonts w:ascii="Cambria" w:cs="Cambria" w:eastAsia="Cambria" w:hAnsi="Cambria"/>
          <w:color w:val="000000"/>
          <w:sz w:val="24"/>
          <w:szCs w:val="24"/>
        </w:rPr>
        <w:t xml:space="preserve">The implemented system enforces the complete rule of Equation (70): access is granted only when all five predicates hold, revocation is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and every decision, whether granted or denied, is logged together with the full decision matrix; Equation (69) is retained as the historical current-stage formulation.</w:t>
      </w:r>
    </w:p>
    <w:p>
      <w:pPr>
        <w:spacing w:after="140" w:line="300"/>
        <w:jc w:val="both"/>
      </w:pPr>
      <w:r>
        <w:rPr>
          <w:rFonts w:ascii="Cambria" w:cs="Cambria" w:eastAsia="Cambria" w:hAnsi="Cambria"/>
          <w:sz w:val="24"/>
          <w:szCs w:val="24"/>
        </w:rPr>
        <w:t xml:space="preserve">These equations demonstrate that trust is not provided by blockchain alone. Blockchain contributes integrity, tamper resistance, persistence, and auditability.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p>
      <w:pPr>
        <w:spacing w:after="140" w:line="300"/>
        <w:jc w:val="both"/>
      </w:pPr>
      <w:r>
        <w:rPr>
          <w:rFonts w:ascii="Cambria" w:cs="Cambria" w:eastAsia="Cambria" w:hAnsi="Cambria"/>
          <w:color w:val="000000"/>
          <w:sz w:val="24"/>
          <w:szCs w:val="24"/>
        </w:rPr>
        <w:t xml:space="preserve">The remainder of this chapter moves from the formal design to its realisation. Section 6.8 presents the implemented HALAH system and its live demonstration on the Sepolia test network, so that every algorithm introduced above can be traced to observable behaviour and to publicly verifiable on-chain transactions.</w:t>
      </w:r>
    </w:p>
    <w:p>
      <w:pPr>
        <w:pStyle w:val="Heading2"/>
        <w:pageBreakBefore/>
        <w:spacing w:after="160" w:before="280"/>
      </w:pPr>
      <w:r>
        <w:rPr>
          <w:color w:val="000000"/>
        </w:rPr>
        <w:t xml:space="preserve">6.8  Implementation and Live Demonstration of the Proposed Solution</w:t>
      </w:r>
    </w:p>
    <w:p>
      <w:pPr>
        <w:spacing w:after="140" w:line="300"/>
        <w:jc w:val="both"/>
      </w:pPr>
      <w:r>
        <w:rPr>
          <w:rFonts w:ascii="Cambria" w:cs="Cambria" w:eastAsia="Cambria" w:hAnsi="Cambria"/>
          <w:color w:val="000000"/>
          <w:sz w:val="24"/>
          <w:szCs w:val="24"/>
        </w:rPr>
        <w:t xml:space="preserve">The HALAH implementation provides a role-based patient consent management environment that operationalises the proposed multi-party healthcare data-sharing framework. The subsystem is organised around four principal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and cryptographically activated on a public blockchain. It is then continuously checked for validity, subsequently used to control access to specific electronic medical record (EMR) modules, and finally revoked by the patient.</w:t>
      </w:r>
    </w:p>
    <w:p>
      <w:pPr>
        <w:spacing w:after="140" w:line="300"/>
        <w:jc w:val="both"/>
      </w:pPr>
      <w:r>
        <w:rPr>
          <w:rFonts w:ascii="Cambria" w:cs="Cambria" w:eastAsia="Cambria" w:hAnsi="Cambria"/>
          <w:color w:val="000000"/>
          <w:sz w:val="24"/>
          <w:szCs w:val="24"/>
        </w:rPr>
        <w:t xml:space="preserve">The activation and revocation of a consent are not confined to the application. Instead, they are executed as real transactions on the </w:t>
      </w:r>
      <w:r>
        <w:rPr>
          <w:rFonts w:ascii="Cambria" w:cs="Cambria" w:eastAsia="Cambria" w:hAnsi="Cambria"/>
          <w:b/>
          <w:bCs/>
          <w:color w:val="000000"/>
          <w:sz w:val="24"/>
          <w:szCs w:val="24"/>
        </w:rPr>
        <w:t xml:space="preserve">Ethereum Sepolia</w:t>
      </w:r>
      <w:r>
        <w:rPr>
          <w:rFonts w:ascii="Cambria" w:cs="Cambria" w:eastAsia="Cambria" w:hAnsi="Cambria"/>
          <w:color w:val="000000"/>
          <w:sz w:val="24"/>
          <w:szCs w:val="24"/>
        </w:rPr>
        <w:t xml:space="preserve"> test network. Consequently, the essential state changes of a consent can be verified by any third party on a public block explorer. The overall workflow implemented by the system is therefore consistent with the proposed authorisation model as</w:t>
      </w:r>
    </w:p>
    <w:p>
      <w:pPr>
        <w:spacing w:after="160" w:before="60"/>
        <w:jc w:val="center"/>
      </w:pPr>
      <w:r>
        <w:rPr>
          <w:rFonts w:ascii="Cambria Math" w:cs="Cambria Math" w:eastAsia="Cambria Math" w:hAnsi="Cambria Math"/>
          <w:i/>
          <w:iCs/>
          <w:color w:val="000000"/>
          <w:sz w:val="22"/>
          <w:szCs w:val="22"/>
        </w:rPr>
        <w:t xml:space="preserve">Create Consent → Guardian Approval → Multi-signature Validation → On-chain Consent Activation</w:t>
      </w:r>
    </w:p>
    <w:p>
      <w:pPr>
        <w:spacing w:after="160" w:before="60"/>
        <w:jc w:val="center"/>
      </w:pPr>
      <w:r>
        <w:rPr>
          <w:rFonts w:ascii="Cambria Math" w:cs="Cambria Math" w:eastAsia="Cambria Math" w:hAnsi="Cambria Math"/>
          <w:i/>
          <w:iCs/>
          <w:color w:val="000000"/>
          <w:sz w:val="22"/>
          <w:szCs w:val="22"/>
        </w:rPr>
        <w:t xml:space="preserve">→ Doctor Access → Consent Revocation → Independent Audit</w:t>
      </w:r>
    </w:p>
    <w:p>
      <w:pPr>
        <w:spacing w:after="140" w:line="300"/>
        <w:jc w:val="both"/>
      </w:pPr>
      <w:r>
        <w:rPr>
          <w:rFonts w:ascii="Cambria" w:cs="Cambria" w:eastAsia="Cambria" w:hAnsi="Cambria"/>
          <w:color w:val="000000"/>
          <w:sz w:val="24"/>
          <w:szCs w:val="24"/>
        </w:rPr>
        <w:t xml:space="preserve">This sequence provides an end-to-end demonstration of how the conceptual consent model is translated into an operational healthcare data-sharing process. Each stage is documented below with a screenshot of the running system and, where the stage produces a blockchain transaction, with the corresponding transaction on Sepolia Etherscan.</w:t>
      </w:r>
    </w:p>
    <w:p>
      <w:pPr>
        <w:spacing w:after="140" w:line="300"/>
        <w:jc w:val="both"/>
      </w:pPr>
      <w:r>
        <w:rPr>
          <w:rFonts w:ascii="Cambria" w:cs="Cambria" w:eastAsia="Cambria" w:hAnsi="Cambria"/>
          <w:color w:val="000000"/>
          <w:sz w:val="24"/>
          <w:szCs w:val="24"/>
        </w:rPr>
        <w:t xml:space="preserve">This operational sequence realises the trust-oriented authorisation model developed in the preceding sections of this chapter. The consent object of Eq. (51), the identity and authority verification of Algorithm 2, the threshold-based multi-party authorisation of Algorithm 3, and the trust-predicate evaluation of Figure 8 are each exercised in this workflow by a real transaction on the Ethereum Sepolia test network, so the conceptual model and the running system can be verified against one another.</w:t>
      </w:r>
    </w:p>
    <w:p>
      <w:pPr>
        <w:pStyle w:val="Heading3"/>
        <w:spacing w:after="160" w:before="280"/>
      </w:pPr>
      <w:r>
        <w:rPr>
          <w:color w:val="000000"/>
        </w:rPr>
        <w:t xml:space="preserve">6.8.1  The HALAH System</w:t>
      </w:r>
    </w:p>
    <w:p>
      <w:pPr>
        <w:spacing w:after="140" w:line="300"/>
        <w:jc w:val="both"/>
      </w:pPr>
      <w:r>
        <w:rPr>
          <w:rFonts w:ascii="Cambria" w:cs="Cambria" w:eastAsia="Cambria" w:hAnsi="Cambria"/>
          <w:color w:val="000000"/>
          <w:sz w:val="24"/>
          <w:szCs w:val="24"/>
        </w:rPr>
        <w:t xml:space="preserve">The main HALAH subsystem presents itself as a Patient Consent Management Platform for History Access by Authorised Healthcare Providers. The subsystem provides a role-oriented environment in which different participants interact with the same consent lifecycle according to their respective authorisation responsibilities.</w:t>
      </w:r>
    </w:p>
    <w:p>
      <w:pPr>
        <w:spacing w:after="140" w:line="300"/>
        <w:jc w:val="both"/>
      </w:pPr>
      <w:r>
        <w:rPr>
          <w:rFonts w:ascii="Cambria" w:cs="Cambria" w:eastAsia="Cambria" w:hAnsi="Cambria"/>
          <w:color w:val="000000"/>
          <w:sz w:val="24"/>
          <w:szCs w:val="24"/>
        </w:rP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on-chain anchoring and audit recording.</w:t>
      </w:r>
    </w:p>
    <w:p>
      <w:pPr>
        <w:spacing w:after="140" w:line="300"/>
        <w:jc w:val="both"/>
      </w:pPr>
      <w:r>
        <w:rPr>
          <w:rFonts w:ascii="Cambria" w:cs="Cambria" w:eastAsia="Cambria" w:hAnsi="Cambria"/>
          <w:color w:val="000000"/>
          <w:sz w:val="24"/>
          <w:szCs w:val="24"/>
        </w:rPr>
        <w:t xml:space="preserve">This design corresponds to the overall HALAH architecture, in which decentralised identifiers (DIDs) provide identity pointers, the consent object defines the authorisation conditions, cryptographic signatures provide evidence of approval, and the blockchain-based ledger provides lifecycle traceability.</w:t>
      </w:r>
    </w:p>
    <w:p>
      <w:pPr>
        <w:keepNext/>
        <w:spacing w:after="60" w:before="140"/>
        <w:jc w:val="center"/>
      </w:pPr>
      <w:r>
        <w:drawing>
          <wp:inline distT="0" distB="0" distL="0" distR="0">
            <wp:extent cx="5715000" cy="3257550"/>
            <wp:effectExtent t="0" r="0" b="0" l="0"/>
            <wp:docPr id="1" name="n_compile.png" descr="Figure 17: Compilation of ConsentSBTv3 in Remix: the compiler reports a successful compilation and the contract is selected for deployment." title="Figure 17: Compilation of ConsentSBTv3 in Remix: the compiler reports a successful compilation and the contract is selected fo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57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17: Compilation of ConsentSBTv3 in Remix: the compiler reports a successful compilation and the contract is selected for deployment.</w:t>
      </w:r>
    </w:p>
    <w:p>
      <w:pPr>
        <w:spacing w:after="140" w:line="300"/>
        <w:jc w:val="both"/>
      </w:pPr>
      <w:r>
        <w:rPr>
          <w:rFonts w:ascii="Cambria" w:cs="Cambria" w:eastAsia="Cambria" w:hAnsi="Cambria"/>
          <w:color w:val="000000"/>
          <w:sz w:val="24"/>
          <w:szCs w:val="24"/>
        </w:rPr>
        <w:t xml:space="preserve">As shown in the figure above, the consent token contract, </w:t>
      </w:r>
      <w:r>
        <w:rPr>
          <w:rFonts w:ascii="Cambria" w:cs="Cambria" w:eastAsia="Cambria" w:hAnsi="Cambria"/>
          <w:b/>
          <w:bCs/>
          <w:color w:val="000000"/>
          <w:sz w:val="24"/>
          <w:szCs w:val="24"/>
        </w:rPr>
        <w:t xml:space="preserve">ConsentSBTv3</w:t>
      </w:r>
      <w:r>
        <w:rPr>
          <w:rFonts w:ascii="Cambria" w:cs="Cambria" w:eastAsia="Cambria" w:hAnsi="Cambria"/>
          <w:color w:val="000000"/>
          <w:sz w:val="24"/>
          <w:szCs w:val="24"/>
        </w:rPr>
        <w:t xml:space="preserve">, was first compiled in Remix without errors; the deployment record lists solc 0.8.34 with the optimiser enabled. The contract was then deployed to the Sepolia test network from the project test wallet through MetaMask. The contract implements a soulbound ERC-721 token. Transfers between accounts are blocked. Consequently, an activated consent can never be traded or moved; burning is possible only through the ERC-5484 consensual-burn interface. Each token stores the pseudonymous patient and requester addresses, a hash of the purpose, the validity window, a two-letter jurisdiction code and a revocation flag. The purpose is stored only as a keccak256 hash, and no medical content is written to the chain; the plaintext purpose and the EMR data remain in the application.</w:t>
      </w:r>
    </w:p>
    <w:p>
      <w:pPr>
        <w:keepNext/>
        <w:spacing w:after="60" w:before="140"/>
        <w:jc w:val="center"/>
      </w:pPr>
      <w:r>
        <w:drawing>
          <wp:inline distT="0" distB="0" distL="0" distR="0">
            <wp:extent cx="5334000" cy="5124450"/>
            <wp:effectExtent t="0" r="0" b="0" l="0"/>
            <wp:docPr id="1" name="g_deploy.png" descr="Figure 18: Deployment of ConsentSBTv3 from Remix through MetaMask on the Sepolia network." title="Figure 18: Deployment of ConsentSBTv3 from Remix through MetaMask on the Sepoli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5124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18: Deployment of ConsentSBTv3 from Remix through MetaMask on the Sepolia network.</w:t>
      </w:r>
    </w:p>
    <w:p>
      <w:pPr>
        <w:spacing w:after="140" w:line="300"/>
        <w:jc w:val="both"/>
      </w:pPr>
      <w:r>
        <w:rPr>
          <w:rFonts w:ascii="Cambria" w:cs="Cambria" w:eastAsia="Cambria" w:hAnsi="Cambria"/>
          <w:color w:val="000000"/>
          <w:sz w:val="24"/>
          <w:szCs w:val="24"/>
        </w:rPr>
        <w:t xml:space="preserve">As shown in the figure above, the deployment is an ordinary Ethereum transaction that the wallet owner must explicitly confirm: the project test wallet (displayed as BNHP Ministry Test Wallet) shows the target network (Sepolia), the estimated network fee and the account nonce before the contract is created. This is important because it demonstrates that consent activation in HALAH ultimately rests on the same transaction-signing discipline as any other blockchain operation.</w:t>
      </w:r>
    </w:p>
    <w:p>
      <w:pPr>
        <w:keepNext/>
        <w:spacing w:after="60" w:before="140"/>
        <w:jc w:val="center"/>
      </w:pPr>
      <w:r>
        <w:drawing>
          <wp:inline distT="0" distB="0" distL="0" distR="0">
            <wp:extent cx="5524500" cy="4105275"/>
            <wp:effectExtent t="0" r="0" b="0" l="0"/>
            <wp:docPr id="1" name="n_verified.png" descr="Figure 19: Remix after deployment: the contract appears under Deployed Contracts and the source verification service reports Verification Successful." title="Figure 19: Remix after deployment: the contract appears under Deployed Contracts and the source verification service reports Verification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4105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19: Remix after deployment: the contract appears under Deployed Contracts and the source verification service reports Verification Successful.</w:t>
      </w:r>
    </w:p>
    <w:p>
      <w:pPr>
        <w:spacing w:after="140" w:line="300"/>
        <w:jc w:val="both"/>
      </w:pPr>
      <w:r>
        <w:rPr>
          <w:rFonts w:ascii="Cambria" w:cs="Cambria" w:eastAsia="Cambria" w:hAnsi="Cambria"/>
          <w:color w:val="000000"/>
          <w:sz w:val="24"/>
          <w:szCs w:val="24"/>
        </w:rPr>
        <w:t xml:space="preserve">As shown in the figure above, the deployed instance is listed in Remix under Deployed Contracts, and the source code was submitted for verification, which completed with Verification Successful. This is important because it ties the published bytecode on Sepolia to the audited Solidity source, so any party can confirm which rules the consent registry actually enforces.</w:t>
      </w:r>
    </w:p>
    <w:p>
      <w:pPr>
        <w:keepNext/>
        <w:spacing w:after="60" w:before="140"/>
        <w:jc w:val="center"/>
      </w:pPr>
      <w:r>
        <w:drawing>
          <wp:inline distT="0" distB="0" distL="0" distR="0">
            <wp:extent cx="5715000" cy="2486025"/>
            <wp:effectExtent t="0" r="0" b="0" l="0"/>
            <wp:docPr id="1" name="g_etherscan.png" descr="Figure 20: The deployed contract on Sepolia Etherscan, with the creator wallet, the MedicalConsent (CONSENT) token tracker and the first mint transaction." title="Figure 20: The deployed contract on Sepolia Etherscan, with the creator wallet, the MedicalConsent (CONSENT) token tracker and the first mint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20: The deployed contract on Sepolia Etherscan, with the creator wallet, the MedicalConsent (CONSENT) token tracker and the first mint transaction.</w:t>
      </w:r>
    </w:p>
    <w:p>
      <w:pPr>
        <w:spacing w:after="140" w:line="300"/>
        <w:jc w:val="both"/>
      </w:pPr>
      <w:r>
        <w:rPr>
          <w:rFonts w:ascii="Cambria" w:cs="Cambria" w:eastAsia="Cambria" w:hAnsi="Cambria"/>
          <w:color w:val="000000"/>
          <w:sz w:val="24"/>
          <w:szCs w:val="24"/>
        </w:rPr>
        <w:t xml:space="preserve">As shown in the figure above, the deployed contract is publicly listed at 0x0EC3617581DEC63A7f2bb162DC14d088916ADc73 on Sepolia Etherscan, together with its creator wallet and the token tracker MedicalConsent (CONSENT). Consequently, the existence of the consent registry itself, and every activation or revocation recorded on it, can be inspected independently of the HALAH application.</w:t>
      </w:r>
    </w:p>
    <w:p>
      <w:pPr>
        <w:pStyle w:val="Heading3"/>
        <w:spacing w:after="160" w:before="280"/>
      </w:pPr>
      <w:r>
        <w:rPr>
          <w:color w:val="000000"/>
        </w:rPr>
        <w:t xml:space="preserve">6.8.2  Create Smart Consent Contract: Patient Subsystem</w:t>
      </w:r>
    </w:p>
    <w:p>
      <w:pPr>
        <w:spacing w:after="140" w:line="300"/>
        <w:jc w:val="both"/>
      </w:pPr>
      <w:r>
        <w:rPr>
          <w:rFonts w:ascii="Cambria" w:cs="Cambria" w:eastAsia="Cambria" w:hAnsi="Cambria"/>
          <w:color w:val="000000"/>
          <w:sz w:val="24"/>
          <w:szCs w:val="24"/>
        </w:rPr>
        <w:t xml:space="preserve">The first functional subsystem is the Create Smart Consent Contract module. This module represents the patient-side initiation of a consent transaction and corresponds directly to the construction of the proposed consent object.</w:t>
      </w:r>
    </w:p>
    <w:p>
      <w:pPr>
        <w:spacing w:after="140" w:line="300"/>
        <w:jc w:val="both"/>
      </w:pPr>
      <w:r>
        <w:rPr>
          <w:rFonts w:ascii="Cambria" w:cs="Cambria" w:eastAsia="Cambria" w:hAnsi="Cambria"/>
          <w:color w:val="000000"/>
          <w:sz w:val="24"/>
          <w:szCs w:val="24"/>
        </w:rPr>
        <w:t xml:space="preserve">The subsystem requires the patient to specify the Patient DID, Authorised Doctor DID, Data Access Scope, Designated Guardian DIDs, the Jurisdiction, and the temporal validity of the consent. These fields collectively operationalise the proposed consent representation:</w:t>
      </w:r>
    </w:p>
    <w:p>
      <w:pPr>
        <w:spacing w:after="160" w:before="60"/>
        <w:jc w:val="center"/>
      </w:pPr>
      <w:r>
        <w:rPr>
          <w:rFonts w:ascii="Cambria Math" w:cs="Cambria Math" w:eastAsia="Cambria Math" w:hAnsi="Cambria Math"/>
          <w:i/>
          <w:iCs/>
          <w:color w:val="000000"/>
          <w:sz w:val="22"/>
          <w:szCs w:val="22"/>
        </w:rPr>
        <w:t xml:space="preserve">C = (I, A, P, T, L, E)</w:t>
      </w:r>
    </w:p>
    <w:p>
      <w:pPr>
        <w:spacing w:after="140" w:line="300"/>
        <w:jc w:val="both"/>
      </w:pPr>
      <w:r>
        <w:rPr>
          <w:rFonts w:ascii="Cambria" w:cs="Cambria" w:eastAsia="Cambria" w:hAnsi="Cambria"/>
          <w:color w:val="000000"/>
          <w:sz w:val="24"/>
          <w:szCs w:val="24"/>
        </w:rPr>
        <w:t xml:space="preserve">where the identity of the patient is represented through a DID, the authorised actor is explicitly specified, the permitted data scope is constrained to selected EMR modules, the temporal fields define when the authorisation becomes valid and when it expires, the jurisdiction field constrains where the consent may be exercised, and the enforcement state records whether the consent is active or revoked.</w:t>
      </w:r>
    </w:p>
    <w:p>
      <w:pPr>
        <w:spacing w:after="140" w:line="300"/>
        <w:jc w:val="both"/>
      </w:pPr>
      <w:r>
        <w:rPr>
          <w:rFonts w:ascii="Cambria" w:cs="Cambria" w:eastAsia="Cambria" w:hAnsi="Cambria"/>
          <w:color w:val="000000"/>
          <w:sz w:val="24"/>
          <w:szCs w:val="24"/>
        </w:rPr>
        <w:t xml:space="preserve">The form fields therefore instantiate the consent object defined in Section 6.1. </w:t>
      </w:r>
      <w:r>
        <w:rPr>
          <w:rFonts w:ascii="Cambria" w:cs="Cambria" w:eastAsia="Cambria" w:hAnsi="Cambria"/>
          <w:color w:val="000000"/>
          <w:sz w:val="24"/>
          <w:szCs w:val="24"/>
        </w:rPr>
        <w:t xml:space="preserve">The demonstrated representation realises the six-component object C = (I, A, P, T, L, E) of Eq. (51) and Figure 11</w:t>
      </w:r>
      <w:r>
        <w:rPr>
          <w:rFonts w:ascii="Cambria" w:cs="Cambria" w:eastAsia="Cambria" w:hAnsi="Cambria"/>
          <w:color w:val="000000"/>
          <w:sz w:val="24"/>
          <w:szCs w:val="24"/>
        </w:rPr>
        <w:t xml:space="preserve">, in which the temporal validity window T, captured through the Start Time and Expiry Time fields, and the jurisdiction L are stored on-chain by the deployed ConsentSBTv3 contract and evaluated at every access decision.</w:t>
      </w:r>
    </w:p>
    <w:p>
      <w:pPr>
        <w:keepNext/>
        <w:spacing w:after="60" w:before="140"/>
        <w:jc w:val="center"/>
      </w:pPr>
      <w:r>
        <w:drawing>
          <wp:inline distT="0" distB="0" distL="0" distR="0">
            <wp:extent cx="5334000" cy="3943350"/>
            <wp:effectExtent t="0" r="0" b="0" l="0"/>
            <wp:docPr id="1" name="M1.png" descr="Figure 21: The patient subsystem after consent creation: four EMR modules, two designated guardians, jurisdiction AU, and the state PENDING_SIGNATURE." title="Figure 21: The patient subsystem after consent creation: four EMR modules, two designated guardians, jurisdiction AU, and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21: The patient subsystem after consent creation: four EMR modules, two designated guardians, jurisdiction AU, and the state PENDING_SIGNATURE.</w:t>
      </w:r>
    </w:p>
    <w:p>
      <w:pPr>
        <w:spacing w:after="140" w:line="300"/>
        <w:jc w:val="both"/>
      </w:pPr>
      <w:r>
        <w:rPr>
          <w:rFonts w:ascii="Cambria" w:cs="Cambria" w:eastAsia="Cambria" w:hAnsi="Cambria"/>
          <w:color w:val="000000"/>
          <w:sz w:val="24"/>
          <w:szCs w:val="24"/>
        </w:rPr>
        <w:t xml:space="preserve">As shown in the figure above, the Patient DID provides the identity pointer for the data subject, while the Authorised Doctor DID limits the intended healthcare recipient. This is important because the implementation does not represent consent as a general permission to access a patient's medical information. Instead, the authorisation is bound to a specific identity and therefore supports subject-specific and actor-specific access control.</w:t>
      </w:r>
    </w:p>
    <w:p>
      <w:pPr>
        <w:spacing w:after="140" w:line="300"/>
        <w:jc w:val="both"/>
      </w:pPr>
      <w:r>
        <w:rPr>
          <w:rFonts w:ascii="Cambria" w:cs="Cambria" w:eastAsia="Cambria" w:hAnsi="Cambria"/>
          <w:color w:val="000000"/>
          <w:sz w:val="24"/>
          <w:szCs w:val="24"/>
        </w:rPr>
        <w:t xml:space="preserve">The Data Access Scope is particularly important to the proposed framework. Instead of granting access to the complete EMR, the patient selects particular modules; in the demonstrated transaction all four modules (Observation, Medication, Condition and Procedure) were selected. This implements the principle of purpose- and scope-limited consent and corresponds to the P component of the consent object. The implementation additionally validates the input before the consent is stored: a consent with an empty data scope is rejected, and every guardian entry must be a well-formed DID.</w:t>
      </w:r>
    </w:p>
    <w:p>
      <w:pPr>
        <w:spacing w:after="140" w:line="300"/>
        <w:jc w:val="both"/>
      </w:pPr>
      <w:r>
        <w:rPr>
          <w:rFonts w:ascii="Cambria" w:cs="Cambria" w:eastAsia="Cambria" w:hAnsi="Cambria"/>
          <w:color w:val="000000"/>
          <w:sz w:val="24"/>
          <w:szCs w:val="24"/>
        </w:rPr>
        <w:t xml:space="preserve">The Designated Guardian DIDs 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spacing w:after="140" w:line="300"/>
        <w:jc w:val="both"/>
      </w:pPr>
      <w:r>
        <w:rPr>
          <w:rFonts w:ascii="Cambria" w:cs="Cambria" w:eastAsia="Cambria" w:hAnsi="Cambria"/>
          <w:color w:val="000000"/>
          <w:sz w:val="24"/>
          <w:szCs w:val="24"/>
        </w:rPr>
        <w:t xml:space="preserve">Finally, the Start Time and Expiry Time implement temporal constraints on the consent, and the Jurisdiction field records the legal territory (AU in the demonstrated transaction). Consequently, authorisation is not represented as a permanent or universal permission. Instead, the consent has a defined lifecycle and territory and can subsequently be evaluated by the Consent Engine according to both. At this point the consent exists only in the application ledger, in the state PENDING_SIGNATURE; nothing is written to the blockchain until the guardians have approved.</w:t>
      </w:r>
    </w:p>
    <w:p>
      <w:pPr>
        <w:spacing w:after="140" w:line="300"/>
        <w:jc w:val="both"/>
      </w:pPr>
      <w:r>
        <w:rPr>
          <w:rFonts w:ascii="Cambria" w:cs="Cambria" w:eastAsia="Cambria" w:hAnsi="Cambria"/>
          <w:color w:val="000000"/>
          <w:sz w:val="24"/>
          <w:szCs w:val="24"/>
        </w:rPr>
        <w:t xml:space="preserve">Two consent lifecycles appear in the demonstration and should be distinguished. The evaluated consent, f050c29a, was carried through the complete lifecycle — activation as </w:t>
      </w:r>
      <w:r>
        <w:rPr>
          <w:rFonts w:ascii="Cambria" w:cs="Cambria" w:eastAsia="Cambria" w:hAnsi="Cambria"/>
          <w:b/>
          <w:bCs/>
          <w:color w:val="000000"/>
          <w:sz w:val="24"/>
          <w:szCs w:val="24"/>
        </w:rPr>
        <w:t xml:space="preserve">token #1</w:t>
      </w:r>
      <w:r>
        <w:rPr>
          <w:rFonts w:ascii="Cambria" w:cs="Cambria" w:eastAsia="Cambria" w:hAnsi="Cambria"/>
          <w:color w:val="000000"/>
          <w:sz w:val="24"/>
          <w:szCs w:val="24"/>
        </w:rPr>
        <w:t xml:space="preserve">, granted access, refused access and final revocation — and all transaction evidence in this chapter follows it. Because a revoked consent cannot be photographed in its earlier states, the screenshots of consent creation, guardian approval and granted access were captured from a second lifecycle with the same configuration — the same four-module scope, the same guardians, jurisdiction, purpose and doctor — executed for a different demonstration patient (consent 04da25f5, anchored as </w:t>
      </w:r>
      <w:r>
        <w:rPr>
          <w:rFonts w:ascii="Cambria" w:cs="Cambria" w:eastAsia="Cambria" w:hAnsi="Cambria"/>
          <w:b/>
          <w:bCs/>
          <w:color w:val="000000"/>
          <w:sz w:val="24"/>
          <w:szCs w:val="24"/>
        </w:rPr>
        <w:t xml:space="preserve">token #2</w:t>
      </w:r>
      <w:r>
        <w:rPr>
          <w:rFonts w:ascii="Cambria" w:cs="Cambria" w:eastAsia="Cambria" w:hAnsi="Cambria"/>
          <w:color w:val="000000"/>
          <w:sz w:val="24"/>
          <w:szCs w:val="24"/>
        </w:rPr>
        <w:t xml:space="preserve"> in block 11,771,581). The two lifecycles were executed with the same code and the same contract.</w:t>
      </w:r>
    </w:p>
    <w:p>
      <w:pPr>
        <w:spacing w:after="140" w:line="300"/>
        <w:jc w:val="both"/>
      </w:pPr>
      <w:r>
        <w:rPr>
          <w:rFonts w:ascii="Cambria" w:cs="Cambria" w:eastAsia="Cambria" w:hAnsi="Cambria"/>
          <w:color w:val="000000"/>
          <w:sz w:val="24"/>
          <w:szCs w:val="24"/>
        </w:rPr>
        <w:t xml:space="preserve">From a system perspective, this module therefore corresponds primarily to </w:t>
      </w:r>
      <w:r>
        <w:rPr>
          <w:rFonts w:ascii="Cambria" w:cs="Cambria" w:eastAsia="Cambria" w:hAnsi="Cambria"/>
          <w:b/>
          <w:bCs/>
          <w:color w:val="000000"/>
          <w:sz w:val="24"/>
          <w:szCs w:val="24"/>
        </w:rPr>
        <w:t xml:space="preserve">Consent Object Construction and Patient Initiation</w:t>
      </w:r>
      <w:r>
        <w:rPr>
          <w:rFonts w:ascii="Cambria" w:cs="Cambria" w:eastAsia="Cambria" w:hAnsi="Cambria"/>
          <w:color w:val="000000"/>
          <w:sz w:val="24"/>
          <w:szCs w:val="24"/>
        </w:rPr>
        <w:t xml:space="preserve">.</w:t>
      </w:r>
    </w:p>
    <w:p>
      <w:pPr>
        <w:pStyle w:val="Heading3"/>
        <w:spacing w:after="160" w:before="280"/>
      </w:pPr>
      <w:r>
        <w:rPr>
          <w:color w:val="000000"/>
        </w:rPr>
        <w:t xml:space="preserve">6.8.3  Guardian Cryptographic Approval</w:t>
      </w:r>
    </w:p>
    <w:p>
      <w:pPr>
        <w:spacing w:after="140" w:line="300"/>
        <w:jc w:val="both"/>
      </w:pPr>
      <w:r>
        <w:rPr>
          <w:rFonts w:ascii="Cambria" w:cs="Cambria" w:eastAsia="Cambria" w:hAnsi="Cambria"/>
          <w:color w:val="000000"/>
          <w:sz w:val="24"/>
          <w:szCs w:val="24"/>
        </w:rPr>
        <w:t xml:space="preserve">The second part is the Guardian Cryptographic Approval. As shown in the figure below, it operationalises the multi-party authorisation component of the proposed framework.</w:t>
      </w:r>
    </w:p>
    <w:p>
      <w:pPr>
        <w:keepNext/>
        <w:spacing w:after="60" w:before="140"/>
        <w:jc w:val="center"/>
      </w:pPr>
      <w:r>
        <w:drawing>
          <wp:inline distT="0" distB="0" distL="0" distR="0">
            <wp:extent cx="5334000" cy="1914525"/>
            <wp:effectExtent t="0" r="0" b="0" l="0"/>
            <wp:docPr id="1" name="n_guardA.png" descr="Figure 22: The guardian subsystem at the first approval: the EIP-712 signature of did:parent:A is verified and the multi-signature count is 1/2." title="Figure 22: The guardian subsystem at the first approval: the EIP-712 signature of did:parent:A is verified and the multi-signature count i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22: The guardian subsystem at the first approval: the EIP-712 signature of did:parent:A is verified and the multi-signature count is 1/2.</w:t>
      </w:r>
    </w:p>
    <w:p>
      <w:pPr>
        <w:spacing w:after="140" w:line="300"/>
        <w:jc w:val="both"/>
      </w:pPr>
      <w:r>
        <w:rPr>
          <w:rFonts w:ascii="Cambria" w:cs="Cambria" w:eastAsia="Cambria" w:hAnsi="Cambria"/>
          <w:color w:val="000000"/>
          <w:sz w:val="24"/>
          <w:szCs w:val="24"/>
        </w:rPr>
        <w:t xml:space="preserve">As shown in the figure above, the first guardian (did:parent:A) approves the consent and the subsystem reports EIP-712 signature verified (signer 0x3Af549b0…) with the multi-signature count 1/2. The consent remains pending, because the approval condition has not yet been satisfied. The second guardian then repeats the same procedure.</w:t>
      </w:r>
    </w:p>
    <w:p>
      <w:pPr>
        <w:keepNext/>
        <w:spacing w:after="60" w:before="140"/>
        <w:jc w:val="center"/>
      </w:pPr>
      <w:r>
        <w:drawing>
          <wp:inline distT="0" distB="0" distL="0" distR="0">
            <wp:extent cx="5334000" cy="3133725"/>
            <wp:effectExtent t="0" r="0" b="0" l="0"/>
            <wp:docPr id="1" name="M2.png" descr="Figure 23: The guardian subsystem at the moment of the second approval: the EIP-712 signature is verified, the 2/2 threshold is reached, the SBT is minted in the local ledger and the Sepolia anchoring starts in the background." title="Figure 23: The guardian subsystem at the moment of the second approval: the EIP-712 signature is verified, the 2/2 threshold is reached, the SBT is minted in the local ledger and the Sepolia anchoring starts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13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23: The guardian subsystem at the moment of the second approval: the EIP-712 signature is verified, the 2/2 threshold is reached, the SBT is minted in the local ledger and the Sepolia anchoring starts in the background.</w:t>
      </w:r>
    </w:p>
    <w:p>
      <w:pPr>
        <w:spacing w:after="140" w:line="300"/>
        <w:jc w:val="both"/>
      </w:pPr>
      <w:r>
        <w:rPr>
          <w:rFonts w:ascii="Cambria" w:cs="Cambria" w:eastAsia="Cambria" w:hAnsi="Cambria"/>
          <w:color w:val="000000"/>
          <w:sz w:val="24"/>
          <w:szCs w:val="24"/>
        </w:rPr>
        <w:t xml:space="preserve">As shown in the figure above, the guardian first enters the target Consent ID, after which the system retrieves the corresponding active transaction and displays the associated patient DID. The guardian then selects their own Guardian DID identity and approves the consent with an EIP-712 typed-data signature, which binds the approval to this specific consent, this guardian and this network (chainId 11155111). The system verifies each signature by recovering the signer address and comparing it with the address associated with that guardian DID. A signature produced for another consent, another guardian or another chain is rejected, and the interface refuses a second signature from the same guardian.</w:t>
      </w:r>
    </w:p>
    <w:p>
      <w:pPr>
        <w:spacing w:after="140" w:line="300"/>
        <w:jc w:val="both"/>
      </w:pPr>
      <w:r>
        <w:rPr>
          <w:rFonts w:ascii="Cambria" w:cs="Cambria" w:eastAsia="Cambria" w:hAnsi="Cambria"/>
          <w:color w:val="000000"/>
          <w:sz w:val="24"/>
          <w:szCs w:val="24"/>
        </w:rPr>
        <w:t xml:space="preserve">Each approval is evaluated by the procedure formalised in Algorithm 3. In the implemented configuration the authorisation threshold is derived from the designated guardian set as N = |G|, so that every listed guardian must produce a valid EIP-712 signature before activation; the demonstrated 2-of-2 ceremony is consequently an N-of-N instantiation of the threshold condition of Eq. (54).</w:t>
      </w:r>
    </w:p>
    <w:p>
      <w:pPr>
        <w:spacing w:after="140" w:line="300"/>
        <w:jc w:val="both"/>
      </w:pPr>
      <w:r>
        <w:rPr>
          <w:rFonts w:ascii="Cambria" w:cs="Cambria" w:eastAsia="Cambria" w:hAnsi="Cambria"/>
          <w:color w:val="000000"/>
          <w:sz w:val="24"/>
          <w:szCs w:val="24"/>
        </w:rPr>
        <w:t xml:space="preserve">The subsystem subsequently reports:</w:t>
      </w:r>
    </w:p>
    <w:p>
      <w:pPr>
        <w:spacing w:after="140" w:line="300"/>
        <w:jc w:val="both"/>
      </w:pPr>
      <w:r>
        <w:rPr>
          <w:rFonts w:ascii="Cambria" w:cs="Cambria" w:eastAsia="Cambria" w:hAnsi="Cambria"/>
          <w:color w:val="000000"/>
          <w:sz w:val="24"/>
          <w:szCs w:val="24"/>
        </w:rPr>
        <w:t xml:space="preserve">EIP-712 signature verified (signer 0x39B12b87…). Multi-sig: 2/2</w:t>
      </w:r>
    </w:p>
    <w:p>
      <w:pPr>
        <w:spacing w:after="140" w:line="300"/>
        <w:jc w:val="both"/>
      </w:pPr>
      <w:r>
        <w:rPr>
          <w:rFonts w:ascii="Cambria" w:cs="Cambria" w:eastAsia="Cambria" w:hAnsi="Cambria"/>
          <w:color w:val="000000"/>
          <w:sz w:val="24"/>
          <w:szCs w:val="24"/>
        </w:rPr>
        <w:t xml:space="preserve">This is an important implementation-level demonstration because the consent is not activated merely because the patient created it. Instead, the system requires the predefined guardian approval condition to be satisfied. The implementation therefore enforces the logical authorisation rule:</w:t>
      </w:r>
    </w:p>
    <w:p>
      <w:pPr>
        <w:spacing w:after="160" w:before="60"/>
        <w:jc w:val="center"/>
      </w:pPr>
      <w:r>
        <w:rPr>
          <w:rFonts w:ascii="Cambria Math" w:cs="Cambria Math" w:eastAsia="Cambria Math" w:hAnsi="Cambria Math"/>
          <w:i/>
          <w:iCs/>
          <w:color w:val="000000"/>
          <w:sz w:val="22"/>
          <w:szCs w:val="22"/>
        </w:rPr>
        <w:t xml:space="preserve">ALLOW = VI ∧ VA ∧ VP ∧ VT ∧ VL</w:t>
      </w:r>
    </w:p>
    <w:p>
      <w:pPr>
        <w:spacing w:after="140" w:line="300"/>
        <w:jc w:val="both"/>
      </w:pPr>
      <w:r>
        <w:rPr>
          <w:rFonts w:ascii="Cambria" w:cs="Cambria" w:eastAsia="Cambria" w:hAnsi="Cambria"/>
          <w:color w:val="000000"/>
          <w:sz w:val="24"/>
          <w:szCs w:val="24"/>
        </w:rPr>
        <w:t xml:space="preserve">where identity verification, authorisation verification, purpose verification, temporal verification and jurisdictional verification must all be satisfied before access can be granted. For the demonstrated two-guardian configuration, the approval process can also be represented as:</w:t>
      </w:r>
    </w:p>
    <w:p>
      <w:pPr>
        <w:spacing w:after="160" w:before="60"/>
        <w:jc w:val="center"/>
      </w:pPr>
      <w:r>
        <w:rPr>
          <w:rFonts w:ascii="Cambria Math" w:cs="Cambria Math" w:eastAsia="Cambria Math" w:hAnsi="Cambria Math"/>
          <w:i/>
          <w:iCs/>
          <w:color w:val="000000"/>
          <w:sz w:val="22"/>
          <w:szCs w:val="22"/>
        </w:rPr>
        <w:t xml:space="preserve">Σ g∈G  Sign(g, C)  ≥  |G| = 2</w:t>
      </w:r>
    </w:p>
    <w:p>
      <w:pPr>
        <w:spacing w:after="140" w:line="300"/>
        <w:jc w:val="both"/>
      </w:pPr>
      <w:r>
        <w:rPr>
          <w:rFonts w:ascii="Cambria" w:cs="Cambria" w:eastAsia="Cambria" w:hAnsi="Cambria"/>
          <w:color w:val="000000"/>
          <w:sz w:val="24"/>
          <w:szCs w:val="24"/>
        </w:rPr>
        <w:t xml:space="preserve">where G represents the designated guardians and every listed guardian must provide a valid signature for activation. Once the required signatures have been obtained, the subsystem displays SBT MINTED together with the Soulbound Token identifier, and a background job submits the mint transaction to Sepolia. While the background job is running, the subsystem reports the intermediate state explicitly.</w:t>
      </w:r>
    </w:p>
    <w:p>
      <w:pPr>
        <w:keepNext/>
        <w:spacing w:after="60" w:before="140"/>
        <w:jc w:val="center"/>
      </w:pPr>
      <w:r>
        <w:drawing>
          <wp:inline distT="0" distB="0" distL="0" distR="0">
            <wp:extent cx="5334000" cy="2657475"/>
            <wp:effectExtent t="0" r="0" b="0" l="0"/>
            <wp:docPr id="1" name="n_anchoring.png" descr="Figure 24: The guardian subsystem while the mint transaction is pending: the 2/2 threshold is reached but not yet anchored, the anchoring runs in the background, and a repeated signature from the same guardian is refused." title="Figure 24: The guardian subsystem while the mint transaction is pending: the 2/2 threshold is reached but not yet anchored, the anchoring runs in the background, and a repeated signature from the same guardian is 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657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24: The guardian subsystem while the mint transaction is pending: the 2/2 threshold is reached but not yet anchored, the anchoring runs in the background, and a repeated signature from the same guardian is refused.</w:t>
      </w:r>
    </w:p>
    <w:p>
      <w:pPr>
        <w:spacing w:after="140" w:line="300"/>
        <w:jc w:val="both"/>
      </w:pPr>
      <w:r>
        <w:rPr>
          <w:rFonts w:ascii="Cambria" w:cs="Cambria" w:eastAsia="Cambria" w:hAnsi="Cambria"/>
          <w:color w:val="000000"/>
          <w:sz w:val="24"/>
          <w:szCs w:val="24"/>
        </w:rPr>
        <w:t xml:space="preserve">As shown in the figure above, the subsystem reports that the threshold has been reached but the consent is not yet anchored, offers a manual synchronisation with the chain, and refuses a second signature from the same guardian. This is important because the one-signature-per-guardian rule prevents a single guardian from satisfying the multi-signature threshold alone. When the guardian later re-enters the Consent ID, the subsystem reports Already anchored on Sepolia together with the on-chain token number (token #2 for the photographed lifecycle, token #1 for the evaluated consent).</w:t>
      </w:r>
    </w:p>
    <w:p>
      <w:pPr>
        <w:keepNext/>
        <w:spacing w:after="60" w:before="140"/>
        <w:jc w:val="center"/>
      </w:pPr>
      <w:r>
        <w:drawing>
          <wp:inline distT="0" distB="0" distL="0" distR="0">
            <wp:extent cx="5143500" cy="1828800"/>
            <wp:effectExtent t="0" r="0" b="0" l="0"/>
            <wp:docPr id="1" name="M2b.png" descr="Figure 25: The guardian subsystem revisited after the background job has completed: 'Already anchored on Sepolia - token #2'." title="Figure 25: The guardian subsystem revisited after the background job has completed: 'Already anchored on Sepolia - tok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18288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25: The guardian subsystem revisited after the background job has completed: 'Already anchored on Sepolia - token #2'.</w:t>
      </w:r>
    </w:p>
    <w:p>
      <w:pPr>
        <w:spacing w:after="140" w:line="300"/>
        <w:jc w:val="both"/>
      </w:pPr>
      <w:r>
        <w:rPr>
          <w:rFonts w:ascii="Cambria" w:cs="Cambria" w:eastAsia="Cambria" w:hAnsi="Cambria"/>
          <w:color w:val="000000"/>
          <w:sz w:val="24"/>
          <w:szCs w:val="24"/>
        </w:rPr>
        <w:t xml:space="preserve">As shown in the figure above, the anchored state persists across sessions and navigation, because it is read back from the ledger rather than from the page. This provides a visible representation of the transition from a pending consent transaction to an activated, publicly recorded consent state. The SBT therefore functions in the implementation as a persistent cryptographic representation of the completed consent authorisation rather than as a transferable asset.</w:t>
      </w:r>
    </w:p>
    <w:p>
      <w:pPr>
        <w:keepNext/>
        <w:spacing w:after="60" w:before="140"/>
        <w:jc w:val="center"/>
      </w:pPr>
      <w:r>
        <w:drawing>
          <wp:inline distT="0" distB="0" distL="0" distR="0">
            <wp:extent cx="5715000" cy="4181475"/>
            <wp:effectExtent t="0" r="0" b="0" l="0"/>
            <wp:docPr id="1" name="M3.png" descr="Figure 26: The anchoring transaction of the evaluated consent on Sepolia Etherscan: status Success, block 11,771,243, 'Mint 1 of MedicalConsent' to the pseudonymous patient address (function selector 0x1e1e7c76, mintConsentV3)." title="Figure 26: The anchoring transaction of the evaluated consent on Sepolia Etherscan: status Success, block 11,771,243, 'Mint 1 of MedicalConsent' to the pseudonymous patient address (function selector 0x1e1e7c76, mintConsent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181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26: The anchoring transaction of the evaluated consent on Sepolia Etherscan: status Success, block 11,771,243, 'Mint 1 of MedicalConsent' to the pseudonymous patient address (function selector 0x1e1e7c76, mintConsentV3).</w:t>
      </w:r>
    </w:p>
    <w:p>
      <w:pPr>
        <w:spacing w:after="140" w:line="300"/>
        <w:jc w:val="both"/>
      </w:pPr>
      <w:r>
        <w:rPr>
          <w:rFonts w:ascii="Cambria" w:cs="Cambria" w:eastAsia="Cambria" w:hAnsi="Cambria"/>
          <w:color w:val="000000"/>
          <w:sz w:val="24"/>
          <w:szCs w:val="24"/>
        </w:rPr>
        <w:t xml:space="preserve">As shown in the figure above, the anchoring of the evaluated consent (token #1) is an ordinary, publicly verifiable transaction: Etherscan reports the status Success, the block number 11,771,243, the transaction fee, and the transfer of one MedicalConsent token to the pseudonymous patient address derived from the patient DID. The transaction can be inspected on Sepolia Etherscan (mint transaction 0x8be1b99e…daf13d, listed in the verification links of Section 6.8.12). This provides an implementation-level demonstration that consent activation can be verified independently of the application.</w:t>
      </w:r>
    </w:p>
    <w:p>
      <w:pPr>
        <w:spacing w:after="140" w:line="300"/>
        <w:jc w:val="both"/>
      </w:pPr>
      <w:r>
        <w:rPr>
          <w:rFonts w:ascii="Cambria" w:cs="Cambria" w:eastAsia="Cambria" w:hAnsi="Cambria"/>
          <w:color w:val="000000"/>
          <w:sz w:val="24"/>
          <w:szCs w:val="24"/>
        </w:rPr>
        <w:t xml:space="preserve">The guardian subsystem consequently corresponds to </w:t>
      </w:r>
      <w:r>
        <w:rPr>
          <w:rFonts w:ascii="Cambria" w:cs="Cambria" w:eastAsia="Cambria" w:hAnsi="Cambria"/>
          <w:b/>
          <w:bCs/>
          <w:color w:val="000000"/>
          <w:sz w:val="24"/>
          <w:szCs w:val="24"/>
        </w:rPr>
        <w:t xml:space="preserve">Multi-Party Approval, Cryptographic Verification and Consent Activation</w:t>
      </w:r>
      <w:r>
        <w:rPr>
          <w:rFonts w:ascii="Cambria" w:cs="Cambria" w:eastAsia="Cambria" w:hAnsi="Cambria"/>
          <w:color w:val="000000"/>
          <w:sz w:val="24"/>
          <w:szCs w:val="24"/>
        </w:rPr>
        <w:t xml:space="preserve"> in the proposed architecture.</w:t>
      </w:r>
    </w:p>
    <w:p>
      <w:pPr>
        <w:pStyle w:val="Heading3"/>
        <w:spacing w:after="160" w:before="280"/>
      </w:pPr>
      <w:r>
        <w:rPr>
          <w:color w:val="000000"/>
        </w:rPr>
        <w:t xml:space="preserve">6.8.4  Secure Patient Data Access for the Doctor</w:t>
      </w:r>
    </w:p>
    <w:p>
      <w:pPr>
        <w:spacing w:after="140" w:line="300"/>
        <w:jc w:val="both"/>
      </w:pPr>
      <w:r>
        <w:rPr>
          <w:rFonts w:ascii="Cambria" w:cs="Cambria" w:eastAsia="Cambria" w:hAnsi="Cambria"/>
          <w:color w:val="000000"/>
          <w:sz w:val="24"/>
          <w:szCs w:val="24"/>
        </w:rPr>
        <w:t xml:space="preserve">The third module is the Secure Patient Data Access module and represents the healthcare-provider side of the authorisation process.</w:t>
      </w:r>
    </w:p>
    <w:p>
      <w:pPr>
        <w:spacing w:after="140" w:line="300"/>
        <w:jc w:val="both"/>
      </w:pPr>
      <w:r>
        <w:rPr>
          <w:rFonts w:ascii="Cambria" w:cs="Cambria" w:eastAsia="Cambria" w:hAnsi="Cambria"/>
          <w:color w:val="000000"/>
          <w:sz w:val="24"/>
          <w:szCs w:val="24"/>
        </w:rPr>
        <w:t xml:space="preserve">The doctor enters an authorised Consent ID, after which the system retrieves and displays the associated consent information. The subsystem shows the patient DID, Consent ID, purpose, and current consent state:</w:t>
      </w:r>
    </w:p>
    <w:p>
      <w:pPr>
        <w:spacing w:after="160" w:before="60"/>
        <w:jc w:val="center"/>
      </w:pPr>
      <w:r>
        <w:rPr>
          <w:rFonts w:ascii="Cambria Math" w:cs="Cambria Math" w:eastAsia="Cambria Math" w:hAnsi="Cambria Math"/>
          <w:i/>
          <w:iCs/>
          <w:color w:val="000000"/>
          <w:sz w:val="22"/>
          <w:szCs w:val="22"/>
        </w:rPr>
        <w:t xml:space="preserve">State = ACTIVE</w:t>
      </w:r>
    </w:p>
    <w:p>
      <w:pPr>
        <w:spacing w:after="140" w:line="300"/>
        <w:jc w:val="both"/>
      </w:pPr>
      <w:r>
        <w:rPr>
          <w:rFonts w:ascii="Cambria" w:cs="Cambria" w:eastAsia="Cambria" w:hAnsi="Cambria"/>
          <w:color w:val="000000"/>
          <w:sz w:val="24"/>
          <w:szCs w:val="24"/>
        </w:rPr>
        <w:t xml:space="preserve">This is important because the doctor does not directly access patient data based solely on possession of a Consent ID. The system first evaluates whether the underlying authorisation remains valid, and it does so for every component of the consent object. The decision matrix displayed to the doctor reports the outcome of each check individually.</w:t>
      </w:r>
    </w:p>
    <w:p>
      <w:pPr>
        <w:keepNext/>
        <w:spacing w:after="60" w:before="140"/>
        <w:jc w:val="center"/>
      </w:pPr>
      <w:r>
        <w:drawing>
          <wp:inline distT="0" distB="0" distL="0" distR="0">
            <wp:extent cx="5334000" cy="4200525"/>
            <wp:effectExtent t="0" r="0" b="0" l="0"/>
            <wp:docPr id="1" name="g_doc_au.png" descr="Figure 27: The doctor subsystem with requester jurisdiction AU (the evaluated consent f050c29a, captured before its revocation): all five checks report PASS, ALLOW = PASS, and the consent state is ACTIVE." title="Figure 27: The doctor subsystem with requester jurisdiction AU (the evaluated consent f050c29a, captured before its revocation): all five checks report PASS, ALLOW = PASS, and the consent state i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27: The doctor subsystem with requester jurisdiction AU (the evaluated consent f050c29a, captured before its revocation): all five checks report PASS, ALLOW = PASS, and the consent state is ACTIVE.</w:t>
      </w:r>
    </w:p>
    <w:p>
      <w:pPr>
        <w:spacing w:after="140" w:line="300"/>
        <w:jc w:val="both"/>
      </w:pPr>
      <w:r>
        <w:rPr>
          <w:rFonts w:ascii="Cambria" w:cs="Cambria" w:eastAsia="Cambria" w:hAnsi="Cambria"/>
          <w:color w:val="000000"/>
          <w:sz w:val="24"/>
          <w:szCs w:val="24"/>
        </w:rPr>
        <w:t xml:space="preserve">As shown in the figure above, the five checks VI (identity), VA (authorisation), VP (purpose), VT (time) and VL (jurisdiction) all report PASS, and consequently ALLOW = PASS. The subsystem then presents the Authorised Data Scope, showing that only the EMR modules specified in the original consent are available. In the demonstrated transaction, the authorised modules are:</w:t>
      </w:r>
    </w:p>
    <w:p>
      <w:pPr>
        <w:spacing w:after="160" w:before="60"/>
        <w:jc w:val="center"/>
      </w:pPr>
      <w:r>
        <w:rPr>
          <w:rFonts w:ascii="Cambria Math" w:cs="Cambria Math" w:eastAsia="Cambria Math" w:hAnsi="Cambria Math"/>
          <w:i/>
          <w:iCs/>
          <w:color w:val="000000"/>
          <w:sz w:val="22"/>
          <w:szCs w:val="22"/>
        </w:rPr>
        <w:t xml:space="preserve">Scope = { Observation, Medication, Condition, Procedure }</w:t>
      </w:r>
    </w:p>
    <w:p>
      <w:pPr>
        <w:spacing w:after="140" w:line="300"/>
        <w:jc w:val="both"/>
      </w:pPr>
      <w:r>
        <w:rPr>
          <w:rFonts w:ascii="Cambria" w:cs="Cambria" w:eastAsia="Cambria" w:hAnsi="Cambria"/>
          <w:color w:val="000000"/>
          <w:sz w:val="24"/>
          <w:szCs w:val="24"/>
        </w:rPr>
        <w:t xml:space="preserve">The five columns of the decision matrix are the operational form of the decision rule Decision(C, R) = ALLOW ⟺ VI(u) ∧ VA(C) ∧ VP(C, R) ∧ VT(C, t) ∧ VL(C), which extends the three-predicate rule of Eq. (59) with the temporal and jurisdictional verdicts. The jurisdiction predicate is satisfied if and only if the requester's declared jurisdiction equals the jurisdiction recorded in the consent, which the jurisdiction-violation demonstration below confirms empirically.</w:t>
      </w:r>
    </w:p>
    <w:p>
      <w:pPr>
        <w:keepNext/>
        <w:spacing w:after="60" w:before="140"/>
        <w:jc w:val="center"/>
      </w:pPr>
      <w:r>
        <w:drawing>
          <wp:inline distT="0" distB="0" distL="0" distR="0">
            <wp:extent cx="3429000" cy="4848225"/>
            <wp:effectExtent t="0" r="0" b="0" l="0"/>
            <wp:docPr id="1" name="predicate_flow.png" descr="Figure 28: Trust Predicate Evaluation and Authorisation Decision Flow, as enforced by the implemented Consent Engine." title="Figure 28: Trust Predicate Evaluation and Authorisation Decision Flow, as enforced by the implemented Consent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429000" cy="48482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28: Trust Predicate Evaluation and Authorisation Decision Flow, as enforced by the implemented Consent Engine.</w:t>
      </w:r>
    </w:p>
    <w:p>
      <w:pPr>
        <w:spacing w:after="140" w:line="300"/>
        <w:jc w:val="both"/>
      </w:pPr>
      <w:r>
        <w:rPr>
          <w:rFonts w:ascii="Cambria" w:cs="Cambria" w:eastAsia="Cambria" w:hAnsi="Cambria"/>
          <w:color w:val="000000"/>
          <w:sz w:val="24"/>
          <w:szCs w:val="24"/>
        </w:rPr>
        <w:t xml:space="preserve">The doctor must subsequently select the modules to request; the request must be a non-empty subset of the authorised scope. The system displays the requested modules and performs cryptographic verification before granting access. In this version, the verification also generates and verifies a Groth16 zero-knowledge proof, whose public inputs are a Poseidon commitment and the current time, and whose private witnesses are a secret and the expiry time; the proof establishes that the commitment is satisfied and that the current time does not exceed the expiry. Because the prover and the verifier currently run on the same server, the proof demonstrates the integration of the zero-knowledge toolchain rather than an additional privacy guarantee (see the limitations discussed at the end of this section). The audit ledger records the proof mode (groth16) with every access granted in the demonstrated lifecycles, and the subsystem then shows the message Cryptographic Verification Successful — Access Granted.</w:t>
      </w:r>
    </w:p>
    <w:p>
      <w:pPr>
        <w:keepNext/>
        <w:spacing w:after="60" w:before="140"/>
        <w:jc w:val="center"/>
      </w:pPr>
      <w:r>
        <w:drawing>
          <wp:inline distT="0" distB="0" distL="0" distR="0">
            <wp:extent cx="5334000" cy="6229350"/>
            <wp:effectExtent t="0" r="0" b="0" l="0"/>
            <wp:docPr id="1" name="M4.png" descr="Figure 29: The doctor subsystem after verification (the photographed lifecycle 04da25f5 introduced earlier): access granted and the authorised medical records displayed per EMR module; the Observation module's Download CSV control is visible." title="Figure 29: The doctor subsystem after verification (the photographed lifecycle 04da25f5 introduced earlier): access granted and the authorised medical records displayed per EMR module; the Observation module's Download CSV control i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62293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29: The doctor subsystem after verification (the photographed lifecycle 04da25f5 introduced earlier): access granted and the authorised medical records displayed per EMR module; the Observation module's Download CSV control is visible.</w:t>
      </w:r>
    </w:p>
    <w:p>
      <w:pPr>
        <w:keepNext/>
        <w:spacing w:after="60" w:before="140"/>
        <w:jc w:val="center"/>
      </w:pPr>
      <w:r>
        <w:drawing>
          <wp:inline distT="0" distB="0" distL="0" distR="0">
            <wp:extent cx="5143500" cy="4314825"/>
            <wp:effectExtent t="0" r="0" b="0" l="0"/>
            <wp:docPr id="1" name="M4b.png" descr="Figure 30: The remaining authorised modules of the same request: the Condition and Procedure records, with the Condition module's export control visible." title="Figure 30: The remaining authorised modules of the same request: the Condition and Procedure records, with the Condition module's export control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43148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30: The remaining authorised modules of the same request: the Condition and Procedure records, with the Condition module's export control visible.</w:t>
      </w:r>
    </w:p>
    <w:p>
      <w:pPr>
        <w:spacing w:after="140" w:line="300"/>
        <w:jc w:val="both"/>
      </w:pPr>
      <w:r>
        <w:rPr>
          <w:rFonts w:ascii="Cambria" w:cs="Cambria" w:eastAsia="Cambria" w:hAnsi="Cambria"/>
          <w:color w:val="000000"/>
          <w:sz w:val="24"/>
          <w:szCs w:val="24"/>
        </w:rPr>
        <w:t xml:space="preserve">The two figures above demonstrate the transition from consent verification to data-access authorisation; the checks are recorded in the audit ledger as STATE_CHECK events, one for every evaluated access request, so validity is re-established at each request rather than assumed. This distinction is central to the HALAH design. Consent and data access are not treated as identical events. Instead, the flow proceeds as follows:</w:t>
      </w:r>
    </w:p>
    <w:p>
      <w:pPr>
        <w:spacing w:after="160" w:before="60"/>
        <w:jc w:val="center"/>
      </w:pPr>
      <w:r>
        <w:rPr>
          <w:rFonts w:ascii="Cambria Math" w:cs="Cambria Math" w:eastAsia="Cambria Math" w:hAnsi="Cambria Math"/>
          <w:i/>
          <w:iCs/>
          <w:color w:val="000000"/>
          <w:sz w:val="22"/>
          <w:szCs w:val="22"/>
        </w:rPr>
        <w:t xml:space="preserve">Consent → Verification → AccessDecision</w:t>
      </w:r>
    </w:p>
    <w:p>
      <w:pPr>
        <w:spacing w:after="140" w:line="300"/>
        <w:jc w:val="both"/>
      </w:pPr>
      <w:r>
        <w:rPr>
          <w:rFonts w:ascii="Cambria" w:cs="Cambria" w:eastAsia="Cambria" w:hAnsi="Cambria"/>
          <w:color w:val="000000"/>
          <w:sz w:val="24"/>
          <w:szCs w:val="24"/>
        </w:rPr>
        <w:t xml:space="preserve">The doctor is therefore authorised only when the requested resources are consistent with the consent object and the consent remains active. The final Authorised Medical Records section presents the actual data modules available to the doctor. Because the subsystem separates the OBSERVATION, MEDICATION, CONDITION and PROCEDURE modules, it provides a direct visual demonstration of fine-grained EMR access control.</w:t>
      </w:r>
    </w:p>
    <w:p>
      <w:pPr>
        <w:spacing w:after="140" w:line="300"/>
        <w:jc w:val="both"/>
      </w:pPr>
      <w:r>
        <w:rPr>
          <w:rFonts w:ascii="Cambria" w:cs="Cambria" w:eastAsia="Cambria" w:hAnsi="Cambria"/>
          <w:color w:val="000000"/>
          <w:sz w:val="24"/>
          <w:szCs w:val="24"/>
        </w:rPr>
        <w:t xml:space="preserve">Thus, the doctor subsystem corresponds to </w:t>
      </w:r>
      <w:r>
        <w:rPr>
          <w:rFonts w:ascii="Cambria" w:cs="Cambria" w:eastAsia="Cambria" w:hAnsi="Cambria"/>
          <w:b/>
          <w:bCs/>
          <w:color w:val="000000"/>
          <w:sz w:val="24"/>
          <w:szCs w:val="24"/>
        </w:rPr>
        <w:t xml:space="preserve">Consent-State Validation, Scope Enforcement and Authorised Data Access</w:t>
      </w:r>
      <w:r>
        <w:rPr>
          <w:rFonts w:ascii="Cambria" w:cs="Cambria" w:eastAsia="Cambria" w:hAnsi="Cambria"/>
          <w:color w:val="000000"/>
          <w:sz w:val="24"/>
          <w:szCs w:val="24"/>
        </w:rPr>
        <w:t xml:space="preserve">.</w:t>
      </w:r>
    </w:p>
    <w:p>
      <w:pPr>
        <w:pStyle w:val="Heading3"/>
        <w:spacing w:after="160" w:before="280"/>
      </w:pPr>
      <w:r>
        <w:rPr>
          <w:color w:val="000000"/>
        </w:rPr>
        <w:t xml:space="preserve">6.8.5  Negative Demonstration: Jurisdiction Violation</w:t>
      </w:r>
    </w:p>
    <w:p>
      <w:pPr>
        <w:spacing w:after="140" w:line="300"/>
        <w:jc w:val="both"/>
      </w:pPr>
      <w:r>
        <w:rPr>
          <w:rFonts w:ascii="Cambria" w:cs="Cambria" w:eastAsia="Cambria" w:hAnsi="Cambria"/>
          <w:color w:val="000000"/>
          <w:sz w:val="24"/>
          <w:szCs w:val="24"/>
        </w:rPr>
        <w:t xml:space="preserve">The fourth part is the negative demonstration. This is important because a consent framework must be evaluated not only on whether it grants legitimate access, but also on whether it refuses illegitimate access. The same doctor therefore repeated the request for the evaluated consent while declaring the requester jurisdiction as SA, whereas the consent was issued for AU.</w:t>
      </w:r>
    </w:p>
    <w:p>
      <w:pPr>
        <w:keepNext/>
        <w:spacing w:after="60" w:before="140"/>
        <w:jc w:val="center"/>
      </w:pPr>
      <w:r>
        <w:drawing>
          <wp:inline distT="0" distB="0" distL="0" distR="0">
            <wp:extent cx="5334000" cy="4200525"/>
            <wp:effectExtent t="0" r="0" b="0" l="0"/>
            <wp:docPr id="1" name="g_doc_sa.png" descr="Figure 31: The doctor subsystem with requester jurisdiction SA: VL reports FAIL and consequently ALLOW = FAIL, although the consent state remains ACTIVE." title="Figure 31: The doctor subsystem with requester jurisdiction SA: VL reports FAIL and consequently ALLOW = FAIL, although the consent state remain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31: The doctor subsystem with requester jurisdiction SA: VL reports FAIL and consequently ALLOW = FAIL, although the consent state remains ACTIVE.</w:t>
      </w:r>
    </w:p>
    <w:p>
      <w:pPr>
        <w:spacing w:after="140" w:line="300"/>
        <w:jc w:val="both"/>
      </w:pPr>
      <w:r>
        <w:rPr>
          <w:rFonts w:ascii="Cambria" w:cs="Cambria" w:eastAsia="Cambria" w:hAnsi="Cambria"/>
          <w:color w:val="000000"/>
          <w:sz w:val="24"/>
          <w:szCs w:val="24"/>
        </w:rPr>
        <w:t xml:space="preserve">As shown in the figure above, the decision matrix immediately reports VL = FAIL and consequently ALLOW = FAIL, even though the consent itself is still ACTIVE, the guardian signatures remain valid and all other checks pass. This is important because it demonstrates that the access decision is taken over the complete consent tuple rather than over the consent state alone.</w:t>
      </w:r>
    </w:p>
    <w:p>
      <w:pPr>
        <w:keepNext/>
        <w:spacing w:after="60" w:before="140"/>
        <w:jc w:val="center"/>
      </w:pPr>
      <w:r>
        <w:drawing>
          <wp:inline distT="0" distB="0" distL="0" distR="0">
            <wp:extent cx="5334000" cy="2638425"/>
            <wp:effectExtent t="0" r="0" b="0" l="0"/>
            <wp:docPr id="1" name="g_denied.png" descr="Figure 32: The refused request: 'Security Exception: Access Denied by ZK-Policy. Failed checks: VL'." title="Figure 32: The refused request: 'Security Exception: Access Denied by ZK-Policy. Failed checks: V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32: The refused request: 'Security Exception: Access Denied by ZK-Policy. Failed checks: VL'.</w:t>
      </w:r>
    </w:p>
    <w:p>
      <w:pPr>
        <w:spacing w:after="140" w:line="300"/>
        <w:jc w:val="both"/>
      </w:pPr>
      <w:r>
        <w:rPr>
          <w:rFonts w:ascii="Cambria" w:cs="Cambria" w:eastAsia="Cambria" w:hAnsi="Cambria"/>
          <w:color w:val="000000"/>
          <w:sz w:val="24"/>
          <w:szCs w:val="24"/>
        </w:rPr>
        <w:t xml:space="preserve">As shown in the figure above, when the doctor submits the request, access is refused and the failed check is named explicitly. The corresponding audit-ledger entry records the result DENIED together with the complete decision matrix, so that the refusal is itself auditable. This is important because the jurisdiction check is included in the access decision rather than merely displayed.</w:t>
      </w:r>
    </w:p>
    <w:p>
      <w:pPr>
        <w:spacing w:after="140" w:line="300"/>
        <w:jc w:val="both"/>
      </w:pPr>
      <w:r>
        <w:rPr>
          <w:rFonts w:ascii="Cambria" w:cs="Cambria" w:eastAsia="Cambria" w:hAnsi="Cambria"/>
          <w:color w:val="000000"/>
          <w:sz w:val="24"/>
          <w:szCs w:val="24"/>
        </w:rPr>
        <w:t xml:space="preserve">This demonstration corresponds to </w:t>
      </w:r>
      <w:r>
        <w:rPr>
          <w:rFonts w:ascii="Cambria" w:cs="Cambria" w:eastAsia="Cambria" w:hAnsi="Cambria"/>
          <w:b/>
          <w:bCs/>
          <w:color w:val="000000"/>
          <w:sz w:val="24"/>
          <w:szCs w:val="24"/>
        </w:rPr>
        <w:t xml:space="preserve">Jurisdictional Constraint Enforcement and Fail-Closed Access Control</w:t>
      </w:r>
      <w:r>
        <w:rPr>
          <w:rFonts w:ascii="Cambria" w:cs="Cambria" w:eastAsia="Cambria" w:hAnsi="Cambria"/>
          <w:color w:val="000000"/>
          <w:sz w:val="24"/>
          <w:szCs w:val="24"/>
        </w:rPr>
        <w:t xml:space="preserve">.</w:t>
      </w:r>
    </w:p>
    <w:p>
      <w:pPr>
        <w:pStyle w:val="Heading3"/>
        <w:spacing w:after="160" w:before="280"/>
      </w:pPr>
      <w:r>
        <w:rPr>
          <w:color w:val="000000"/>
        </w:rPr>
        <w:t xml:space="preserve">6.8.6  Consent Revocation</w:t>
      </w:r>
    </w:p>
    <w:p>
      <w:pPr>
        <w:spacing w:after="140" w:line="300"/>
        <w:jc w:val="both"/>
      </w:pPr>
      <w:r>
        <w:rPr>
          <w:rFonts w:ascii="Cambria" w:cs="Cambria" w:eastAsia="Cambria" w:hAnsi="Cambria"/>
          <w:color w:val="000000"/>
          <w:sz w:val="24"/>
          <w:szCs w:val="24"/>
        </w:rPr>
        <w:t xml:space="preserve">The fifth module is the Consent Revocation module. This module operationalises the enforcement component of the consent object, which requires that a patient can withdraw consent and that the withdrawal takes effect for every subsequent request. In the patient's My Consents view, each consent is listed with its state, signature count and token. The patient then selects Revoke, after which the system updates the application state and submits a revoke transaction to the contract on Sepolia.</w:t>
      </w:r>
    </w:p>
    <w:p>
      <w:pPr>
        <w:keepNext/>
        <w:spacing w:after="60" w:before="140"/>
        <w:jc w:val="center"/>
      </w:pPr>
      <w:r>
        <w:drawing>
          <wp:inline distT="0" distB="0" distL="0" distR="0">
            <wp:extent cx="5143500" cy="3714750"/>
            <wp:effectExtent t="0" r="0" b="0" l="0"/>
            <wp:docPr id="1" name="g_revoking.png" descr="Figure 33: The patient subsystem during revocation: 'Revoking on Sepolia - waiting for block confirmation…'." title="Figure 33: The patient subsystem during revocation: 'Revoking on Sepolia - waiting for block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43500" cy="3714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33: The patient subsystem during revocation: 'Revoking on Sepolia - waiting for block confirmation…'.</w:t>
      </w:r>
    </w:p>
    <w:p>
      <w:pPr>
        <w:spacing w:after="140" w:line="300"/>
        <w:jc w:val="both"/>
      </w:pPr>
      <w:r>
        <w:rPr>
          <w:rFonts w:ascii="Cambria" w:cs="Cambria" w:eastAsia="Cambria" w:hAnsi="Cambria"/>
          <w:color w:val="000000"/>
          <w:sz w:val="24"/>
          <w:szCs w:val="24"/>
        </w:rPr>
        <w:t xml:space="preserve">As shown in the figure above, the withdrawal is submitted as a blockchain transaction and the subsystem waits for the block confirmation before reporting the final state.</w:t>
      </w:r>
    </w:p>
    <w:p>
      <w:pPr>
        <w:keepNext/>
        <w:spacing w:after="60" w:before="140"/>
        <w:jc w:val="center"/>
      </w:pPr>
      <w:r>
        <w:drawing>
          <wp:inline distT="0" distB="0" distL="0" distR="0">
            <wp:extent cx="5334000" cy="3533775"/>
            <wp:effectExtent t="0" r="0" b="0" l="0"/>
            <wp:docPr id="1" name="g_revoked.png" descr="Figure 34: The patient subsystem after revocation: the evaluated consent f050c29a is REVOKED with token #1 (displayed as SBT-1). The other rows are earlier trial consents." title="Figure 34: The patient subsystem after revocation: the evaluated consent f050c29a is REVOKED with token #1 (displayed as SBT-1). The other rows are earlier trial cons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533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34: The patient subsystem after revocation: the evaluated consent f050c29a is REVOKED with token #1 (displayed as SBT-1). The other rows are earlier trial consents.</w:t>
      </w:r>
    </w:p>
    <w:p>
      <w:pPr>
        <w:spacing w:after="140" w:line="300"/>
        <w:jc w:val="both"/>
      </w:pPr>
      <w:r>
        <w:rPr>
          <w:rFonts w:ascii="Cambria" w:cs="Cambria" w:eastAsia="Cambria" w:hAnsi="Cambria"/>
          <w:color w:val="000000"/>
          <w:sz w:val="24"/>
          <w:szCs w:val="24"/>
        </w:rPr>
        <w:t xml:space="preserve">As shown in the figure above, the revoked consent is displayed as REVOKED together with its on-chain token number. The revocation was confirmed on Sepolia in block 11,771,307, and from that point the contract itself reports the token as no longer valid, so any verifier that reads the chain observes the withdrawal.</w:t>
      </w:r>
    </w:p>
    <w:p>
      <w:pPr>
        <w:spacing w:after="140" w:line="300"/>
        <w:jc w:val="both"/>
      </w:pPr>
      <w:r>
        <w:rPr>
          <w:rFonts w:ascii="Cambria" w:cs="Cambria" w:eastAsia="Cambria" w:hAnsi="Cambria"/>
          <w:color w:val="000000"/>
          <w:sz w:val="24"/>
          <w:szCs w:val="24"/>
        </w:rPr>
        <w:t xml:space="preserve">The demonstrated revocation completes the consent lifecycle anticipated by the temporal and lifecycle model of Section 6.5: the consent progresses through the controlled states PENDING_SIGNATURE, PENDING_TOKEN, NOT_STARTED, ACTIVE and REVOKED, and the activating and revoking transitions are themselves verifiable Sepolia transactions (blocks 11,771,243 and 11,771,307). Trust is therefore not treated as permanently established at the moment a consent is created, which is precisely the lifecycle-trust principle stated there.</w:t>
      </w:r>
    </w:p>
    <w:p>
      <w:pPr>
        <w:keepNext/>
        <w:spacing w:after="60" w:before="140"/>
        <w:jc w:val="center"/>
      </w:pPr>
      <w:r>
        <w:drawing>
          <wp:inline distT="0" distB="0" distL="0" distR="0">
            <wp:extent cx="5715000" cy="2009775"/>
            <wp:effectExtent t="0" r="0" b="0" l="0"/>
            <wp:docPr id="1" name="lifecycle_sm.png" descr="Figure 35: The implemented consent lifecycle: every consent progresses through controlled states, and the activating and revoking transitions are anchored as verifiable Sepolia transactions." title="Figure 35: The implemented consent lifecycle: every consent progresses through controlled states, and the activating and revoking transitions are anchored as verifiable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35: The implemented consent lifecycle: every consent progresses through controlled states, and the activating and revoking transitions are anchored as verifiable Sepolia transactions.</w:t>
      </w:r>
    </w:p>
    <w:p>
      <w:pPr>
        <w:keepNext/>
        <w:spacing w:after="60" w:before="140"/>
        <w:jc w:val="center"/>
      </w:pPr>
      <w:r>
        <w:drawing>
          <wp:inline distT="0" distB="0" distL="0" distR="0">
            <wp:extent cx="5334000" cy="2952750"/>
            <wp:effectExtent t="0" r="0" b="0" l="0"/>
            <wp:docPr id="1" name="M5.png" descr="Figure 36: The doctor subsystem after revocation: VA reports FAIL and the consent is reported as 'not active. Current state: REVOKED'." title="Figure 36: The doctor subsystem after revocation: VA reports FAIL and the consent is reported as 'not active. Current state: REV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36: The doctor subsystem after revocation: VA reports FAIL and the consent is reported as 'not active. Current state: REVOKED'.</w:t>
      </w:r>
    </w:p>
    <w:p>
      <w:pPr>
        <w:spacing w:after="140" w:line="300"/>
        <w:jc w:val="both"/>
      </w:pPr>
      <w:r>
        <w:rPr>
          <w:rFonts w:ascii="Cambria" w:cs="Cambria" w:eastAsia="Cambria" w:hAnsi="Cambria"/>
          <w:color w:val="000000"/>
          <w:sz w:val="24"/>
          <w:szCs w:val="24"/>
        </w:rPr>
        <w:t xml:space="preserve">As shown in the figure above, when the doctor subsequently enters the same Consent ID, the authorisation check VA fails and the subsystem reports that the consent is not active. Consequently, revocation is not merely a change of display: it removes the authorisation on which every later access decision depends.</w:t>
      </w:r>
    </w:p>
    <w:p>
      <w:pPr>
        <w:keepNext/>
        <w:spacing w:after="60" w:before="140"/>
        <w:jc w:val="center"/>
      </w:pPr>
      <w:r>
        <w:drawing>
          <wp:inline distT="0" distB="0" distL="0" distR="0">
            <wp:extent cx="5715000" cy="3752850"/>
            <wp:effectExtent t="0" r="0" b="0" l="0"/>
            <wp:docPr id="1" name="M6.png" descr="Figure 37: The revocation transaction on Sepolia Etherscan: status Success, block 11,771,307, decoded input 'Function: revoke(uint256 tokenId)' with tokenId = 1." title="Figure 37: The revocation transaction on Sepolia Etherscan: status Success, block 11,771,307, decoded input 'Function: revoke(uint256 tokenId)' with tokenId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7528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37: The revocation transaction on Sepolia Etherscan: status Success, block 11,771,307, decoded input 'Function: revoke(uint256 tokenId)' with tokenId = 1.</w:t>
      </w:r>
    </w:p>
    <w:p>
      <w:pPr>
        <w:spacing w:after="140" w:line="300"/>
        <w:jc w:val="both"/>
      </w:pPr>
      <w:r>
        <w:rPr>
          <w:rFonts w:ascii="Cambria" w:cs="Cambria" w:eastAsia="Cambria" w:hAnsi="Cambria"/>
          <w:color w:val="000000"/>
          <w:sz w:val="24"/>
          <w:szCs w:val="24"/>
        </w:rPr>
        <w:t xml:space="preserve">As shown in the figure above, the revocation is again a publicly verifiable transaction, whose decoded input names the contract function revoke and the token identifier. The transaction can be inspected on Sepolia Etherscan (revoke transaction 0x017efb9d…dceaa, listed in the verification links of Section 6.8.12). The revocation subsystem therefore corresponds to </w:t>
      </w:r>
      <w:r>
        <w:rPr>
          <w:rFonts w:ascii="Cambria" w:cs="Cambria" w:eastAsia="Cambria" w:hAnsi="Cambria"/>
          <w:b/>
          <w:bCs/>
          <w:color w:val="000000"/>
          <w:sz w:val="24"/>
          <w:szCs w:val="24"/>
        </w:rPr>
        <w:t xml:space="preserve">Enforcement State Management and Consent Withdrawal</w:t>
      </w:r>
      <w:r>
        <w:rPr>
          <w:rFonts w:ascii="Cambria" w:cs="Cambria" w:eastAsia="Cambria" w:hAnsi="Cambria"/>
          <w:color w:val="000000"/>
          <w:sz w:val="24"/>
          <w:szCs w:val="24"/>
        </w:rPr>
        <w:t xml:space="preserve">.</w:t>
      </w:r>
    </w:p>
    <w:p>
      <w:pPr>
        <w:pStyle w:val="Heading3"/>
        <w:spacing w:after="160" w:before="280"/>
      </w:pPr>
      <w:r>
        <w:rPr>
          <w:color w:val="000000"/>
        </w:rPr>
        <w:t xml:space="preserve">6.8.7  Blockchain Audit and Consent Lifecycle for the Auditor</w:t>
      </w:r>
    </w:p>
    <w:p>
      <w:pPr>
        <w:spacing w:after="140" w:line="300"/>
        <w:jc w:val="both"/>
      </w:pPr>
      <w:r>
        <w:rPr>
          <w:rFonts w:ascii="Cambria" w:cs="Cambria" w:eastAsia="Cambria" w:hAnsi="Cambria"/>
          <w:color w:val="000000"/>
          <w:sz w:val="24"/>
          <w:szCs w:val="24"/>
        </w:rPr>
        <w:t xml:space="preserve">The sixth major module is the Blockchain Audit &amp; Consent Lifecycle module. This subsystem provides an independent view of the complete consent process and corresponds to the auditability and accountability component of the HALAH framework.</w:t>
      </w:r>
    </w:p>
    <w:p>
      <w:pPr>
        <w:keepNext/>
        <w:spacing w:after="60" w:before="140"/>
        <w:jc w:val="center"/>
      </w:pPr>
      <w:r>
        <w:drawing>
          <wp:inline distT="0" distB="0" distL="0" distR="0">
            <wp:extent cx="5524500" cy="4019550"/>
            <wp:effectExtent t="0" r="0" b="0" l="0"/>
            <wp:docPr id="1" name="n_lifecycle.png" descr="Figure 38: The Consent Lifecycle reconstruction for the evaluated consent: the guardian signatures, MINT_SBT and ONCHAIN_MINT on the left, and the STATE_CHECK, DENIED, REVOKE_CONSENT and ONCHAIN_REVOKE events on the right." title="Figure 38: The Consent Lifecycle reconstruction for the evaluated consent: the guardian signatures, MINT_SBT and ONCHAIN_MINT on the left, and the STATE_CHECK, DENIED, REVOKE_CONSENT and ONCHAIN_REVOKE event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24500" cy="4019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38: The Consent Lifecycle reconstruction for the evaluated consent: the guardian signatures, MINT_SBT and ONCHAIN_MINT on the left, and the STATE_CHECK, DENIED, REVOKE_CONSENT and ONCHAIN_REVOKE events on the right.</w:t>
      </w:r>
    </w:p>
    <w:p>
      <w:pPr>
        <w:spacing w:after="140" w:line="300"/>
        <w:jc w:val="both"/>
      </w:pPr>
      <w:r>
        <w:rPr>
          <w:rFonts w:ascii="Cambria" w:cs="Cambria" w:eastAsia="Cambria" w:hAnsi="Cambria"/>
          <w:color w:val="000000"/>
          <w:sz w:val="24"/>
          <w:szCs w:val="24"/>
        </w:rPr>
        <w:t xml:space="preserve">As shown in the figure above, the lifecycle view presents each event as a card with its timestamp, actor, role, action and result, so the chronological sequence of the authorisation process can be read directly.</w:t>
      </w:r>
    </w:p>
    <w:p>
      <w:pPr>
        <w:keepNext/>
        <w:spacing w:after="60" w:before="140"/>
        <w:jc w:val="center"/>
      </w:pPr>
      <w:r>
        <w:drawing>
          <wp:inline distT="0" distB="0" distL="0" distR="0">
            <wp:extent cx="5715000" cy="3343275"/>
            <wp:effectExtent t="0" r="0" b="0" l="0"/>
            <wp:docPr id="1" name="M7.png" descr="Figure 39: The auditor subsystem with the evaluated consent selected: aggregate indicators and the Detailed Audit Records, in which the on-chain events carry their transaction hashes and block numbers." title="Figure 39: The auditor subsystem with the evaluated consent selected: aggregate indicators and the Detailed Audit Records, in which the on-chain events carry their transaction hashes and block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39: The auditor subsystem with the evaluated consent selected: aggregate indicators and the Detailed Audit Records, in which the on-chain events carry their transaction hashes and block numbers.</w:t>
      </w:r>
    </w:p>
    <w:p>
      <w:pPr>
        <w:spacing w:after="140" w:line="300"/>
        <w:jc w:val="both"/>
      </w:pPr>
      <w:r>
        <w:rPr>
          <w:rFonts w:ascii="Cambria" w:cs="Cambria" w:eastAsia="Cambria" w:hAnsi="Cambria"/>
          <w:color w:val="000000"/>
          <w:sz w:val="24"/>
          <w:szCs w:val="24"/>
        </w:rPr>
        <w:t xml:space="preserve">As shown in the figure above, the system first provides aggregate indicators including:</w:t>
      </w:r>
    </w:p>
    <w:p>
      <w:pPr>
        <w:spacing w:after="160" w:before="60"/>
        <w:jc w:val="center"/>
      </w:pPr>
      <w:r>
        <w:rPr>
          <w:rFonts w:ascii="Cambria Math" w:cs="Cambria Math" w:eastAsia="Cambria Math" w:hAnsi="Cambria Math"/>
          <w:i/>
          <w:iCs/>
          <w:color w:val="000000"/>
          <w:sz w:val="22"/>
          <w:szCs w:val="22"/>
        </w:rPr>
        <w:t xml:space="preserve">Total Events = 60    Consent Events = 8    Access Requests = 9    On-chain Anchors = 5</w:t>
      </w:r>
    </w:p>
    <w:p>
      <w:pPr>
        <w:spacing w:after="140" w:line="300"/>
        <w:jc w:val="both"/>
      </w:pPr>
      <w:r>
        <w:rPr>
          <w:rFonts w:ascii="Cambria" w:cs="Cambria" w:eastAsia="Cambria" w:hAnsi="Cambria"/>
          <w:color w:val="000000"/>
          <w:sz w:val="24"/>
          <w:szCs w:val="24"/>
        </w:rPr>
        <w:t xml:space="preserve">These indicators give the auditor an immediate overview of the recorded system activity and of how many events are anchored on the public chain. The five anchors comprise the mint and revocation of the evaluated consent (token #1), the mint of the photographed lifecycle (token #2), and the mint and revocation of an earlier trial consent on the previous contract; the nine access requests comprise the granted, refused and reproduced requests of the two lifecycles together with three granted requests recorded for the earlier trial consents. More importantly, the Consent Lifecycle section reconstructs the sequence of events associated with a particular consent. The reconstructed records include CREATE_CONSENT performed by the patient, followed by SIGN_CONSENT performed by each guardian, followed by MINT_SBT and ONCHAIN_MINT performed by the smart contract; in the figure the detailed table is scrolled to the on-chain events, whose rows carry the transaction hashes. The subsequent STATE_CHECK system events demonstrate that the Consent Engine continuously evaluates the state of the authorisation. The doctor then generates DATA_ACCESS with the result GRANTED, later DATA_ACCESS with the result DENIED when the jurisdiction check fails, and finally the patient generates REVOKE_CONSENT followed by ONCHAIN_REVOKE performed by the smart contract.</w:t>
      </w:r>
    </w:p>
    <w:p>
      <w:pPr>
        <w:spacing w:after="140" w:line="300"/>
        <w:jc w:val="both"/>
      </w:pPr>
      <w:r>
        <w:rPr>
          <w:rFonts w:ascii="Cambria" w:cs="Cambria" w:eastAsia="Cambria" w:hAnsi="Cambria"/>
          <w:color w:val="000000"/>
          <w:sz w:val="24"/>
          <w:szCs w:val="24"/>
        </w:rPr>
        <w:t xml:space="preserve">This audit reconstruction, together with the independent verification of every recorded transaction against the public chain, constitutes the empirical component of the security-assurance objective RO6 of Section 6.6: representative valid, invalid and adversarial scenarios have been executed against the running prototype, and the recorded evidence is consistent with the public chain. The formal component — proofs and model checking of the stated properties — remains next-stage work.</w:t>
      </w:r>
    </w:p>
    <w:p>
      <w:pPr>
        <w:spacing w:after="140" w:line="300"/>
        <w:jc w:val="both"/>
      </w:pPr>
      <w:r>
        <w:rPr>
          <w:rFonts w:ascii="Cambria" w:cs="Cambria" w:eastAsia="Cambria" w:hAnsi="Cambria"/>
          <w:color w:val="000000"/>
          <w:sz w:val="24"/>
          <w:szCs w:val="24"/>
        </w:rPr>
        <w:t xml:space="preserve">This produces an explicit chain of evidence as</w:t>
      </w:r>
    </w:p>
    <w:p>
      <w:pPr>
        <w:spacing w:after="160" w:before="60"/>
        <w:jc w:val="center"/>
      </w:pPr>
      <w:r>
        <w:rPr>
          <w:rFonts w:ascii="Cambria Math" w:cs="Cambria Math" w:eastAsia="Cambria Math" w:hAnsi="Cambria Math"/>
          <w:i/>
          <w:iCs/>
          <w:color w:val="000000"/>
          <w:sz w:val="22"/>
          <w:szCs w:val="22"/>
        </w:rPr>
        <w:t xml:space="preserve">Patient → Guardian_A → Guardian_B → SmartContract(mint) → ConsentEngine → Doctor(GRANTED)</w:t>
      </w:r>
    </w:p>
    <w:p>
      <w:pPr>
        <w:spacing w:after="160" w:before="60"/>
        <w:jc w:val="center"/>
      </w:pPr>
      <w:r>
        <w:rPr>
          <w:rFonts w:ascii="Cambria Math" w:cs="Cambria Math" w:eastAsia="Cambria Math" w:hAnsi="Cambria Math"/>
          <w:i/>
          <w:iCs/>
          <w:color w:val="000000"/>
          <w:sz w:val="22"/>
          <w:szCs w:val="22"/>
        </w:rPr>
        <w:t xml:space="preserve">→ Doctor(DENIED) → Patient(revoke) → SmartContract(revoke)</w:t>
      </w:r>
    </w:p>
    <w:p>
      <w:pPr>
        <w:spacing w:after="140" w:line="300"/>
        <w:jc w:val="both"/>
      </w:pPr>
      <w:r>
        <w:rPr>
          <w:rFonts w:ascii="Cambria" w:cs="Cambria" w:eastAsia="Cambria" w:hAnsi="Cambria"/>
          <w:color w:val="000000"/>
          <w:sz w:val="24"/>
          <w:szCs w:val="24"/>
        </w:rPr>
        <w:t xml:space="preserve">The audit subsystem therefore allows an auditor to reconstruct not only who accessed the data, but also why that access was permitted or refused, because each access event can be associated with the preceding consent creation, guardian approvals, on-chain activation, state checks and the decision matrix that was in force at that moment.</w:t>
      </w:r>
    </w:p>
    <w:p>
      <w:pPr>
        <w:spacing w:after="140" w:line="300"/>
        <w:jc w:val="both"/>
      </w:pPr>
      <w:r>
        <w:rPr>
          <w:rFonts w:ascii="Cambria" w:cs="Cambria" w:eastAsia="Cambria" w:hAnsi="Cambria"/>
          <w:color w:val="000000"/>
          <w:sz w:val="24"/>
          <w:szCs w:val="24"/>
        </w:rPr>
        <w:t xml:space="preserve">This corresponds to the proposed requirement for </w:t>
      </w:r>
      <w:r>
        <w:rPr>
          <w:rFonts w:ascii="Cambria" w:cs="Cambria" w:eastAsia="Cambria" w:hAnsi="Cambria"/>
          <w:b/>
          <w:bCs/>
          <w:color w:val="000000"/>
          <w:sz w:val="24"/>
          <w:szCs w:val="24"/>
        </w:rPr>
        <w:t xml:space="preserve">traceability, accountability and non-repudiable consent evidence</w:t>
      </w:r>
      <w:r>
        <w:rPr>
          <w:rFonts w:ascii="Cambria" w:cs="Cambria" w:eastAsia="Cambria" w:hAnsi="Cambria"/>
          <w:color w:val="000000"/>
          <w:sz w:val="24"/>
          <w:szCs w:val="24"/>
        </w:rPr>
        <w:t xml:space="preserve">.</w:t>
      </w:r>
    </w:p>
    <w:p>
      <w:pPr>
        <w:pStyle w:val="Heading3"/>
        <w:spacing w:after="160" w:before="280"/>
      </w:pPr>
      <w:r>
        <w:rPr>
          <w:color w:val="000000"/>
        </w:rPr>
        <w:t xml:space="preserve">6.8.8  Detailed Audit Records</w:t>
      </w:r>
    </w:p>
    <w:p>
      <w:pPr>
        <w:spacing w:after="140" w:line="300"/>
        <w:jc w:val="both"/>
      </w:pPr>
      <w:r>
        <w:rPr>
          <w:rFonts w:ascii="Cambria" w:cs="Cambria" w:eastAsia="Cambria" w:hAnsi="Cambria"/>
          <w:color w:val="000000"/>
          <w:sz w:val="24"/>
          <w:szCs w:val="24"/>
        </w:rPr>
        <w:t xml:space="preserve">The Detailed Audit Records component provides a lower-level view of the events represented in the lifecycle subsystem.</w:t>
      </w:r>
    </w:p>
    <w:p>
      <w:pPr>
        <w:spacing w:after="140" w:line="300"/>
        <w:jc w:val="both"/>
      </w:pPr>
      <w:r>
        <w:rPr>
          <w:rFonts w:ascii="Cambria" w:cs="Cambria" w:eastAsia="Cambria" w:hAnsi="Cambria"/>
          <w:color w:val="000000"/>
          <w:sz w:val="24"/>
          <w:szCs w:val="24"/>
        </w:rP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consent context and, for on-chain events, the transaction hash and block number. As shown in the auditor figure above, the ONCHAIN_MINT and ONCHAIN_REVOKE rows carry the hashes of the two Sepolia transactions presented in Sections 6.8.3 and 6.8.6, so the ledger and the public chain describe the same events.</w:t>
      </w:r>
    </w:p>
    <w:p>
      <w:pPr>
        <w:spacing w:after="140" w:line="300"/>
        <w:jc w:val="both"/>
      </w:pPr>
      <w:r>
        <w:rPr>
          <w:rFonts w:ascii="Cambria" w:cs="Cambria" w:eastAsia="Cambria" w:hAnsi="Cambria"/>
          <w:color w:val="000000"/>
          <w:sz w:val="24"/>
          <w:szCs w:val="24"/>
        </w:rP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spacing w:after="140" w:line="300"/>
        <w:jc w:val="both"/>
      </w:pPr>
      <w:r>
        <w:rPr>
          <w:rFonts w:ascii="Cambria" w:cs="Cambria" w:eastAsia="Cambria" w:hAnsi="Cambria"/>
          <w:color w:val="000000"/>
          <w:sz w:val="24"/>
          <w:szCs w:val="24"/>
        </w:rPr>
        <w:t xml:space="preserve">The subsystem therefore implements the distinction between operational access information and forensic/audit information.</w:t>
      </w:r>
    </w:p>
    <w:p>
      <w:pPr>
        <w:pStyle w:val="Heading3"/>
        <w:spacing w:after="160" w:before="280"/>
      </w:pPr>
      <w:r>
        <w:rPr>
          <w:color w:val="000000"/>
        </w:rPr>
        <w:t xml:space="preserve">6.8.9  Complete Audit Ledger and Independent Verification</w:t>
      </w:r>
    </w:p>
    <w:p>
      <w:pPr>
        <w:spacing w:after="140" w:line="300"/>
        <w:jc w:val="both"/>
      </w:pPr>
      <w:r>
        <w:rPr>
          <w:rFonts w:ascii="Cambria" w:cs="Cambria" w:eastAsia="Cambria" w:hAnsi="Cambria"/>
          <w:color w:val="000000"/>
          <w:sz w:val="24"/>
          <w:szCs w:val="24"/>
        </w:rPr>
        <w:t xml:space="preserve">The Complete Blockchain Audit Ledger provides the most comprehensive representation of the recorded consent history. This component demonstrates that the audit mechanism is not limited to successful data-access events. Instead, the system records the broader lifecycle of the consent, including creation, signatures, state validation, smart-contract actions, refused requests and revocations. Consequently, the ledger provides the evidentiary foundation for evaluating several properties of the proposed framework:</w:t>
      </w:r>
    </w:p>
    <w:p>
      <w:pPr>
        <w:spacing w:after="160" w:before="60"/>
        <w:jc w:val="center"/>
      </w:pPr>
      <w:r>
        <w:rPr>
          <w:rFonts w:ascii="Cambria Math" w:cs="Cambria Math" w:eastAsia="Cambria Math" w:hAnsi="Cambria Math"/>
          <w:i/>
          <w:iCs/>
          <w:color w:val="000000"/>
          <w:sz w:val="22"/>
          <w:szCs w:val="22"/>
        </w:rPr>
        <w:t xml:space="preserve">Accountability + Traceability + Integrity + Non-repudiation</w:t>
      </w:r>
    </w:p>
    <w:p>
      <w:pPr>
        <w:spacing w:after="140" w:line="300"/>
        <w:jc w:val="both"/>
      </w:pPr>
      <w:r>
        <w:rPr>
          <w:rFonts w:ascii="Cambria" w:cs="Cambria" w:eastAsia="Cambria" w:hAnsi="Cambria"/>
          <w:color w:val="000000"/>
          <w:sz w:val="24"/>
          <w:szCs w:val="24"/>
        </w:rPr>
        <w:t xml:space="preserve">A ledger kept by the application could in principle contain fabricated entries. Consequently, the implementation provides an independent verification tool. The tool re-reads the ledger and, for every event that carries a transaction hash, fetches the corresponding receipt directly from Sepolia and checks that the transaction exists, succeeded, and was included in the recorded block; for every consent anchored on the current contract it then reads the token back and compares the on-chain revocation state with the local state; the earlier trial token resides on the superseded contract and is reported and skipped.</w:t>
      </w:r>
    </w:p>
    <w:p>
      <w:pPr>
        <w:keepNext/>
        <w:spacing w:after="60" w:before="140"/>
        <w:jc w:val="center"/>
      </w:pPr>
      <w:r>
        <w:drawing>
          <wp:inline distT="0" distB="0" distL="0" distR="0">
            <wp:extent cx="5334000" cy="571500"/>
            <wp:effectExtent t="0" r="0" b="0" l="0"/>
            <wp:docPr id="1" name="M8_clean.png" descr="Figure 40: The final verdict of the independent verification, re-executed after the second lifecycle: RESULT: ALL CHECKS PASSED." title="Figure 40: The final verdict of the independent verification, re-executed after the second lifecycle: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5715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40: The final verdict of the independent verification, re-executed after the second lifecycle: RESULT: ALL CHECKS PASSED.</w:t>
      </w:r>
    </w:p>
    <w:p>
      <w:pPr>
        <w:spacing w:after="140" w:line="300"/>
        <w:jc w:val="both"/>
      </w:pPr>
      <w:r>
        <w:rPr>
          <w:rFonts w:ascii="Cambria" w:cs="Cambria" w:eastAsia="Cambria" w:hAnsi="Cambria"/>
          <w:color w:val="000000"/>
          <w:sz w:val="24"/>
          <w:szCs w:val="24"/>
        </w:rPr>
        <w:t xml:space="preserve">As shown in the figure above, the verification was re-executed after the second lifecycle and reports ALL CHECKS PASSED: every recorded transaction was found on Sepolia in its recorded block, and for both tokens on the current contract the revocation state stored by the application matches the state stored by the contract (token #1 revoked, token #2 not revoked). Accordingly, the demonstrated sequence shows that the doctor receives a GRANTED result only while the consent is in the ACTIVE state, and a DENIED or 'not active' result otherwise. This provides an implementation-level demonstration that access decisions are linked to the consent lifecycle rather than being independent application events, and that the recorded lifecycle is consistent with the public chain.</w:t>
      </w:r>
    </w:p>
    <w:p>
      <w:pPr>
        <w:pStyle w:val="Heading3"/>
        <w:spacing w:after="160" w:before="280"/>
      </w:pPr>
      <w:r>
        <w:rPr>
          <w:color w:val="000000"/>
        </w:rPr>
        <w:t xml:space="preserve">6.8.10  Correspondence Between the Subsystems and the Framework</w:t>
      </w:r>
    </w:p>
    <w:p>
      <w:pPr>
        <w:spacing w:after="140" w:line="300"/>
        <w:jc w:val="both"/>
      </w:pPr>
      <w:r>
        <w:rPr>
          <w:rFonts w:ascii="Cambria" w:cs="Cambria" w:eastAsia="Cambria" w:hAnsi="Cambria"/>
          <w:color w:val="000000"/>
          <w:sz w:val="24"/>
          <w:szCs w:val="24"/>
        </w:rPr>
        <w:t xml:space="preserve">The subsystems collectively implement the principal stages of the proposed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HALAH Framework Component</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Implementation Subsystem</w:t>
            </w:r>
          </w:p>
        </w:tc>
        <w:tc>
          <w:tcPr>
            <w:tcW w:type="dxa" w:w="35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Main Function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Object Construction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Create Smart Consent Contract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Defines patient, authorised doctor, data scope, guardians, jurisdiction and temporal validity</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Identity &amp; Authorisation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guardian identities and EIP-712 signatures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Multi-party Consent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Implements the 2-of-2 approval condition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Activation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Mints the SBT on Sepolia and marks the consent as fully activated</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Consent-State Management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Checks whether the consent is ACTIVE</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Scope Enforcement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Restricts access to authorised EMR modules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Cryptographic Access Control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the request, including a Groth16 proof, before granting data</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Jurisdictional Constraint (L)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Refuses requests whose declared jurisdiction differs from the consent</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Healthcare Data Access</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the authorised Observation, Medication, Condition and Procedure records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Enforcement / Revocation (E)</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My Consents (Patient)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Revokes the consent locally and on-chain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Lifecycle Traceability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Blockchain Audit &amp; Consent Lifecycle</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Reconstructs the chronological consent process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Accountability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Detailed Audit Records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event-level evidence with transaction hashes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Ledger Integrity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Complete Ledger + independent verification</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Confirms the recorded history against Sepolia</w:t>
            </w:r>
          </w:p>
        </w:tc>
      </w:tr>
    </w:tbl>
    <w:p>
      <w:pPr>
        <w:spacing w:after="160" w:before="60"/>
        <w:jc w:val="center"/>
      </w:pPr>
      <w:r>
        <w:rPr>
          <w:rFonts w:ascii="Cambria" w:cs="Cambria" w:eastAsia="Cambria" w:hAnsi="Cambria"/>
          <w:i/>
          <w:iCs/>
          <w:color w:val="000000"/>
          <w:sz w:val="19"/>
          <w:szCs w:val="19"/>
        </w:rPr>
        <w:t xml:space="preserve">Table 9: Correspondence between the HALAH framework components and the implemented subsystems.</w:t>
      </w:r>
    </w:p>
    <w:p>
      <w:pPr>
        <w:spacing w:after="140" w:line="300"/>
        <w:jc w:val="both"/>
      </w:pPr>
      <w:r>
        <w:rPr>
          <w:rFonts w:ascii="Cambria" w:cs="Cambria" w:eastAsia="Cambria" w:hAnsi="Cambria"/>
          <w:color w:val="000000"/>
          <w:sz w:val="24"/>
          <w:szCs w:val="24"/>
        </w:rPr>
        <w:t xml:space="preserve">This mapping demonstrates that the implementation is not merely a collection of independent user-subsystem modules. Rather, the modules correspond to successive stages of the proposed authorisation protocol.</w:t>
      </w:r>
    </w:p>
    <w:p>
      <w:pPr>
        <w:pStyle w:val="Heading3"/>
        <w:spacing w:after="160" w:before="280"/>
      </w:pPr>
      <w:r>
        <w:rPr>
          <w:color w:val="000000"/>
        </w:rPr>
        <w:t xml:space="preserve">6.8.11  Overall System Demonstration</w:t>
      </w:r>
    </w:p>
    <w:p>
      <w:pPr>
        <w:spacing w:after="140" w:line="300"/>
        <w:jc w:val="both"/>
      </w:pPr>
      <w:r>
        <w:rPr>
          <w:rFonts w:ascii="Cambria" w:cs="Cambria" w:eastAsia="Cambria" w:hAnsi="Cambria"/>
          <w:color w:val="000000"/>
          <w:sz w:val="24"/>
          <w:szCs w:val="24"/>
        </w:rPr>
        <w:t xml:space="preserve">Taken together, the subsystems demonstrate an end-to-end implementation of the proposed HALAH authorisation workflow on a public blockchain.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minted on Sepolia. The authorised doctor subsequently submits an access request, which is evaluated against the patient's identity, consent state, authorised data scope, temporal validity and jurisdiction. Only when these conditions are satisfied does the system provide access to the specified EMR modules; an out-of-jurisdiction request is refused with the failed check named. The patient finally revokes the consent, the revocation is recorded on-chain, and the complete sequence is exposed through the auditor subsystem and re-verified independently against the chain.</w:t>
      </w:r>
    </w:p>
    <w:p>
      <w:pPr>
        <w:spacing w:after="160" w:before="60"/>
        <w:jc w:val="center"/>
      </w:pPr>
      <w:r>
        <w:rPr>
          <w:rFonts w:ascii="Cambria Math" w:cs="Cambria Math" w:eastAsia="Cambria Math" w:hAnsi="Cambria Math"/>
          <w:i/>
          <w:iCs/>
          <w:color w:val="000000"/>
          <w:sz w:val="22"/>
          <w:szCs w:val="22"/>
        </w:rPr>
        <w:t xml:space="preserve">C → MS → SBT_chain → StateCheck → AccessDecision → EMR → Revoke_chain → Audit → Verify</w:t>
      </w:r>
    </w:p>
    <w:p>
      <w:pPr>
        <w:spacing w:after="140" w:line="300"/>
        <w:jc w:val="both"/>
      </w:pPr>
      <w:r>
        <w:rPr>
          <w:rFonts w:ascii="Cambria" w:cs="Cambria" w:eastAsia="Cambria" w:hAnsi="Cambria"/>
          <w:color w:val="000000"/>
          <w:sz w:val="24"/>
          <w:szCs w:val="24"/>
        </w:rPr>
        <w:t xml:space="preserve">where C denotes consent creation, MS multi-signature approval, SBT_chain on-chain consent activation, StateCheck lifecycle validation, AccessDecision authorisation enforcement over the full consent tuple, EMR authorised medical-record access, Revoke_chain on-chain revocation, Audit immutable lifecycle recording, and Verify independent verification against Sepolia.</w:t>
      </w:r>
    </w:p>
    <w:p>
      <w:pPr>
        <w:spacing w:after="140" w:line="300"/>
        <w:jc w:val="both"/>
      </w:pPr>
      <w:r>
        <w:rPr>
          <w:rFonts w:ascii="Cambria" w:cs="Cambria" w:eastAsia="Cambria" w:hAnsi="Cambria"/>
          <w:color w:val="000000"/>
          <w:sz w:val="24"/>
          <w:szCs w:val="24"/>
        </w:rPr>
        <w:t xml:space="preserve">The demonstrated prototype makes several simplifications that are acceptable for a research demonstration but would require strengthening before deployment. The guardian signing keys are derived deterministically from the guardian DIDs so that the prototype can sign without wallets; in production each guardian would sign the same typed data with a wallet-held key registered against their DID. The doctor's identity and jurisdiction are declared in the interface rather than authenticated, and the Groth16 proof is generated and verified by the same server, so it currently demonstrates the integration of the zero-knowledge toolchain rather than an additional privacy guarantee. These aspects define the immediate future work of the project.</w:t>
      </w:r>
    </w:p>
    <w:p>
      <w:pPr>
        <w:spacing w:after="140" w:line="300"/>
        <w:jc w:val="both"/>
      </w:pPr>
      <w:r>
        <w:rPr>
          <w:rFonts w:ascii="Cambria" w:cs="Cambria" w:eastAsia="Cambria" w:hAnsi="Cambria"/>
          <w:color w:val="000000"/>
          <w:sz w:val="24"/>
          <w:szCs w:val="24"/>
        </w:rPr>
        <w:t xml:space="preserve">From a research-implementation perspective, the most significant feature of the presented subsystems is therefore the continuity between consent specification, multi-party authorisation, public on-chain activation and revocation, access enforcement and independently verifiable audit evidence. The user subsystems provide a visible representation of this continuity, allowing the proposed HALAH model to be demonstrated as an operational authorisation workflow on a public network rather than only as a conceptual framework.</w:t>
      </w:r>
    </w:p>
    <w:p>
      <w:pPr>
        <w:pStyle w:val="Heading3"/>
        <w:spacing w:after="160" w:before="280"/>
      </w:pPr>
      <w:r>
        <w:rPr>
          <w:color w:val="000000"/>
        </w:rPr>
        <w:t xml:space="preserve">6.8.12  Verification Links</w:t>
      </w:r>
    </w:p>
    <w:p>
      <w:pPr>
        <w:spacing w:after="140" w:line="300"/>
        <w:jc w:val="both"/>
      </w:pPr>
      <w:r>
        <w:rPr>
          <w:rFonts w:ascii="Cambria" w:cs="Cambria" w:eastAsia="Cambria" w:hAnsi="Cambria"/>
          <w:color w:val="000000"/>
          <w:sz w:val="24"/>
          <w:szCs w:val="24"/>
        </w:rPr>
        <w:t xml:space="preserve">Contract: https://sepolia.etherscan.io/address/0x0EC3617581DEC63A7f2bb162DC14d088916ADc73</w:t>
      </w:r>
    </w:p>
    <w:p>
      <w:pPr>
        <w:spacing w:after="140" w:line="300"/>
        <w:jc w:val="both"/>
      </w:pPr>
      <w:r>
        <w:rPr>
          <w:rFonts w:ascii="Cambria" w:cs="Cambria" w:eastAsia="Cambria" w:hAnsi="Cambria"/>
          <w:color w:val="000000"/>
          <w:sz w:val="24"/>
          <w:szCs w:val="24"/>
        </w:rPr>
        <w:t xml:space="preserve">Consent activation (mint of token #1): https://sepolia.etherscan.io/tx/0x8be1b99e9b7054d427bdee0a0b5cc56ae99030a399f4b11d3629ed5d98daf13d</w:t>
      </w:r>
    </w:p>
    <w:p>
      <w:pPr>
        <w:spacing w:after="140" w:line="300"/>
        <w:jc w:val="both"/>
      </w:pPr>
      <w:r>
        <w:rPr>
          <w:rFonts w:ascii="Cambria" w:cs="Cambria" w:eastAsia="Cambria" w:hAnsi="Cambria"/>
          <w:color w:val="000000"/>
          <w:sz w:val="24"/>
          <w:szCs w:val="24"/>
        </w:rPr>
        <w:t xml:space="preserve">Consent activation (mint of token #2, photographed lifecycle): https://sepolia.etherscan.io/tx/0x25ef5e2f0046735dcb01ff7b68875b760bdf88ad0fa3fedc9bfb910769d4c210</w:t>
      </w:r>
    </w:p>
    <w:p>
      <w:pPr>
        <w:spacing w:after="140" w:line="300"/>
        <w:jc w:val="both"/>
      </w:pPr>
      <w:r>
        <w:rPr>
          <w:rFonts w:ascii="Cambria" w:cs="Cambria" w:eastAsia="Cambria" w:hAnsi="Cambria"/>
          <w:color w:val="000000"/>
          <w:sz w:val="24"/>
          <w:szCs w:val="24"/>
        </w:rPr>
        <w:t xml:space="preserve">Consent revocation (token #1): https://sepolia.etherscan.io/tx/0x017efb9dc6acad9733fa05c19408c0166c9c0645e83b6ffdc41c4b3b85ddceaa</w:t>
      </w:r>
    </w:p>
    <w:p>
      <w:pPr>
        <w:spacing w:after="140" w:line="300"/>
        <w:jc w:val="both"/>
      </w:pPr>
      <w:r>
        <w:rPr>
          <w:rFonts w:ascii="Cambria" w:cs="Cambria" w:eastAsia="Cambria" w:hAnsi="Cambria"/>
          <w:color w:val="000000"/>
          <w:sz w:val="24"/>
          <w:szCs w:val="24"/>
        </w:rPr>
        <w:t xml:space="preserve">Full audit-ledger export: </w:t>
      </w:r>
      <w:r>
        <w:rPr>
          <w:rFonts w:ascii="Consolas" w:cs="Consolas" w:eastAsia="Consolas" w:hAnsi="Consolas"/>
          <w:color w:val="000000"/>
          <w:sz w:val="20"/>
          <w:szCs w:val="20"/>
        </w:rPr>
        <w:t xml:space="preserve">evidence/sepolia_audit_ledger_2026-09-24.csv</w:t>
      </w:r>
      <w:r>
        <w:rPr>
          <w:rFonts w:ascii="Cambria" w:cs="Cambria" w:eastAsia="Cambria" w:hAnsi="Cambria"/>
          <w:color w:val="000000"/>
          <w:sz w:val="24"/>
          <w:szCs w:val="24"/>
        </w:rPr>
        <w:t xml:space="preserve">; deployment and run record: </w:t>
      </w:r>
      <w:r>
        <w:rPr>
          <w:rFonts w:ascii="Consolas" w:cs="Consolas" w:eastAsia="Consolas" w:hAnsi="Consolas"/>
          <w:color w:val="000000"/>
          <w:sz w:val="20"/>
          <w:szCs w:val="20"/>
        </w:rPr>
        <w:t xml:space="preserve">evidence/sepolia_deploy_v3_2026-09-24.txt</w:t>
      </w:r>
      <w:r>
        <w:rPr>
          <w:rFonts w:ascii="Cambria" w:cs="Cambria" w:eastAsia="Cambria" w:hAnsi="Cambria"/>
          <w:color w:val="000000"/>
          <w:sz w:val="24"/>
          <w:szCs w:val="24"/>
        </w:rPr>
        <w:t xml:space="preserve"> preserved in the project evidence records.</w:t>
      </w:r>
    </w:p>
    <w:p>
      <w:pPr>
        <w:pStyle w:val="Heading1"/>
        <w:pageBreakBefore/>
        <w:spacing w:after="160" w:before="400"/>
      </w:pPr>
      <w:r>
        <w:t xml:space="preserve">7  Current Progress Status</w:t>
      </w:r>
    </w:p>
    <w:p>
      <w:pPr>
        <w:pStyle w:val="Heading2"/>
        <w:spacing w:after="160" w:before="280"/>
      </w:pPr>
      <w:r>
        <w:t xml:space="preserve">7.1  Progress of RO1: Trust-Centric Consent Model</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RO1 has been completed at the conceptual and prototype-design level. 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sz w:val="22"/>
          <w:szCs w:val="22"/>
        </w:rPr>
        <w:t xml:space="preserve">	(71)</w:t>
      </w:r>
    </w:p>
    <w:p>
      <w:pPr>
        <w:spacing w:after="140" w:line="300"/>
        <w:jc w:val="both"/>
      </w:pPr>
      <w:r>
        <w:rPr>
          <w:rFonts w:ascii="Cambria" w:cs="Cambria" w:eastAsia="Cambria" w:hAnsi="Cambria"/>
          <w:sz w:val="24"/>
          <w:szCs w:val="24"/>
        </w:rP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 The model provides the foundation for the remaining objectives because the identity, multiparty approval, and policy mechanisms can all be evaluated against the same consent object. The current result demonstrates that consent can be represented as an evaluable authorisation object rather than as a binary permission. This provides a conceptual basis for dynamic access decisions and allows subsequent authorisation conditions to be evaluated consistently.</w:t>
      </w:r>
    </w:p>
    <w:p>
      <w:pPr>
        <w:pStyle w:val="Heading2"/>
        <w:spacing w:after="160" w:before="280"/>
      </w:pPr>
      <w:r>
        <w:t xml:space="preserve">7.2  Progress of RO2: Decentralised Identity and Authority</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RO2 has been completed at the conceptual and prototype level. The proposed framework explicitly separates identity authentication from authorisation authority</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(72)</w:t>
      </w:r>
    </w:p>
    <w:p>
      <w:pPr>
        <w:spacing w:after="140" w:line="300"/>
        <w:jc w:val="both"/>
      </w:pPr>
      <w:r>
        <w:rPr>
          <w:rFonts w:ascii="Cambria" w:cs="Cambria" w:eastAsia="Cambria" w:hAnsi="Cambria"/>
          <w:sz w:val="24"/>
          <w:szCs w:val="24"/>
        </w:rPr>
        <w:t xml:space="preserve">A decentralised identifier is used to establish the identity of a participant, while verifiable credentials provide evidence concerning the participant’s role or authority. The identity verification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(73)</w:t>
      </w:r>
    </w:p>
    <w:p>
      <w:pPr>
        <w:spacing w:after="140" w:line="300"/>
        <w:jc w:val="both"/>
      </w:pPr>
      <w:r>
        <w:rPr>
          <w:rFonts w:ascii="Cambria" w:cs="Cambria" w:eastAsia="Cambria" w:hAnsi="Cambria"/>
          <w:sz w:val="24"/>
          <w:szCs w:val="24"/>
        </w:rPr>
        <w:t xml:space="preserve">Successful identity verification therefore does not automatically grant access to healthcare information. Instead, identity and credential validity become trusted inputs to the subsequent authorisation process. The current implementation demonstrates the separation between participant identity and authorisation authority. A valid healthcare participant identity can be verified independently from the question of whether that participant is authorised to access a particular patient’s data.</w:t>
      </w:r>
    </w:p>
    <w:p>
      <w:pPr>
        <w:spacing w:after="140" w:line="300"/>
        <w:jc w:val="both"/>
      </w:pPr>
      <w:r>
        <w:rPr>
          <w:rFonts w:ascii="Cambria" w:cs="Cambria" w:eastAsia="Cambria" w:hAnsi="Cambria"/>
          <w:color w:val="000000"/>
          <w:sz w:val="24"/>
          <w:szCs w:val="24"/>
        </w:rPr>
        <w:t xml:space="preserve">In the current prototype the approval threshold is fixed at N-of-N: every listed guardian must approve, each through an EIP-712 typed-data signature verified by cryptographic recovery, and the two-guardian case has been evaluated end-to-end, with configurable k-of-n thresholds remaining future work. With respect to identity verification,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in the prototype performs identifier- and credential-format validation only; cryptographic DID resolution against a registry and authentication of the requester are acknowledged limitations reserved for the next stage.</w:t>
      </w:r>
    </w:p>
    <w:p>
      <w:pPr>
        <w:pStyle w:val="Heading2"/>
        <w:spacing w:after="160" w:before="280"/>
      </w:pPr>
      <w:r>
        <w:t xml:space="preserve">7.3  Progress of RO3: Trustworthy Multi-Party Authorisation</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RO3 has been completed at the conceptual and prototype level. The framework introduces threshold-based multi-party authorisation to prevent a single participant from unilaterally establishing sensitive healthcare data access.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represent the set of independently verified authorisation participants and N represent the required approval threshold. The authorisation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(74)</w:t>
      </w:r>
    </w:p>
    <w:p>
      <w:pPr>
        <w:spacing w:after="140" w:line="300"/>
        <w:jc w:val="both"/>
      </w:pPr>
      <w:r>
        <w:rPr>
          <w:rFonts w:ascii="Cambria" w:cs="Cambria" w:eastAsia="Cambria" w:hAnsi="Cambria"/>
          <w:sz w:val="24"/>
          <w:szCs w:val="24"/>
        </w:rPr>
        <w:t xml:space="preserve">If the threshold is not satisfied,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(75)</w:t>
      </w:r>
    </w:p>
    <w:p>
      <w:pPr>
        <w:spacing w:after="140" w:line="300"/>
        <w:jc w:val="both"/>
      </w:pPr>
      <w:r>
        <w:rPr>
          <w:rFonts w:ascii="Cambria" w:cs="Cambria" w:eastAsia="Cambria" w:hAnsi="Cambria"/>
          <w:sz w:val="24"/>
          <w:szCs w:val="24"/>
        </w:rPr>
        <w:t xml:space="preserve">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For example, where two approvals are required,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w:t>
      </w:r>
      <w:r>
        <w:rPr>
          <w:rFonts w:ascii="Cambria" w:cs="Cambria" w:eastAsia="Cambria" w:hAnsi="Cambria"/>
          <w:sz w:val="22"/>
          <w:szCs w:val="22"/>
        </w:rPr>
        <w:t xml:space="preserve">	(76)</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0.</w:t>
      </w:r>
      <w:r>
        <w:rPr>
          <w:rFonts w:ascii="Cambria" w:cs="Cambria" w:eastAsia="Cambria" w:hAnsi="Cambria"/>
          <w:sz w:val="22"/>
          <w:szCs w:val="22"/>
        </w:rPr>
        <w:t xml:space="preserve">	(77)</w:t>
      </w:r>
    </w:p>
    <w:p>
      <w:pPr>
        <w:spacing w:after="140" w:line="300"/>
        <w:jc w:val="both"/>
      </w:pPr>
      <w:r>
        <w:rPr>
          <w:rFonts w:ascii="Cambria" w:cs="Cambria" w:eastAsia="Cambria" w:hAnsi="Cambria"/>
          <w:sz w:val="24"/>
          <w:szCs w:val="24"/>
        </w:rPr>
        <w:t xml:space="preserve">This provides preliminary evidence that the proposed framework can enforce collective rather than unilateral authorisation.</w:t>
      </w:r>
    </w:p>
    <w:p>
      <w:pPr>
        <w:pStyle w:val="Heading2"/>
        <w:spacing w:after="160" w:before="280"/>
      </w:pPr>
      <w:r>
        <w:t xml:space="preserve">7.4  Progress of RO4: Policy-Aware Access Control</w:t>
      </w:r>
    </w:p>
    <w:p>
      <w:pPr>
        <w:spacing w:after="140" w:line="300"/>
        <w:jc w:val="both"/>
      </w:pPr>
      <w:r>
        <w:rPr>
          <w:rFonts w:ascii="Cambria" w:cs="Cambria" w:eastAsia="Cambria" w:hAnsi="Cambria"/>
          <w:color w:val="000000"/>
          <w:sz w:val="24"/>
          <w:szCs w:val="24"/>
        </w:rPr>
        <w:t xml:space="preserve">Status: Completed.</w:t>
      </w:r>
    </w:p>
    <w:p>
      <w:pPr>
        <w:spacing w:after="140" w:line="300"/>
        <w:jc w:val="both"/>
      </w:pPr>
      <w:r>
        <w:rPr>
          <w:rFonts w:ascii="Cambria" w:cs="Cambria" w:eastAsia="Cambria" w:hAnsi="Cambria"/>
          <w:color w:val="000000"/>
          <w:sz w:val="24"/>
          <w:szCs w:val="24"/>
        </w:rPr>
        <w:t xml:space="preserve">The policy predicate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is implemented at the prototype level: each access request declares a purpose and a requested data scope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and the request is rejected whenever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is not a subset of the authorised scope S</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The predicate is evaluated as one term of the complete decision matrix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and every denial names the failed checks explicitly in both the interface and the audit ledger. In addition, input validation on consent creation and access requests prevents malformed identifiers, scopes and jurisdictions from reaching the decision logic. Consequently, policy-aware access control is an enforced property of the running system rather than an expected outcome.</w:t>
      </w:r>
    </w:p>
    <w:p>
      <w:pPr>
        <w:spacing w:after="140" w:line="300"/>
        <w:jc w:val="both"/>
      </w:pPr>
      <w:r>
        <w:rPr>
          <w:rFonts w:ascii="Cambria" w:cs="Cambria" w:eastAsia="Cambria" w:hAnsi="Cambria"/>
          <w:sz w:val="24"/>
          <w:szCs w:val="24"/>
        </w:rPr>
        <w:t xml:space="preserve">RO4 represents the next stage of the framework beyond identity and multi-party approval. The objective is to ensure that an otherwise valid requester cannot access healthcare information outside the purpose and data scope authorised by the consent. The proposed policy predicate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(78)</w:t>
      </w:r>
    </w:p>
    <w:p>
      <w:pPr>
        <w:spacing w:after="140" w:line="300"/>
        <w:jc w:val="both"/>
      </w:pPr>
      <w:r>
        <w:rPr>
          <w:rFonts w:ascii="Cambria" w:cs="Cambria" w:eastAsia="Cambria" w:hAnsi="Cambria"/>
          <w:sz w:val="24"/>
          <w:szCs w:val="24"/>
        </w:rPr>
        <w:t xml:space="preserve">For example, if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{Observation, Medication}, and the requester asks for </w:t>
      </w:r>
      <w:r>
        <w:rPr>
          <w:rFonts w:ascii="Cambria" w:cs="Cambria" w:eastAsia="Cambria" w:hAnsi="Cambria"/>
          <w:color w:val="000000"/>
          <w:sz w:val="24"/>
          <w:szCs w:val="24"/>
        </w:rPr>
        <w:t xml:space="preserve">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 {Observation, Medication, Procedure}, the request exceeds the authorised scope and the jurisdiction and validity conditions are evaluated against the stored consent before any decision is returned.</w:t>
      </w:r>
    </w:p>
    <w:p>
      <w:pPr>
        <w:pStyle w:val="Heading2"/>
        <w:spacing w:after="160" w:before="280"/>
      </w:pPr>
      <w:r>
        <w:t xml:space="preserve">7.5  Progress of RO5: Temporal and Lifecycle Trust</w:t>
      </w:r>
    </w:p>
    <w:p>
      <w:pPr>
        <w:spacing w:after="140" w:line="300"/>
        <w:jc w:val="both"/>
      </w:pPr>
      <w:r>
        <w:rPr>
          <w:rFonts w:ascii="Cambria" w:cs="Cambria" w:eastAsia="Cambria" w:hAnsi="Cambria"/>
          <w:color w:val="000000"/>
          <w:sz w:val="24"/>
          <w:szCs w:val="24"/>
        </w:rPr>
        <w:t xml:space="preserve">Status: Largely Completed.</w:t>
      </w:r>
    </w:p>
    <w:p>
      <w:pPr>
        <w:spacing w:after="140" w:line="300"/>
        <w:jc w:val="both"/>
      </w:pPr>
      <w:r>
        <w:rPr>
          <w:rFonts w:ascii="Cambria" w:cs="Cambria" w:eastAsia="Cambria" w:hAnsi="Cambria"/>
          <w:color w:val="000000"/>
          <w:sz w:val="24"/>
          <w:szCs w:val="24"/>
        </w:rPr>
        <w:t xml:space="preserve">RO5 has moved from planned work to implemented capability. The consent validity interval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is now enforced by the temporal predicate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at every access request and is additionally stored on-chain in the SBT as the notBefore and expiry fields, so that temporal validity can be verified independently of the application. The consent lifecycle is implemented as an explicit state machine comprising PENDING_SIGNATURE, PENDING_TOKEN, NOT_STARTED, ACTIVE, EXPIRED and REVOKED, and revocation is enforced end-to-end: the patient’s withdrawal updates the application state and is confirmed as a revoke transaction on Sepolia in block 11,771,307, after which the contract itself reports the token as invalid and subsequent access requests are denied. What remains for the next stage is therefore the dynamic and delegated dimension of lifecycle trust, such as consent modification, delegation and guardian-set changes, rather than temporal enforcement itself.</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(79)</w:t>
      </w:r>
    </w:p>
    <w:p>
      <w:pPr>
        <w:spacing w:after="140" w:line="300"/>
        <w:jc w:val="both"/>
      </w:pPr>
      <w:r>
        <w:rPr>
          <w:rFonts w:ascii="Cambria" w:cs="Cambria" w:eastAsia="Cambria" w:hAnsi="Cambria"/>
          <w:color w:val="000000"/>
          <w:sz w:val="24"/>
          <w:szCs w:val="24"/>
        </w:rPr>
        <w:t xml:space="preserve">The next stage will extend the implemented lifecycle mechanism towards consent modification, delegation, and guardian-set changes, and will formalise the state-transition model so that unauthorised lifecycle transitions can be excluded by construction.</w:t>
      </w:r>
    </w:p>
    <w:p>
      <w:pPr>
        <w:pStyle w:val="Heading2"/>
        <w:spacing w:after="160" w:before="280"/>
      </w:pPr>
      <w:r>
        <w:t xml:space="preserve">7.6  Progress of RO6: Security Assurance and Validation</w:t>
      </w:r>
    </w:p>
    <w:p>
      <w:pPr>
        <w:spacing w:after="140" w:line="300"/>
        <w:jc w:val="both"/>
      </w:pPr>
      <w:r>
        <w:rPr>
          <w:rFonts w:ascii="Cambria" w:cs="Cambria" w:eastAsia="Cambria" w:hAnsi="Cambria"/>
          <w:sz w:val="24"/>
          <w:szCs w:val="24"/>
        </w:rPr>
        <w:t xml:space="preserve">Status: Partially Completed </w:t>
      </w:r>
      <w:r>
        <w:rPr>
          <w:rFonts w:ascii="Cambria" w:cs="Cambria" w:eastAsia="Cambria" w:hAnsi="Cambria"/>
          <w:color w:val="000000"/>
          <w:sz w:val="24"/>
          <w:szCs w:val="24"/>
        </w:rPr>
        <w:t xml:space="preserve">(empirical validation complete; formal assurance outstanding)</w:t>
      </w:r>
    </w:p>
    <w:p>
      <w:pPr>
        <w:spacing w:after="140" w:line="300"/>
        <w:jc w:val="both"/>
      </w:pPr>
      <w:r>
        <w:rPr>
          <w:rFonts w:ascii="Cambria" w:cs="Cambria" w:eastAsia="Cambria" w:hAnsi="Cambria"/>
          <w:sz w:val="24"/>
          <w:szCs w:val="24"/>
        </w:rPr>
        <w:t xml:space="preserve">RO6 is partially completed through the implementation and initial scenario-based validation of the HALAH prototype. 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DENY, otherwise.</w:t>
      </w:r>
      <w:r>
        <w:rPr>
          <w:rFonts w:ascii="Cambria" w:cs="Cambria" w:eastAsia="Cambria" w:hAnsi="Cambria"/>
          <w:sz w:val="22"/>
          <w:szCs w:val="22"/>
        </w:rPr>
        <w:t xml:space="preserve">	(80)</w:t>
      </w:r>
    </w:p>
    <w:p>
      <w:pPr>
        <w:spacing w:after="140" w:line="300"/>
        <w:jc w:val="both"/>
      </w:pPr>
      <w:r>
        <w:rPr>
          <w:rFonts w:ascii="Cambria" w:cs="Cambria" w:eastAsia="Cambria" w:hAnsi="Cambria"/>
          <w:color w:val="000000"/>
          <w:sz w:val="24"/>
          <w:szCs w:val="24"/>
        </w:rPr>
        <w:t xml:space="preserve">Empirical validation now covers all six trust dimensions. A suite of 23 automated tests exercises per-dimension failures of the decision matrix, rejection of invalid EIP-712 guardian signatures, and tampered or expired zero-knowledge proofs. Live validation on the Sepolia testnet includes a negative demonstration in which a request declaring jurisdiction SA against a consent issued for AU is denied with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named as the failed check, and a revocation scenario in which the same consent, once revoked on-chain, is subsequently denied through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Furthermore, an independent verification tool re-checks every ledger transaction hash against Sepolia receipts and reads each token back from the contract, reporting ALL CHECKS PASSED, and every granted access is accompanied by a real Groth16 proof generated and verified at request time. The implemented decision rule is Decision(C, R, t) = ALLOW iff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Formal security analysis and a systematic performance study remain for the next stage.</w:t>
      </w:r>
    </w:p>
    <w:p>
      <w:pPr>
        <w:spacing w:after="140" w:line="300"/>
        <w:jc w:val="both"/>
      </w:pPr>
      <w:r>
        <w:rPr>
          <w:rFonts w:ascii="Cambria" w:cs="Cambria" w:eastAsia="Cambria" w:hAnsi="Cambria"/>
          <w:sz w:val="24"/>
          <w:szCs w:val="24"/>
        </w:rPr>
        <w:t xml:space="preserve">At the current stage, the experimental evidence primarily demonstrates the consistency between the implemented consent, identity, and multi-party authorisation mechanisms and their corresponding research questions.</w:t>
      </w:r>
    </w:p>
    <w:p>
      <w:pPr>
        <w:spacing w:after="140" w:line="300"/>
        <w:jc w:val="both"/>
      </w:pPr>
      <w:r>
        <w:rPr>
          <w:rFonts w:ascii="Cambria" w:cs="Cambria" w:eastAsia="Cambria" w:hAnsi="Cambria"/>
          <w:color w:val="000000"/>
          <w:sz w:val="24"/>
          <w:szCs w:val="24"/>
        </w:rPr>
        <w:t xml:space="preserve">Policy-violation scenarios, temporal expiration, revocation and invalid lifecycle transitions have now been demonstrated empirically, both in the automated test suite and in the live Sepolia deployment. The remaining work for the next stage is therefore considerably narrower: formal definition and verification of the security properties, a systematic performance and overhead study, and the removal of prototype limitations such as the N-of-N approval rule, server-derived guardian keys and the unauthenticated requester role.</w:t>
      </w:r>
    </w:p>
    <w:p>
      <w:pPr>
        <w:pStyle w:val="Heading1"/>
        <w:pageBreakBefore/>
        <w:spacing w:after="160" w:before="400"/>
      </w:pPr>
      <w:r>
        <w:t xml:space="preserve">8  Publications Summary</w:t>
      </w:r>
    </w:p>
    <w:p>
      <w:pPr>
        <w:spacing w:after="140" w:line="300"/>
        <w:jc w:val="both"/>
      </w:pPr>
      <w:r>
        <w:rPr>
          <w:rFonts w:ascii="Cambria" w:cs="Cambria" w:eastAsia="Cambria" w:hAnsi="Cambria"/>
          <w:sz w:val="24"/>
          <w:szCs w:val="24"/>
        </w:rPr>
        <w:t xml:space="preserve">The publication activities associated with this research are organised according to their current development status and their structural contribution to the thesis chapters and research questions.</w:t>
      </w:r>
    </w:p>
    <w:p>
      <w:pPr>
        <w:keepNext/>
        <w:spacing w:after="80" w:before="160"/>
        <w:jc w:val="center"/>
      </w:pPr>
      <w:r>
        <w:rPr>
          <w:rFonts w:ascii="Cambria" w:cs="Cambria" w:eastAsia="Cambria" w:hAnsi="Cambria"/>
          <w:b/>
          <w:bCs/>
          <w:sz w:val="21"/>
          <w:szCs w:val="21"/>
        </w:rPr>
        <w:t xml:space="preserve">Table 7: </w:t>
      </w:r>
      <w:r>
        <w:rPr>
          <w:rFonts w:ascii="Cambria" w:cs="Cambria" w:eastAsia="Cambria" w:hAnsi="Cambria"/>
          <w:sz w:val="21"/>
          <w:szCs w:val="21"/>
        </w:rPr>
        <w:t xml:space="preserve">Summary of Research Outputs and Publication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Output / Topic</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Target Venue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Current Status</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 Alignment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Trust-Centric Consent Framework
Model architecture and multi-party authorisation policies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Elsevier/IEEE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Almost Ready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Core architectural contribution; addresses RQ1-RQ4 (Chapters 3-4).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HALAH Prototype &amp; Validation
</w:t>
            </w:r>
            <w:r>
              <w:rPr>
                <w:rFonts w:ascii="Cambria" w:cs="Cambria" w:eastAsia="Cambria" w:hAnsi="Cambria"/>
                <w:b w:val="false"/>
                <w:bCs w:val="false"/>
                <w:color w:val="000000"/>
                <w:sz w:val="19"/>
                <w:szCs w:val="19"/>
              </w:rPr>
              <w:t xml:space="preserve">The decentralised implementation and the scenario-based validation are complete on the Sepolia public testnet; the performance evaluation remains outstanding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Systems / Security Conference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 Progress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validation platform; addresses implementation and validation; </w:t>
            </w:r>
            <w:r>
              <w:rPr>
                <w:rFonts w:ascii="Cambria" w:cs="Cambria" w:eastAsia="Cambria" w:hAnsi="Cambria"/>
                <w:b w:val="false"/>
                <w:bCs w:val="false"/>
                <w:color w:val="000000"/>
                <w:sz w:val="19"/>
                <w:szCs w:val="19"/>
              </w:rPr>
              <w:t xml:space="preserve">the paper's empirical section can now draw upon the deployed contract, the two minted tokens and the verified transaction trail as delivered evidence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&amp; Lifecycle Analysis
Verification of temporal constraints and state transitions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Specialised</w:t>
            </w:r>
            <w:r>
              <w:rPr>
                <w:rFonts w:ascii="Cambria" w:cs="Cambria" w:eastAsia="Cambria" w:hAnsi="Cambria"/>
                <w:b w:val="false"/>
                <w:bCs w:val="false"/>
                <w:sz w:val="19"/>
                <w:szCs w:val="19"/>
              </w:rPr>
              <w:t xml:space="preserve"> Workshop / Journal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Planned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Next stage research extension; addresses formal security assurance (Chapter 6).</w:t>
            </w:r>
          </w:p>
        </w:tc>
      </w:tr>
    </w:tbl>
    <w:p>
      <w:pPr>
        <w:spacing w:after="180"/>
      </w:pPr>
    </w:p>
    <w:p>
      <w:pPr>
        <w:spacing w:after="140" w:line="300"/>
        <w:jc w:val="both"/>
      </w:pPr>
      <w:r>
        <w:rPr>
          <w:rFonts w:ascii="Cambria" w:cs="Cambria" w:eastAsia="Cambria" w:hAnsi="Cambria"/>
          <w:sz w:val="24"/>
          <w:szCs w:val="24"/>
        </w:rP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p>
      <w:pPr>
        <w:pStyle w:val="Heading1"/>
        <w:pageBreakBefore/>
        <w:spacing w:after="160" w:before="400"/>
      </w:pPr>
      <w:r>
        <w:t xml:space="preserve">9  Research Plan</w:t>
      </w:r>
    </w:p>
    <w:p>
      <w:pPr>
        <w:spacing w:after="140" w:line="300"/>
        <w:jc w:val="both"/>
      </w:pPr>
      <w:r>
        <w:rPr>
          <w:rFonts w:ascii="Cambria" w:cs="Cambria" w:eastAsia="Cambria" w:hAnsi="Cambria"/>
          <w:sz w:val="24"/>
          <w:szCs w:val="24"/>
        </w:rPr>
        <w:t xml:space="preserve">The research plan is divided into two major stages corresponding to current and next stage.</w:t>
      </w:r>
    </w:p>
    <w:p>
      <w:pPr>
        <w:pStyle w:val="Heading2"/>
        <w:spacing w:after="160" w:before="280"/>
      </w:pPr>
      <w:r>
        <w:t xml:space="preserve">9.1  Current Stage: Completed and Current Work</w:t>
      </w:r>
    </w:p>
    <w:p>
      <w:pPr>
        <w:spacing w:after="140" w:line="300"/>
        <w:jc w:val="both"/>
      </w:pPr>
      <w:r>
        <w:rPr>
          <w:rFonts w:ascii="Cambria" w:cs="Cambria" w:eastAsia="Cambria" w:hAnsi="Cambria"/>
          <w:color w:val="000000"/>
          <w:sz w:val="24"/>
          <w:szCs w:val="24"/>
        </w:rPr>
        <w:t xml:space="preserve">RO1 to RO4 have been implemented and validated in the HALAH prototype, and RO5 is largely complete. The delivered evidence includes the ConsentSBTv3 contract deployed and source-verified on Sepolia at 0x0EC3617581DEC63A7f2bb162DC14d088916ADc73, with the evaluated consent minted as token #1 in block 11,771,243, revoked on-chain in block 11,771,307, and an independently reproduced lifecycle minted as token #2 in block 11,771,581. Each transaction hash is recorded in the audit ledger and is publicly inspectable on Etherscan.</w:t>
      </w:r>
    </w:p>
    <w:p>
      <w:pPr>
        <w:spacing w:after="140" w:line="300"/>
        <w:jc w:val="both"/>
      </w:pPr>
      <w:r>
        <w:rPr>
          <w:rFonts w:ascii="Cambria" w:cs="Cambria" w:eastAsia="Cambria" w:hAnsi="Cambria"/>
          <w:sz w:val="24"/>
          <w:szCs w:val="24"/>
        </w:rP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pStyle w:val="Heading2"/>
        <w:spacing w:after="160" w:before="280"/>
      </w:pPr>
      <w:r>
        <w:t xml:space="preserve">9.2  Next Stage: Planned Work</w:t>
      </w:r>
    </w:p>
    <w:p>
      <w:pPr>
        <w:spacing w:after="140" w:line="300"/>
        <w:jc w:val="both"/>
      </w:pPr>
      <w:r>
        <w:rPr>
          <w:rFonts w:ascii="Cambria" w:cs="Cambria" w:eastAsia="Cambria" w:hAnsi="Cambria"/>
          <w:color w:val="000000"/>
          <w:sz w:val="24"/>
          <w:szCs w:val="24"/>
        </w:rPr>
        <w:t xml:space="preserve">Temporal and lifecycle trust, originally planned for the next stage, has been brought forward and implemented: validity windows are enforced and anchored on-chain, revocation is effective at the contract level, and lifecycle transitions are governed by an explicit state machine. Consequently, the next stage concentrates on two remaining foci: formal security assurance and comprehensive empirical validation, including performance measurement.</w:t>
      </w:r>
    </w:p>
    <w:p>
      <w:pPr>
        <w:spacing w:after="140" w:line="300"/>
        <w:jc w:val="both"/>
      </w:pPr>
      <w:r>
        <w:rPr>
          <w:rFonts w:ascii="Cambria" w:cs="Cambria" w:eastAsia="Cambria" w:hAnsi="Cambria"/>
          <w:sz w:val="24"/>
          <w:szCs w:val="24"/>
        </w:rPr>
        <w:t xml:space="preserve">The next stage will build upon the foundational trust-oriented authorisation framework established during current stage and extend the research towards dynamic consent governance, formal security assurance,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first</w:t>
      </w:r>
      <w:r>
        <w:rPr>
          <w:rFonts w:ascii="Cambria" w:cs="Cambria" w:eastAsia="Cambria" w:hAnsi="Cambria"/>
          <w:sz w:val="24"/>
          <w:szCs w:val="24"/>
        </w:rPr>
        <w:t xml:space="preserve"> focus is formal security assurance. The current stage framework establishes the conceptual relationship between identity verification, collective authorisation, and policy enforcement. </w:t>
      </w:r>
      <w:r>
        <w:rPr>
          <w:rFonts w:ascii="Cambria" w:cs="Cambria" w:eastAsia="Cambria" w:hAnsi="Cambria"/>
          <w:color w:val="000000"/>
          <w:sz w:val="24"/>
          <w:szCs w:val="24"/>
        </w:rPr>
        <w:t xml:space="preserve">The next</w:t>
      </w:r>
      <w:r>
        <w:rPr>
          <w:rFonts w:ascii="Cambria" w:cs="Cambria" w:eastAsia="Cambria" w:hAnsi="Cambria"/>
          <w:sz w:val="24"/>
          <w:szCs w:val="24"/>
        </w:rPr>
        <w:t xml:space="preserve">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second</w:t>
      </w:r>
      <w:r>
        <w:rPr>
          <w:rFonts w:ascii="Cambria" w:cs="Cambria" w:eastAsia="Cambria" w:hAnsi="Cambria"/>
          <w:sz w:val="24"/>
          <w:szCs w:val="24"/>
        </w:rPr>
        <w:t xml:space="preserve"> focus is comprehensive empirical validation. The HALAH prototype provides the experimental environment for evaluating the proposed framework using synthetic healthcare data and representative multi-party consent scenarios. Next stage will extend the current prototype-based evaluation to include both successful and adversarial access requests. The experiments will examine whether the implementation consistently produces an ALLOW decision only when the required trust conditions are satisfied and produces a DENY 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8.</w:t>
      </w:r>
    </w:p>
    <w:p>
      <w:pPr>
        <w:keepNext/>
        <w:spacing w:after="80" w:before="160"/>
        <w:jc w:val="center"/>
      </w:pPr>
      <w:r>
        <w:rPr>
          <w:rFonts w:ascii="Cambria" w:cs="Cambria" w:eastAsia="Cambria" w:hAnsi="Cambria"/>
          <w:b/>
          <w:bCs/>
          <w:sz w:val="21"/>
          <w:szCs w:val="21"/>
        </w:rPr>
        <w:t xml:space="preserve">Table 8: </w:t>
      </w:r>
      <w:r>
        <w:rPr>
          <w:rFonts w:ascii="Cambria" w:cs="Cambria" w:eastAsia="Cambria" w:hAnsi="Cambria"/>
          <w:sz w:val="21"/>
          <w:szCs w:val="21"/>
        </w:rPr>
        <w:t xml:space="preserve">Next Stage Research Activities, Methodological Focus, and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Planned Activities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Outcome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Consent Modification, Delegation and Lifecycle Extensions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consent model to incorporate validity periods, dynamic expiration, immediate revocation, and controlled lifecycle transitions. Evaluate access decisions under varying temporal and consent-state constraints.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robust, dynamic consent management mechanism capable of validating whether an authorisation remains active at the precise point of access.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Assurance
(Properties &amp; Verification)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rigorous formal security model and verification proof establishing explicit security guarantees for the trust-oriented authorisation framework.</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Comprehensive Empirical Validation
(HALAH Prototype Scenarios)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Scale and extend HALAH prototype experiments using representative positive and negative healthcare data-sharing scenarios. Measure and compare observed system runtime performance, overhead, and enforcement accuracy.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evidence and benchmark datasets demonstrating that the implementation consistently and efficiently enforces the proposed authorisation model.</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Framework Evaluation
(Synthesis &amp; End-to-End)</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 temporal, lifecycle, formal verification, and empirical modules into a unified, cohesive framework. Evaluate cross-component interactions, scalability bottlenecks, and end-to-end feasibility in real-world settings.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fully integrated, validated </w:t>
            </w:r>
            <w:r>
              <w:rPr>
                <w:rFonts w:ascii="Cambria" w:cs="Cambria" w:eastAsia="Cambria" w:hAnsi="Cambria"/>
                <w:b w:val="false"/>
                <w:bCs w:val="false"/>
                <w:color w:val="000000"/>
                <w:sz w:val="19"/>
                <w:szCs w:val="19"/>
              </w:rPr>
              <w:t xml:space="preserve">trust-oriented authorisation framework</w:t>
            </w:r>
            <w:r>
              <w:rPr>
                <w:rFonts w:ascii="Cambria" w:cs="Cambria" w:eastAsia="Cambria" w:hAnsi="Cambria"/>
                <w:b w:val="false"/>
                <w:bCs w:val="false"/>
                <w:sz w:val="19"/>
                <w:szCs w:val="19"/>
              </w:rPr>
              <w:t xml:space="preserve"> providing secure, multi-party patient consent and decentralised healthcare data sharing.</w:t>
            </w:r>
          </w:p>
        </w:tc>
      </w:tr>
    </w:tbl>
    <w:p>
      <w:pPr>
        <w:spacing w:after="180"/>
      </w:pPr>
    </w:p>
    <w:p>
      <w:pPr>
        <w:spacing w:after="140" w:line="300"/>
        <w:jc w:val="both"/>
      </w:pPr>
      <w:r>
        <w:rPr>
          <w:rFonts w:ascii="Cambria" w:cs="Cambria" w:eastAsia="Cambria" w:hAnsi="Cambria"/>
          <w:color w:val="000000"/>
          <w:sz w:val="24"/>
          <w:szCs w:val="24"/>
        </w:rPr>
        <w:t xml:space="preserve">Temporal and Lifecycle Trust — Completed (on-chain notBefore and expiry fields; revoke transaction confirmed in block 11,771,307; explicit lifecycle state machine). Comprehensive Empirical Validation — Partially delivered (23 automated tests; live jurisdiction denial and revocation-then-denial on Sepolia; independent chain verification reporting ALL CHECKS PASSED), with performance and overhead measurement remaining.</w:t>
      </w:r>
    </w:p>
    <w:p>
      <w:pPr>
        <w:spacing w:after="140" w:line="300"/>
        <w:jc w:val="both"/>
      </w:pPr>
      <w:r>
        <w:rPr>
          <w:rFonts w:ascii="Cambria" w:cs="Cambria" w:eastAsia="Cambria" w:hAnsi="Cambria"/>
          <w:sz w:val="24"/>
          <w:szCs w:val="24"/>
        </w:rPr>
        <w:t xml:space="preserve">An important analytical objective of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spacing w:after="140" w:line="300"/>
        <w:jc w:val="both"/>
      </w:pPr>
      <w:r>
        <w:rPr>
          <w:rFonts w:ascii="Cambria" w:cs="Cambria" w:eastAsia="Cambria" w:hAnsi="Cambria"/>
          <w:sz w:val="24"/>
          <w:szCs w:val="24"/>
        </w:rPr>
        <w:t xml:space="preserve">The complete authorisation model developed across current stage and </w:t>
      </w:r>
      <w:r>
        <w:rPr>
          <w:rFonts w:ascii="Cambria" w:cs="Cambria" w:eastAsia="Cambria" w:hAnsi="Cambria"/>
          <w:color w:val="000000"/>
          <w:sz w:val="24"/>
          <w:szCs w:val="24"/>
        </w:rPr>
        <w:t xml:space="preserve">the</w:t>
      </w:r>
      <w:r>
        <w:rPr>
          <w:rFonts w:ascii="Cambria" w:cs="Cambria" w:eastAsia="Cambria" w:hAnsi="Cambria"/>
          <w:sz w:val="24"/>
          <w:szCs w:val="24"/>
        </w:rPr>
        <w:t xml:space="preserve"> next stage will therefore be evaluated as a conjunction of independently verifiable conditions. Conceptually, the final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w:t>
      </w:r>
      <w:r>
        <w:rPr>
          <w:rFonts w:ascii="Cambria" w:cs="Cambria" w:eastAsia="Cambria" w:hAnsi="Cambria"/>
          <w:sz w:val="22"/>
          <w:szCs w:val="22"/>
        </w:rPr>
        <w:t xml:space="preserve">	(81)</w:t>
      </w:r>
    </w:p>
    <w:p>
      <w:pPr>
        <w:spacing w:after="140" w:line="300"/>
        <w:jc w:val="both"/>
      </w:pPr>
      <w:r>
        <w:rPr>
          <w:rFonts w:ascii="Cambria" w:cs="Cambria" w:eastAsia="Cambria" w:hAnsi="Cambria"/>
          <w:sz w:val="24"/>
          <w:szCs w:val="24"/>
        </w:rP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spacing w:after="140" w:line="300"/>
        <w:jc w:val="both"/>
      </w:pPr>
      <w:r>
        <w:rPr>
          <w:rFonts w:ascii="Cambria" w:cs="Cambria" w:eastAsia="Cambria" w:hAnsi="Cambria"/>
          <w:sz w:val="24"/>
          <w:szCs w:val="24"/>
        </w:rPr>
        <w:t xml:space="preserve">From a research perspective, this represents an important transition from static consent management to dynamic trustworthy authorisation. The objective is not to add a collection of independent security mechanisms, but to investigate how these mechanisms jointly contribute to the establishment, maintenance, and verification of trust throughout the consent lifecycle.</w:t>
      </w:r>
    </w:p>
    <w:p>
      <w:pPr>
        <w:spacing w:after="140" w:line="300"/>
        <w:jc w:val="both"/>
      </w:pPr>
      <w:r>
        <w:rPr>
          <w:rFonts w:ascii="Cambria" w:cs="Cambria" w:eastAsia="Cambria" w:hAnsi="Cambria"/>
          <w:sz w:val="24"/>
          <w:szCs w:val="24"/>
        </w:rPr>
        <w:t xml:space="preserve">By the completion of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spacing w:after="140" w:line="300"/>
        <w:jc w:val="both"/>
      </w:pPr>
      <w:r>
        <w:rPr>
          <w:rFonts w:ascii="Cambria" w:cs="Cambria" w:eastAsia="Cambria" w:hAnsi="Cambria"/>
          <w:sz w:val="24"/>
          <w:szCs w:val="24"/>
        </w:rPr>
        <w:t xml:space="preserve">Consequently, </w:t>
      </w:r>
      <w:r>
        <w:rPr>
          <w:rFonts w:ascii="Cambria" w:cs="Cambria" w:eastAsia="Cambria" w:hAnsi="Cambria"/>
          <w:color w:val="000000"/>
          <w:sz w:val="24"/>
          <w:szCs w:val="24"/>
        </w:rPr>
        <w:t xml:space="preserve">next stage will</w:t>
      </w:r>
      <w:r>
        <w:rPr>
          <w:rFonts w:ascii="Cambria" w:cs="Cambria" w:eastAsia="Cambria" w:hAnsi="Cambria"/>
          <w:sz w:val="24"/>
          <w:szCs w:val="24"/>
        </w:rPr>
        <w:t xml:space="preserve"> complete the transition from the foundational authorisation mechanisms established in current stage to a dynamically managed, formally reasoned, and empirically validated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The final contribution will be assessed not simply by whether consent can be recorded or whether access can be granted, but by whether the system can provide a defensible basis for determining why an access decision should be trusted and when that trust should no longer apply.</w:t>
      </w:r>
    </w:p>
    <w:p>
      <w:pPr>
        <w:pStyle w:val="Heading1"/>
        <w:pageBreakBefore/>
        <w:spacing w:after="160" w:before="400"/>
      </w:pPr>
      <w:r>
        <w:t xml:space="preserve">Appendix A — Traceability to the Implemented System</w:t>
      </w:r>
    </w:p>
    <w:p>
      <w:pPr>
        <w:spacing w:after="140" w:line="300"/>
        <w:jc w:val="both"/>
      </w:pPr>
      <w:r>
        <w:rPr>
          <w:rFonts w:ascii="Cambria" w:cs="Cambria" w:eastAsia="Cambria" w:hAnsi="Cambria"/>
          <w:color w:val="000000"/>
          <w:sz w:val="24"/>
          <w:szCs w:val="24"/>
        </w:rPr>
        <w:t xml:space="preserve">Table 10 summarises how each formal artefact of this report is realised in the implemented HALAH subsystem presented in Section 6.8, and which publicly verifiable evidence supports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2900"/>
        <w:gridCol w:w="2510"/>
      </w:tblGrid>
      <w:tr>
        <w:trPr>
          <w:tblHeader/>
        </w:trPr>
        <w:tc>
          <w:tcPr>
            <w:tcW w:type="dxa" w:w="26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Research artefact</w:t>
            </w:r>
          </w:p>
        </w:tc>
        <w:tc>
          <w:tcPr>
            <w:tcW w:type="dxa" w:w="13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Defined in</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Realised by (implementation)</w:t>
            </w:r>
          </w:p>
        </w:tc>
        <w:tc>
          <w:tcPr>
            <w:tcW w:type="dxa" w:w="251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Publicly verifiable evidence</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RO1 / RQ1 — Consent object, Eq. (51), Algorithm 1</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§6.1</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Patient subsystem: consent creation; state PENDING_SIGNATURE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 f050c29a and 04da25f5 in the exported audit ledger</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RO2 / RQ2 — DID and VC verification, Algorithm 2</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§6.2</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subsystem: EIP-712 typed-data signatures, off-chain signer recovery per guardian DID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Verified signer 0x3Af549b0… recorded per SIGN_CONSENT event</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RO3 / RQ3 — Threshold authorisation, Eq. (54), Algorithm 3</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§6.3</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2-of-2 ceremony with N = |G|; SBT minted on threshold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 tx 0x8be1b99e…daf13d, block 11,771,243, token #1</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Decision rule and trust predicates, Eq. (59), Figure 8</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§5.2, §6.6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Doctor subsystem: five-verdict decision matrix, ALLOW / DENY with failed-check listing</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GRANTED and DENIED DATA_ACCESS events; SA-jurisdiction denial</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Lifecycle trust (RO5 direction)</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§6.5</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Six-state lifecycle with on-chain revocation (Section 6.8.6)</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 tx 0x017efb9d…dceaa, block 11,771,307</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Empirical assurance (RO6, empirical half)</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Auditor subsystem and the independent verifier re-checking every transaction receipt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60-event ledger; RESULT: ALL CHECKS PASSED; token #2, block 11,771,581</w:t>
            </w:r>
          </w:p>
        </w:tc>
      </w:tr>
    </w:tbl>
    <w:p>
      <w:pPr>
        <w:spacing w:before="60"/>
        <w:jc w:val="center"/>
      </w:pPr>
      <w:r>
        <w:rPr>
          <w:rFonts w:ascii="Cambria" w:cs="Cambria" w:eastAsia="Cambria" w:hAnsi="Cambria"/>
          <w:i/>
          <w:iCs/>
          <w:color w:val="000000"/>
          <w:sz w:val="19"/>
          <w:szCs w:val="19"/>
        </w:rPr>
        <w:t xml:space="preserve">Table 10: Traceability from the formal artefacts of this report to the implemented mechanisms and their on-chain evidence.</w:t>
      </w:r>
    </w:p>
    <w:p>
      <w:pPr>
        <w:pStyle w:val="Heading1"/>
        <w:pageBreakBefore/>
        <w:spacing w:after="160" w:before="400"/>
      </w:pPr>
      <w:r>
        <w:t xml:space="preserve">References</w:t>
      </w:r>
    </w:p>
    <w:p>
      <w:pPr>
        <w:spacing w:after="140" w:line="300"/>
        <w:jc w:val="both"/>
      </w:pPr>
      <w:r>
        <w:rPr>
          <w:rFonts w:ascii="Cambria" w:cs="Cambria" w:eastAsia="Cambria" w:hAnsi="Cambria"/>
          <w:sz w:val="24"/>
          <w:szCs w:val="24"/>
        </w:rPr>
        <w:t xml:space="preserve">[1] Abdullah Al Mamun, Sami Azam, and Clementine Gritti. Blockchain-based electronic health records management: a comprehensive review and future research direction. IEEE Access, 10:5768–5789, 2022.</w:t>
      </w:r>
    </w:p>
    <w:p>
      <w:pPr>
        <w:spacing w:after="140" w:line="300"/>
        <w:jc w:val="both"/>
      </w:pPr>
      <w:r>
        <w:rPr>
          <w:rFonts w:ascii="Cambria" w:cs="Cambria" w:eastAsia="Cambria" w:hAnsi="Cambria"/>
          <w:sz w:val="24"/>
          <w:szCs w:val="24"/>
        </w:rPr>
        <w:t xml:space="preserve">[2] J Andrew, Deva Priya Isravel, K Martin Sagayam, Bharat Bhushan, Yuichi Sei, and Jennifer Eunice. Blockchain for healthcare systems: Architecture, security challenges, trends and future directions. Journal of Network and Computer Applications, 215:103633, 2023.</w:t>
      </w:r>
    </w:p>
    <w:p>
      <w:pPr>
        <w:spacing w:after="140" w:line="300"/>
        <w:jc w:val="both"/>
      </w:pPr>
      <w:r>
        <w:rPr>
          <w:rFonts w:ascii="Cambria" w:cs="Cambria" w:eastAsia="Cambria" w:hAnsi="Cambria"/>
          <w:sz w:val="24"/>
          <w:szCs w:val="24"/>
        </w:rPr>
        <w:t xml:space="preserve">[3] Mohammad Salar Arbabi, Chhagan Lal, Narasimha Raghavan Veeraragavan, Dusica Marijan, Jan F Nygård, and Roman Vitenberg. A survey on blockchain for healthcare: Challenges, benefits, and future directions. </w:t>
      </w:r>
      <w:r>
        <w:rPr>
          <w:rFonts w:ascii="Cambria" w:cs="Cambria" w:eastAsia="Cambria" w:hAnsi="Cambria"/>
          <w:b w:val="false"/>
          <w:bCs w:val="false"/>
          <w:sz w:val="24"/>
          <w:szCs w:val="24"/>
        </w:rPr>
        <w:t xml:space="preserve">IEEE Communications Surveys &amp; Tutorials</w:t>
      </w:r>
      <w:r>
        <w:rPr>
          <w:rFonts w:ascii="Cambria" w:cs="Cambria" w:eastAsia="Cambria" w:hAnsi="Cambria"/>
          <w:sz w:val="24"/>
          <w:szCs w:val="24"/>
        </w:rPr>
        <w:t xml:space="preserve">, 25(1):386–424,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[4] Haotian Deng, Jinwen Liang, Chuan Zhang, Ximeng Liu, Liehuang Zhu, and Song Guo. </w:t>
      </w:r>
      <w:r>
        <w:rPr>
          <w:rFonts w:ascii="Cambria" w:cs="Cambria" w:eastAsia="Cambria" w:hAnsi="Cambria"/>
          <w:color w:val="000000"/>
          <w:sz w:val="24"/>
          <w:szCs w:val="24"/>
        </w:rPr>
        <w:t xml:space="preserve">FutureDID</w:t>
      </w:r>
      <w:r>
        <w:rPr>
          <w:rFonts w:ascii="Cambria" w:cs="Cambria" w:eastAsia="Cambria" w:hAnsi="Cambria"/>
          <w:sz w:val="24"/>
          <w:szCs w:val="24"/>
        </w:rPr>
        <w:t xml:space="preserve">: A fully decentralized identity system with multi-party verification. IEEE Transactions on Computers, 73(8):2051–2065, 2024.</w:t>
      </w:r>
    </w:p>
    <w:p>
      <w:pPr>
        <w:spacing w:after="140" w:line="300"/>
        <w:jc w:val="both"/>
      </w:pPr>
      <w:r>
        <w:rPr>
          <w:rFonts w:ascii="Cambria" w:cs="Cambria" w:eastAsia="Cambria" w:hAnsi="Cambria"/>
          <w:sz w:val="24"/>
          <w:szCs w:val="24"/>
        </w:rPr>
        <w:t xml:space="preserve">[5] Andrea Flamini, Giada Sciarretta, Mario Scuro, Amir Sharif, Alessandro Tomasi, and Silvio Ranise. On cryptographic mechanisms for the selective disclosure of verifiable credentials. Journal of Information Security and Applications, 83:103789, 2024.</w:t>
      </w:r>
    </w:p>
    <w:p>
      <w:pPr>
        <w:spacing w:after="140" w:line="300"/>
        <w:jc w:val="both"/>
      </w:pPr>
      <w:r>
        <w:rPr>
          <w:rFonts w:ascii="Cambria" w:cs="Cambria" w:eastAsia="Cambria" w:hAnsi="Cambria"/>
          <w:sz w:val="24"/>
          <w:szCs w:val="24"/>
        </w:rPr>
        <w:t xml:space="preserve">[6] Abdul Ghafoor, Iraklis Symeonidis, Anna Rydberg, Cecilia Lindahl, and Abdul Qadus Abbasi. Towards empowering stakeholders through decentralized trust and secure livestock data sharing. Cryptography, 9(3):52, 2025.</w:t>
      </w:r>
    </w:p>
    <w:p>
      <w:pPr>
        <w:spacing w:after="140" w:line="300"/>
        <w:jc w:val="both"/>
      </w:pPr>
      <w:r>
        <w:rPr>
          <w:rFonts w:ascii="Cambria" w:cs="Cambria" w:eastAsia="Cambria" w:hAnsi="Cambria"/>
          <w:sz w:val="24"/>
          <w:szCs w:val="24"/>
        </w:rPr>
        <w:t xml:space="preserve">[7] Pranto Kumar Ghosh, Arindom Chakraborty, Mehedi Hasan, Khalid Rashid, and Abdul Hasib Siddique. Blockchain application in healthcare systems: a review. Systems, 11(1):38, 2023.</w:t>
      </w:r>
    </w:p>
    <w:p>
      <w:pPr>
        <w:spacing w:after="140" w:line="300"/>
        <w:jc w:val="both"/>
      </w:pPr>
      <w:r>
        <w:rPr>
          <w:rFonts w:ascii="Cambria" w:cs="Cambria" w:eastAsia="Cambria" w:hAnsi="Cambria"/>
          <w:sz w:val="24"/>
          <w:szCs w:val="24"/>
        </w:rPr>
        <w:t xml:space="preserve">[8] Remy Hellstern, Daniel C Park, Victoria Lemieux, and Guldana Salimjan. Leveraging blockchain-based archival solutions for sensitive documentation: A </w:t>
      </w:r>
      <w:r>
        <w:rPr>
          <w:rFonts w:ascii="Cambria" w:cs="Cambria" w:eastAsia="Cambria" w:hAnsi="Cambria"/>
          <w:b w:val="false"/>
          <w:bCs w:val="false"/>
          <w:sz w:val="24"/>
          <w:szCs w:val="24"/>
        </w:rPr>
        <w:t xml:space="preserve">Xinjiang</w:t>
      </w:r>
      <w:r>
        <w:rPr>
          <w:rFonts w:ascii="Cambria" w:cs="Cambria" w:eastAsia="Cambria" w:hAnsi="Cambria"/>
          <w:sz w:val="24"/>
          <w:szCs w:val="24"/>
        </w:rPr>
        <w:t xml:space="preserve"> case study. Digital Society, 1(1):4, 2022.</w:t>
      </w:r>
    </w:p>
    <w:p>
      <w:pPr>
        <w:spacing w:after="140" w:line="300"/>
        <w:jc w:val="both"/>
      </w:pPr>
      <w:r>
        <w:rPr>
          <w:rFonts w:ascii="Cambria" w:cs="Cambria" w:eastAsia="Cambria" w:hAnsi="Cambria"/>
          <w:sz w:val="24"/>
          <w:szCs w:val="24"/>
        </w:rP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 </w:t>
      </w:r>
      <w:r>
        <w:rPr>
          <w:rFonts w:ascii="Cambria" w:cs="Cambria" w:eastAsia="Cambria" w:hAnsi="Cambria"/>
          <w:b w:val="false"/>
          <w:bCs w:val="false"/>
          <w:sz w:val="24"/>
          <w:szCs w:val="24"/>
        </w:rPr>
        <w:t xml:space="preserve">BMC Nursing</w:t>
      </w:r>
      <w:r>
        <w:rPr>
          <w:rFonts w:ascii="Cambria" w:cs="Cambria" w:eastAsia="Cambria" w:hAnsi="Cambria"/>
          <w:sz w:val="24"/>
          <w:szCs w:val="24"/>
        </w:rPr>
        <w:t xml:space="preserve">, 23(1):564, 2024.</w:t>
      </w:r>
    </w:p>
    <w:p>
      <w:pPr>
        <w:spacing w:after="140" w:line="300"/>
        <w:jc w:val="both"/>
      </w:pPr>
      <w:r>
        <w:rPr>
          <w:rFonts w:ascii="Cambria" w:cs="Cambria" w:eastAsia="Cambria" w:hAnsi="Cambria"/>
          <w:sz w:val="24"/>
          <w:szCs w:val="24"/>
        </w:rPr>
        <w:t xml:space="preserve">[10] Vitor Jesus and Harshvardhan J Pandit. Consent receipts for a usable and auditable web of personal data. </w:t>
      </w:r>
      <w:r>
        <w:rPr>
          <w:rFonts w:ascii="Cambria" w:cs="Cambria" w:eastAsia="Cambria" w:hAnsi="Cambria"/>
          <w:b w:val="false"/>
          <w:bCs w:val="false"/>
          <w:sz w:val="24"/>
          <w:szCs w:val="24"/>
        </w:rPr>
        <w:t xml:space="preserve">IEEE Access</w:t>
      </w:r>
      <w:r>
        <w:rPr>
          <w:rFonts w:ascii="Cambria" w:cs="Cambria" w:eastAsia="Cambria" w:hAnsi="Cambria"/>
          <w:sz w:val="24"/>
          <w:szCs w:val="24"/>
        </w:rPr>
        <w:t xml:space="preserve">, 10:28545–28563, 2022.</w:t>
      </w:r>
    </w:p>
    <w:p>
      <w:pPr>
        <w:spacing w:after="140" w:line="300"/>
        <w:jc w:val="both"/>
      </w:pPr>
      <w:r>
        <w:rPr>
          <w:rFonts w:ascii="Cambria" w:cs="Cambria" w:eastAsia="Cambria" w:hAnsi="Cambria"/>
          <w:sz w:val="24"/>
          <w:szCs w:val="24"/>
        </w:rPr>
        <w:t xml:space="preserve">[11] Rong Jiang, Xue Chen, Yimin Yu, Ying Zhang, and Weiping Ding. Risk and </w:t>
      </w:r>
      <w:r>
        <w:rPr>
          <w:rFonts w:ascii="Cambria" w:cs="Cambria" w:eastAsia="Cambria" w:hAnsi="Cambria"/>
          <w:color w:val="000000"/>
          <w:sz w:val="24"/>
          <w:szCs w:val="24"/>
        </w:rPr>
        <w:t xml:space="preserve">UCON</w:t>
      </w:r>
      <w:r>
        <w:rPr>
          <w:rFonts w:ascii="Cambria" w:cs="Cambria" w:eastAsia="Cambria" w:hAnsi="Cambria"/>
          <w:sz w:val="24"/>
          <w:szCs w:val="24"/>
        </w:rPr>
        <w:t xml:space="preserve">-based access control model for healthcare big data. Journal of Big Data, 10(1):104, 2023.</w:t>
      </w:r>
    </w:p>
    <w:p>
      <w:pPr>
        <w:spacing w:after="140" w:line="300"/>
        <w:jc w:val="both"/>
      </w:pPr>
      <w:r>
        <w:rPr>
          <w:rFonts w:ascii="Cambria" w:cs="Cambria" w:eastAsia="Cambria" w:hAnsi="Cambria"/>
          <w:sz w:val="24"/>
          <w:szCs w:val="24"/>
        </w:rPr>
        <w:t xml:space="preserve">[12] Katya Kaplow, Max Downey, Darren Stewart, Allan B Massie, Jennifer D Motter, Lauren Taylor, John Massarelli, Taylor Matalon, Carolyn Sidoti, Macey L Levan, et al. Data professionals’ attitudes on data privacy, sharing, and consent in healthcare and research. </w:t>
      </w:r>
      <w:r>
        <w:rPr>
          <w:rFonts w:ascii="Cambria" w:cs="Cambria" w:eastAsia="Cambria" w:hAnsi="Cambria"/>
          <w:color w:val="000000"/>
          <w:sz w:val="24"/>
          <w:szCs w:val="24"/>
        </w:rPr>
        <w:t xml:space="preserve">Digital Health</w:t>
      </w:r>
      <w:r>
        <w:rPr>
          <w:rFonts w:ascii="Cambria" w:cs="Cambria" w:eastAsia="Cambria" w:hAnsi="Cambria"/>
          <w:sz w:val="24"/>
          <w:szCs w:val="24"/>
        </w:rPr>
        <w:t xml:space="preserve">, 10:20552076241290964, 2024.</w:t>
      </w:r>
    </w:p>
    <w:p>
      <w:pPr>
        <w:spacing w:after="140" w:line="300"/>
        <w:jc w:val="both"/>
      </w:pPr>
      <w:r>
        <w:rPr>
          <w:rFonts w:ascii="Cambria" w:cs="Cambria" w:eastAsia="Cambria" w:hAnsi="Cambria"/>
          <w:sz w:val="24"/>
          <w:szCs w:val="24"/>
        </w:rPr>
        <w:t xml:space="preserve">[13] Muhammad Irfan Khalid, Mansoor Ahmed, Markus Helfert, and Jungsuk Kim. Privacy-first paradigm for dynamic consent management systems: empowering data subjects through decentralized data controllers and privacy-preserving techniques. Electronics, 12(24):4973, 2023.</w:t>
      </w:r>
    </w:p>
    <w:p>
      <w:pPr>
        <w:spacing w:after="140" w:line="300"/>
        <w:jc w:val="both"/>
      </w:pPr>
      <w:r>
        <w:rPr>
          <w:rFonts w:ascii="Cambria" w:cs="Cambria" w:eastAsia="Cambria" w:hAnsi="Cambria"/>
          <w:sz w:val="24"/>
          <w:szCs w:val="24"/>
        </w:rPr>
        <w:t xml:space="preserve">[14] Alexander Kharlamov, Roland Hohmann, and </w:t>
      </w:r>
      <w:r>
        <w:rPr>
          <w:rFonts w:ascii="Cambria" w:cs="Cambria" w:eastAsia="Cambria" w:hAnsi="Cambria"/>
          <w:color w:val="000000"/>
          <w:sz w:val="24"/>
          <w:szCs w:val="24"/>
        </w:rPr>
        <w:t xml:space="preserve">Glenn</w:t>
      </w:r>
      <w:r>
        <w:rPr>
          <w:rFonts w:ascii="Cambria" w:cs="Cambria" w:eastAsia="Cambria" w:hAnsi="Cambria"/>
          <w:sz w:val="24"/>
          <w:szCs w:val="24"/>
        </w:rPr>
        <w:t xml:space="preserve"> Parry. Data sharing decisions: perceptions and intentions in healthcare. Strategic Change, 32(6):223–237, 2023.</w:t>
      </w:r>
    </w:p>
    <w:p>
      <w:pPr>
        <w:spacing w:after="140" w:line="300"/>
        <w:jc w:val="both"/>
      </w:pPr>
      <w:r>
        <w:rPr>
          <w:rFonts w:ascii="Cambria" w:cs="Cambria" w:eastAsia="Cambria" w:hAnsi="Cambria"/>
          <w:sz w:val="24"/>
          <w:szCs w:val="24"/>
        </w:rPr>
        <w:t xml:space="preserve">[15] Behnam Khayer, Siamak Mirzaei, Hooman Alavizadeh, and Ahmad Salehi Shahraki. Blockchain for secure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review of identity management, access control, and trust mechanisms. IoT, 6(4):65, 2025.</w:t>
      </w:r>
    </w:p>
    <w:p>
      <w:pPr>
        <w:spacing w:after="140" w:line="300"/>
        <w:jc w:val="both"/>
      </w:pPr>
      <w:r>
        <w:rPr>
          <w:rFonts w:ascii="Cambria" w:cs="Cambria" w:eastAsia="Cambria" w:hAnsi="Cambria"/>
          <w:sz w:val="24"/>
          <w:szCs w:val="24"/>
        </w:rPr>
        <w:t xml:space="preserve">[16] Chalima Dimitra Nassar Kyriakidou, Athanasia Maria Papathanasiou, and George C Polyzos. Decentralized identity with applications to security and privacy for the internet of things. Computer Networks and Communications, </w:t>
      </w:r>
      <w:r>
        <w:rPr>
          <w:rFonts w:ascii="Cambria" w:cs="Cambria" w:eastAsia="Cambria" w:hAnsi="Cambria"/>
          <w:b w:val="false"/>
          <w:bCs w:val="false"/>
          <w:sz w:val="24"/>
          <w:szCs w:val="24"/>
        </w:rPr>
        <w:t xml:space="preserve">1(2):</w:t>
      </w:r>
      <w:r>
        <w:rPr>
          <w:rFonts w:ascii="Cambria" w:cs="Cambria" w:eastAsia="Cambria" w:hAnsi="Cambria"/>
          <w:sz w:val="24"/>
          <w:szCs w:val="24"/>
        </w:rPr>
        <w:t xml:space="preserve">244–271, 2023.</w:t>
      </w:r>
    </w:p>
    <w:p>
      <w:pPr>
        <w:spacing w:after="140" w:line="300"/>
        <w:jc w:val="both"/>
      </w:pPr>
      <w:r>
        <w:rPr>
          <w:rFonts w:ascii="Cambria" w:cs="Cambria" w:eastAsia="Cambria" w:hAnsi="Cambria"/>
          <w:sz w:val="24"/>
          <w:szCs w:val="24"/>
        </w:rPr>
        <w:t xml:space="preserve">[17] Lanlan Li, Charles Z Liu, Kejia Huang, Ruiyi Deng, Majed Abdullah Alrowaily, Mansoor Alghamdi, Ibrahim S Alkhazi, and Malek Alrashidi. Trust-aware environmental state consensus for smart agriculture with </w:t>
      </w:r>
      <w:r>
        <w:rPr>
          <w:rFonts w:ascii="Cambria" w:cs="Cambria" w:eastAsia="Cambria" w:hAnsi="Cambria"/>
          <w:color w:val="000000"/>
          <w:sz w:val="24"/>
          <w:szCs w:val="24"/>
        </w:rPr>
        <w:t xml:space="preserve">TEE</w:t>
      </w:r>
      <w:r>
        <w:rPr>
          <w:rFonts w:ascii="Cambria" w:cs="Cambria" w:eastAsia="Cambria" w:hAnsi="Cambria"/>
          <w:sz w:val="24"/>
          <w:szCs w:val="24"/>
        </w:rPr>
        <w:t xml:space="preserve">-enabled sensing and </w:t>
      </w:r>
      <w:r>
        <w:rPr>
          <w:rFonts w:ascii="Cambria" w:cs="Cambria" w:eastAsia="Cambria" w:hAnsi="Cambria"/>
          <w:color w:val="000000"/>
          <w:sz w:val="24"/>
          <w:szCs w:val="24"/>
        </w:rPr>
        <w:t xml:space="preserve">Byzantine</w:t>
      </w:r>
      <w:r>
        <w:rPr>
          <w:rFonts w:ascii="Cambria" w:cs="Cambria" w:eastAsia="Cambria" w:hAnsi="Cambria"/>
          <w:sz w:val="24"/>
          <w:szCs w:val="24"/>
        </w:rPr>
        <w:t xml:space="preserve">-resilient blockchain coordination. Sensors, 26(14):4577, 2026.</w:t>
      </w:r>
    </w:p>
    <w:p>
      <w:pPr>
        <w:spacing w:after="140" w:line="300"/>
        <w:jc w:val="both"/>
      </w:pPr>
      <w:r>
        <w:rPr>
          <w:rFonts w:ascii="Cambria" w:cs="Cambria" w:eastAsia="Cambria" w:hAnsi="Cambria"/>
          <w:sz w:val="24"/>
          <w:szCs w:val="24"/>
        </w:rPr>
        <w:t xml:space="preserve">[18] Lanlan Li, Charles Z Liu, and Sanjeeb Shrestha. Analytical entropy approach for measuring blockchain immutability and tamper-resilient trust. Entropy, 28(6):690, 2026.</w:t>
      </w:r>
    </w:p>
    <w:p>
      <w:pPr>
        <w:spacing w:after="140" w:line="300"/>
        <w:jc w:val="both"/>
      </w:pPr>
      <w:r>
        <w:rPr>
          <w:rFonts w:ascii="Cambria" w:cs="Cambria" w:eastAsia="Cambria" w:hAnsi="Cambria"/>
          <w:sz w:val="24"/>
          <w:szCs w:val="24"/>
        </w:rPr>
        <w:t xml:space="preserve">[19] Richard K Lomotey, Sandra Kumi, and Ralph Deters. Data trusts as a service: Providing a platform for multi-party data sharing. International Journal of Information Management Data Insights, 2(1):100075, 2022.</w:t>
      </w:r>
    </w:p>
    <w:p>
      <w:pPr>
        <w:spacing w:after="140" w:line="300"/>
        <w:jc w:val="both"/>
      </w:pPr>
      <w:r>
        <w:rPr>
          <w:rFonts w:ascii="Cambria" w:cs="Cambria" w:eastAsia="Cambria" w:hAnsi="Cambria"/>
          <w:sz w:val="24"/>
          <w:szCs w:val="24"/>
        </w:rPr>
        <w:t xml:space="preserve">[20] Carlo Mazzocca, Abbas Acar, Selcuk Uluagac, Rebecca Montanari, Paolo Bellavista, and Mauro Conti. A survey on decentralized identifiers and verifiable credentials. IEEE Communications Surveys &amp; Tutorials, </w:t>
      </w:r>
      <w:r>
        <w:rPr>
          <w:rFonts w:ascii="Cambria" w:cs="Cambria" w:eastAsia="Cambria" w:hAnsi="Cambria"/>
          <w:color w:val="000000"/>
          <w:sz w:val="24"/>
          <w:szCs w:val="24"/>
        </w:rPr>
        <w:t xml:space="preserve">27:3641–3671,</w:t>
      </w:r>
      <w:r>
        <w:rPr>
          <w:rFonts w:ascii="Cambria" w:cs="Cambria" w:eastAsia="Cambria" w:hAnsi="Cambria"/>
          <w:sz w:val="24"/>
          <w:szCs w:val="24"/>
        </w:rPr>
        <w:t xml:space="preserve"> 2025.</w:t>
      </w:r>
    </w:p>
    <w:p>
      <w:pPr>
        <w:spacing w:after="140" w:line="300"/>
        <w:jc w:val="both"/>
      </w:pPr>
      <w:r>
        <w:rPr>
          <w:rFonts w:ascii="Cambria" w:cs="Cambria" w:eastAsia="Cambria" w:hAnsi="Cambria"/>
          <w:sz w:val="24"/>
          <w:szCs w:val="24"/>
        </w:rPr>
        <w:t xml:space="preserve">[21] </w:t>
      </w:r>
      <w:r>
        <w:rPr>
          <w:rFonts w:ascii="Cambria" w:cs="Cambria" w:eastAsia="Cambria" w:hAnsi="Cambria"/>
          <w:color w:val="000000"/>
          <w:sz w:val="24"/>
          <w:szCs w:val="24"/>
        </w:rPr>
        <w:t xml:space="preserve">Cindy Welzel, Max Ostermann, Hannah Louise Smith, Timo Minssen, Toralf Kirsten, and Stephen Gilbert. Enabling secure and self determined health data sharing and consent management. npj Digital Medicine, 8(1):560, 2025.</w:t>
      </w:r>
    </w:p>
    <w:p>
      <w:pPr>
        <w:spacing w:after="140" w:line="300"/>
        <w:jc w:val="both"/>
      </w:pPr>
      <w:r>
        <w:rPr>
          <w:rFonts w:ascii="Cambria" w:cs="Cambria" w:eastAsia="Cambria" w:hAnsi="Cambria"/>
          <w:sz w:val="24"/>
          <w:szCs w:val="24"/>
        </w:rPr>
        <w:t xml:space="preserve">[22] Roy McClelland and Colin M Harper. Information privacy in healthcare—the vital role of informed consent. </w:t>
      </w:r>
      <w:r>
        <w:rPr>
          <w:rFonts w:ascii="Cambria" w:cs="Cambria" w:eastAsia="Cambria" w:hAnsi="Cambria"/>
          <w:b w:val="false"/>
          <w:bCs w:val="false"/>
          <w:sz w:val="24"/>
          <w:szCs w:val="24"/>
        </w:rPr>
        <w:t xml:space="preserve">European Journal of Health Law</w:t>
      </w:r>
      <w:r>
        <w:rPr>
          <w:rFonts w:ascii="Cambria" w:cs="Cambria" w:eastAsia="Cambria" w:hAnsi="Cambria"/>
          <w:sz w:val="24"/>
          <w:szCs w:val="24"/>
        </w:rPr>
        <w:t xml:space="preserve">, 30(4):469–480,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[23] Jämes Ménétrey, Christian Göttel, Anum Khurshid, Marcelo Pasin, Pascal Felber, Valerio Schiavoni, and Shahid Raza. Attestation mechanisms for trusted execution environments demystified. In IFIP International Conference on Distributed Applications and Interoperable Systems, pages 95–113. Springer, 2022.</w:t>
      </w:r>
    </w:p>
    <w:p>
      <w:pPr>
        <w:spacing w:after="140" w:line="300"/>
        <w:jc w:val="both"/>
      </w:pPr>
      <w:r>
        <w:rPr>
          <w:rFonts w:ascii="Cambria" w:cs="Cambria" w:eastAsia="Cambria" w:hAnsi="Cambria"/>
          <w:sz w:val="24"/>
          <w:szCs w:val="24"/>
        </w:rPr>
        <w:t xml:space="preserve">[24] Minal R Narkhede, Nilesh I Wankhede, and Akanksha M Kamble. Enhancing patient autonomy in data ownership: privacy models and consent frameworks for healthcare. Journal of Digital Health, </w:t>
      </w:r>
      <w:r>
        <w:rPr>
          <w:rFonts w:ascii="Cambria" w:cs="Cambria" w:eastAsia="Cambria" w:hAnsi="Cambria"/>
          <w:color w:val="000000"/>
          <w:sz w:val="24"/>
          <w:szCs w:val="24"/>
        </w:rPr>
        <w:t xml:space="preserve">4(1):</w:t>
      </w:r>
      <w:r>
        <w:rPr>
          <w:rFonts w:ascii="Cambria" w:cs="Cambria" w:eastAsia="Cambria" w:hAnsi="Cambria"/>
          <w:sz w:val="24"/>
          <w:szCs w:val="24"/>
        </w:rPr>
        <w:t xml:space="preserve">1–23, 2025.</w:t>
      </w:r>
    </w:p>
    <w:p>
      <w:pPr>
        <w:spacing w:after="140" w:line="300"/>
        <w:jc w:val="both"/>
      </w:pPr>
      <w:r>
        <w:rPr>
          <w:rFonts w:ascii="Cambria" w:cs="Cambria" w:eastAsia="Cambria" w:hAnsi="Cambria"/>
          <w:sz w:val="24"/>
          <w:szCs w:val="24"/>
        </w:rPr>
        <w:t xml:space="preserve">[25] Aleena Nazir, Mubashir Husain Rehmani, Bernard Butler, and Donna O’Shea. Access control in healthcare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comprehensive survey. Engineering Reports, 8(4):e70766, 2026.</w:t>
      </w:r>
    </w:p>
    <w:p>
      <w:pPr>
        <w:spacing w:after="140" w:line="300"/>
        <w:jc w:val="both"/>
      </w:pPr>
      <w:r>
        <w:rPr>
          <w:rFonts w:ascii="Cambria" w:cs="Cambria" w:eastAsia="Cambria" w:hAnsi="Cambria"/>
          <w:sz w:val="24"/>
          <w:szCs w:val="24"/>
        </w:rPr>
        <w:t xml:space="preserve">[26] Thanh Linh Nguyen, Lam Nguyen, Thong Hoang, Dilum Bandara, Qin Wang, Qinghua Lu, Xiwei Xu, Liming Zhu, and Shiping Chen. Blockchain-empowered trustworthy data sharing: Fundamentals, applications, and challenges. ACM Computing Surveys, 57(8):1–36, 2025.</w:t>
      </w:r>
    </w:p>
    <w:p>
      <w:pPr>
        <w:spacing w:after="140" w:line="300"/>
        <w:jc w:val="both"/>
      </w:pPr>
      <w:r>
        <w:rPr>
          <w:rFonts w:ascii="Cambria" w:cs="Cambria" w:eastAsia="Cambria" w:hAnsi="Cambria"/>
          <w:sz w:val="24"/>
          <w:szCs w:val="24"/>
        </w:rPr>
        <w:t xml:space="preserve">[27] Rohini Poolat Parameswarath, Prosanta Gope, and Biplab Sikdar. User-empowered privacy-preserving authentication protocol for electric vehicle charging based on decentralized identity and verifiable credential. ACM Transactions on Management Information Systems (TMIS), 13(4):1–21, 2022.</w:t>
      </w:r>
    </w:p>
    <w:p>
      <w:pPr>
        <w:spacing w:after="140" w:line="300"/>
        <w:jc w:val="both"/>
      </w:pPr>
      <w:r>
        <w:rPr>
          <w:rFonts w:ascii="Cambria" w:cs="Cambria" w:eastAsia="Cambria" w:hAnsi="Cambria"/>
          <w:sz w:val="24"/>
          <w:szCs w:val="24"/>
        </w:rPr>
        <w:t xml:space="preserve">[28] Ahmed M Tawfik, Ayman Al-Ahwal, Adly S Tag Eldien, and Hala H Zayed. Blockchain-based access control and privacy preservation in healthcare: a comprehensive survey. Cluster Computing, 28(8):529, 2025.</w:t>
      </w:r>
    </w:p>
    <w:p>
      <w:pPr>
        <w:spacing w:after="140" w:line="300"/>
        <w:jc w:val="both"/>
      </w:pPr>
      <w:r>
        <w:rPr>
          <w:rFonts w:ascii="Cambria" w:cs="Cambria" w:eastAsia="Cambria" w:hAnsi="Cambria"/>
          <w:sz w:val="24"/>
          <w:szCs w:val="24"/>
        </w:rPr>
        <w:t xml:space="preserve">[29] Leonidas Theodorakopoulos, Alexandra Theodoropoulou, and Constantinos Halkiopoulos. Enhancing decentralized decision-making with big data and blockchain technology: A comprehensive review. Applied Sciences, 14(16):7007, 2024.</w:t>
      </w:r>
    </w:p>
    <w:p>
      <w:pPr>
        <w:spacing w:after="140" w:line="300"/>
        <w:jc w:val="both"/>
      </w:pPr>
      <w:r>
        <w:rPr>
          <w:rFonts w:ascii="Cambria" w:cs="Cambria" w:eastAsia="Cambria" w:hAnsi="Cambria"/>
          <w:sz w:val="24"/>
          <w:szCs w:val="24"/>
        </w:rPr>
        <w:t xml:space="preserve">[30] Mohammad Nawab Turan, Irshad Ahmed Hashimzai, and Mohammad Qaseem Qiam. A blockchain-based framework for secure and transparent environmental data sharing in smart cities: Enhancing trust, integrity, and interoperability in urban sustainability systems. Nata Palemahan: Journal of Environmental Engineering Innovations, 2(2):70–79, 2025.</w:t>
      </w:r>
    </w:p>
    <w:p>
      <w:pPr>
        <w:spacing w:after="140" w:line="300"/>
        <w:jc w:val="both"/>
      </w:pPr>
      <w:r>
        <w:rPr>
          <w:rFonts w:ascii="Cambria" w:cs="Cambria" w:eastAsia="Cambria" w:hAnsi="Cambria"/>
          <w:sz w:val="24"/>
          <w:szCs w:val="24"/>
        </w:rPr>
        <w:t xml:space="preserve">[31] Emily C Webber, David Brick, James P Scibilia, Peter Dehnel, Council on Clinical Information Technology, et al. Electronic communication of the health record and information with pediatric patients and their guardians. </w:t>
      </w:r>
      <w:r>
        <w:rPr>
          <w:rFonts w:ascii="Cambria" w:cs="Cambria" w:eastAsia="Cambria" w:hAnsi="Cambria"/>
          <w:b w:val="false"/>
          <w:bCs w:val="false"/>
          <w:sz w:val="24"/>
          <w:szCs w:val="24"/>
        </w:rPr>
        <w:t xml:space="preserve">Pediatrics, 144(1):e20191359, 2019</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[32] Hongjian Yin, Yiming Zhao, Lei Zhang, Baojun Qiao, Wenbo Chen, and Huaqing Wang. Attribute-based searchable encryption with decentralized key management for healthcare data sharing. </w:t>
      </w:r>
      <w:r>
        <w:rPr>
          <w:rFonts w:ascii="Cambria" w:cs="Cambria" w:eastAsia="Cambria" w:hAnsi="Cambria"/>
          <w:b w:val="false"/>
          <w:bCs w:val="false"/>
          <w:sz w:val="24"/>
          <w:szCs w:val="24"/>
        </w:rPr>
        <w:t xml:space="preserve">Journal of Systems Architecture</w:t>
      </w:r>
      <w:r>
        <w:rPr>
          <w:rFonts w:ascii="Cambria" w:cs="Cambria" w:eastAsia="Cambria" w:hAnsi="Cambria"/>
          <w:sz w:val="24"/>
          <w:szCs w:val="24"/>
        </w:rPr>
        <w:t xml:space="preserve">, 148:103081, 2024.</w:t>
      </w:r>
    </w:p>
    <w:p>
      <w:pPr>
        <w:spacing w:after="140" w:line="300"/>
        <w:jc w:val="both"/>
      </w:pPr>
      <w:r>
        <w:rPr>
          <w:rFonts w:ascii="Cambria" w:cs="Cambria" w:eastAsia="Cambria" w:hAnsi="Cambria"/>
          <w:sz w:val="24"/>
          <w:szCs w:val="24"/>
        </w:rPr>
        <w:t xml:space="preserve">[33] Jie Yin, Yang Xiao, Qian Chen, Xuefeng Liu, Qingqi Pei, Jianying Zhou, et al. </w:t>
      </w:r>
      <w:r>
        <w:rPr>
          <w:rFonts w:ascii="Cambria" w:cs="Cambria" w:eastAsia="Cambria" w:hAnsi="Cambria"/>
          <w:color w:val="000000"/>
          <w:sz w:val="24"/>
          <w:szCs w:val="24"/>
        </w:rPr>
        <w:t xml:space="preserve">DP-DID</w:t>
      </w:r>
      <w:r>
        <w:rPr>
          <w:rFonts w:ascii="Cambria" w:cs="Cambria" w:eastAsia="Cambria" w:hAnsi="Cambria"/>
          <w:sz w:val="24"/>
          <w:szCs w:val="24"/>
        </w:rPr>
        <w:t xml:space="preserve">: A dynamic and proactive decentralized identity system. IEEE Transactions on Information Forensics and Security, </w:t>
      </w:r>
      <w:r>
        <w:rPr>
          <w:rFonts w:ascii="Cambria" w:cs="Cambria" w:eastAsia="Cambria" w:hAnsi="Cambria"/>
          <w:b w:val="false"/>
          <w:bCs w:val="false"/>
          <w:sz w:val="24"/>
          <w:szCs w:val="24"/>
        </w:rPr>
        <w:t xml:space="preserve">20:</w:t>
      </w:r>
      <w:r>
        <w:rPr>
          <w:rFonts w:ascii="Cambria" w:cs="Cambria" w:eastAsia="Cambria" w:hAnsi="Cambria"/>
          <w:sz w:val="24"/>
          <w:szCs w:val="24"/>
        </w:rPr>
        <w:t xml:space="preserve">4999–5014, 2025.</w:t>
      </w:r>
    </w:p>
    <w:p>
      <w:pPr>
        <w:spacing w:after="140" w:line="300"/>
        <w:jc w:val="both"/>
      </w:pPr>
      <w:r>
        <w:rPr>
          <w:rFonts w:ascii="Cambria" w:cs="Cambria" w:eastAsia="Cambria" w:hAnsi="Cambria"/>
          <w:sz w:val="24"/>
          <w:szCs w:val="24"/>
        </w:rPr>
        <w:t xml:space="preserve">[34] </w:t>
      </w:r>
      <w:r>
        <w:rPr>
          <w:rFonts w:ascii="Cambria" w:cs="Cambria" w:eastAsia="Cambria" w:hAnsi="Cambria"/>
          <w:color w:val="000000"/>
          <w:sz w:val="24"/>
          <w:szCs w:val="24"/>
        </w:rPr>
        <w:t xml:space="preserve">Matthew J Page, Joanne E McKenzie, Patrick M Bossuyt, Isabelle Boutron, Tammy C Hoffmann, Cynthia D Mulrow, et al. The PRISMA 2020 statement: an updated guideline for reporting systematic reviews. BMJ, 372:n71, 2021.</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00000"/>
      <w:sz w:val="32"/>
      <w:szCs w:val="32"/>
    </w:rPr>
  </w:style>
  <w:style w:type="paragraph" w:styleId="Heading2">
    <w:name w:val="Heading 2"/>
    <w:basedOn w:val="Normal"/>
    <w:next w:val="Normal"/>
    <w:qFormat/>
    <w:pPr>
      <w:outlineLvl w:val="1"/>
    </w:pPr>
    <w:rPr>
      <w:rFonts w:ascii="Cambria" w:cs="Cambria" w:eastAsia="Cambria" w:hAnsi="Cambria"/>
      <w:b/>
      <w:bCs/>
      <w:color w:val="000000"/>
      <w:sz w:val="28"/>
      <w:szCs w:val="28"/>
    </w:rPr>
  </w:style>
  <w:style w:type="paragraph" w:styleId="Heading3">
    <w:name w:val="Heading 3"/>
    <w:basedOn w:val="Normal"/>
    <w:next w:val="Normal"/>
    <w:qFormat/>
    <w:pPr>
      <w:outlineLvl w:val="2"/>
    </w:pPr>
    <w:rPr>
      <w:rFonts w:ascii="Cambria" w:cs="Cambria" w:eastAsia="Cambria" w:hAnsi="Cambria"/>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bac4283ac7c9dffcd42565f9f279d568fa67012.png"/><Relationship Id="rId9" Type="http://schemas.openxmlformats.org/officeDocument/2006/relationships/image" Target="media/d4fcae5448728df700f7fcb56b8fc5a1fc56fa7f.png"/><Relationship Id="rId10" Type="http://schemas.openxmlformats.org/officeDocument/2006/relationships/image" Target="media/5725741516b6d7350742358c69ef15dffd19ce8b.png"/><Relationship Id="rId11" Type="http://schemas.openxmlformats.org/officeDocument/2006/relationships/image" Target="media/8dbf8f8114ee1a36bb173391ae40c477f5a9f4e7.png"/><Relationship Id="rId12" Type="http://schemas.openxmlformats.org/officeDocument/2006/relationships/image" Target="media/0ed002e09311e352eea87b4c3d6bc1c202f9bce1.png"/><Relationship Id="rId13" Type="http://schemas.openxmlformats.org/officeDocument/2006/relationships/image" Target="media/2b536558d832546ec393dd67925c929dd6236fad.png"/><Relationship Id="rId14" Type="http://schemas.openxmlformats.org/officeDocument/2006/relationships/image" Target="media/e698f47fea018ba4e2802cc16cd6dfd9035c7463.png"/><Relationship Id="rId15" Type="http://schemas.openxmlformats.org/officeDocument/2006/relationships/image" Target="media/580bfb808c41b68f58dd6143da2bda07a4fdfcd6.png"/><Relationship Id="rId16" Type="http://schemas.openxmlformats.org/officeDocument/2006/relationships/image" Target="media/cfb68299954ed8f8f5e10a9a9db637b9bb1e6943.png"/><Relationship Id="rId17" Type="http://schemas.openxmlformats.org/officeDocument/2006/relationships/image" Target="media/afac86a350f9945eeb94b9ee246e19d29bb41335.png"/><Relationship Id="rId18" Type="http://schemas.openxmlformats.org/officeDocument/2006/relationships/image" Target="media/57269d3037ae27a47832f78cc97338fc97672c78.png"/><Relationship Id="rId19" Type="http://schemas.openxmlformats.org/officeDocument/2006/relationships/image" Target="media/ee95cfbafdc45fc97602cba6ccc94f86e621b2e0.png"/><Relationship Id="rId20" Type="http://schemas.openxmlformats.org/officeDocument/2006/relationships/image" Target="media/8a0259851c9ce9543a4dd4e70fbf6ef776d64c4f.png"/><Relationship Id="rId21" Type="http://schemas.openxmlformats.org/officeDocument/2006/relationships/image" Target="media/751a1c2ff4c695ebcf2d04aee2d3822c664dbd66.png"/><Relationship Id="rId22" Type="http://schemas.openxmlformats.org/officeDocument/2006/relationships/image" Target="media/fcbfc7caea7791f142b62cd810e09ae43c0a3029.png"/><Relationship Id="rId23" Type="http://schemas.openxmlformats.org/officeDocument/2006/relationships/image" Target="media/098992a49f33b5863197c094b0274b3a570ac6b0.png"/><Relationship Id="rId24" Type="http://schemas.openxmlformats.org/officeDocument/2006/relationships/image" Target="media/340cd7ece83aa7b471f90497fa4ab20abba8cb78.png"/><Relationship Id="rId25" Type="http://schemas.openxmlformats.org/officeDocument/2006/relationships/image" Target="media/29a8d803374a279180f0fb7569fd71a96e4828cc.png"/><Relationship Id="rId26" Type="http://schemas.openxmlformats.org/officeDocument/2006/relationships/image" Target="media/93e2e5b518189f1af9628f404919fff014730a4c.png"/><Relationship Id="rId27" Type="http://schemas.openxmlformats.org/officeDocument/2006/relationships/image" Target="media/0c260341434b1a3d96e8ec816e8fdf21bc280008.png"/><Relationship Id="rId28" Type="http://schemas.openxmlformats.org/officeDocument/2006/relationships/image" Target="media/3b43f208c34e619a9b1fcd7a8da9990014f117c8.png"/><Relationship Id="rId29" Type="http://schemas.openxmlformats.org/officeDocument/2006/relationships/image" Target="media/86a2658ddba90ee4c38a66206a6a68c15d95f581.png"/><Relationship Id="rId30" Type="http://schemas.openxmlformats.org/officeDocument/2006/relationships/image" Target="media/b042baccd1b6ddb409d02825dcbf0a0b42cf8600.png"/><Relationship Id="rId31" Type="http://schemas.openxmlformats.org/officeDocument/2006/relationships/image" Target="media/b08ef3c27e50bcebac919f21b9b3c4430a015386.png"/><Relationship Id="rId32" Type="http://schemas.openxmlformats.org/officeDocument/2006/relationships/image" Target="media/5aab1f9956758b1489f12e56e316ce914adfc234.png"/><Relationship Id="rId33" Type="http://schemas.openxmlformats.org/officeDocument/2006/relationships/image" Target="media/dca988adf54061cfd18e3b65d04cc93b4c0821a5.png"/><Relationship Id="rId34" Type="http://schemas.openxmlformats.org/officeDocument/2006/relationships/image" Target="media/ced20419b26ad52dabc386ca8fa03e512cf67f8c.png"/><Relationship Id="rId35" Type="http://schemas.openxmlformats.org/officeDocument/2006/relationships/image" Target="media/e56b4f992bdd903593631381fadd9d088590b949.png"/><Relationship Id="rId36" Type="http://schemas.openxmlformats.org/officeDocument/2006/relationships/image" Target="media/31dcbc50059ae2791ce05a42c041185014378f3f.png"/><Relationship Id="rId37" Type="http://schemas.openxmlformats.org/officeDocument/2006/relationships/image" Target="media/ce3dcc9a910c6fc9b80e1215a4025c2e03d7ae91.png"/><Relationship Id="rId38" Type="http://schemas.openxmlformats.org/officeDocument/2006/relationships/image" Target="media/8f7d48ee1d3a925ebd1d5709598063d3ff8e3925.png"/><Relationship Id="rId39" Type="http://schemas.openxmlformats.org/officeDocument/2006/relationships/image" Target="media/379af060121c595b8dab938b017503bf01d94543.png"/><Relationship Id="rId40" Type="http://schemas.openxmlformats.org/officeDocument/2006/relationships/image" Target="media/3a13ccfef28f9583bfb8ffa6fad6c0cd87ee4e3f.png"/><Relationship Id="rId41" Type="http://schemas.openxmlformats.org/officeDocument/2006/relationships/image" Target="media/c67c351664df141a74ad4841b37c3e4adf06cdc8.png"/><Relationship Id="rId42" Type="http://schemas.openxmlformats.org/officeDocument/2006/relationships/image" Target="media/6b2eed335569e4023d73a2acfc049e4652246425.png"/><Relationship Id="rId43" Type="http://schemas.openxmlformats.org/officeDocument/2006/relationships/image" Target="media/0dab734b3591fc6e44f28d70c229863ac765dd6c.png"/><Relationship Id="rId44" Type="http://schemas.openxmlformats.org/officeDocument/2006/relationships/image" Target="media/77a7b903f3de550876bb41810cdf2d1e7c0ac7f2.png"/><Relationship Id="rId45" Type="http://schemas.openxmlformats.org/officeDocument/2006/relationships/image" Target="media/2f0f0886862a384327500130debd3ae79225e0b4.png"/><Relationship Id="rId46" Type="http://schemas.openxmlformats.org/officeDocument/2006/relationships/image" Target="media/05da8f4effe706cf5aafdd89f16572da00d8acd2.png"/><Relationship Id="rId47" Type="http://schemas.openxmlformats.org/officeDocument/2006/relationships/image" Target="media/18110f2d94411825c7d788fe5ccde19f68a450f5.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Un-named</cp:lastModifiedBy>
  <cp:revision>1</cp:revision>
  <dcterms:created xsi:type="dcterms:W3CDTF">2026-09-29T05:23:35.584Z</dcterms:created>
  <dcterms:modified xsi:type="dcterms:W3CDTF">2026-09-29T05:23:35.584Z</dcterms:modified>
</cp:coreProperties>
</file>

<file path=docProps/custom.xml><?xml version="1.0" encoding="utf-8"?>
<Properties xmlns="http://schemas.openxmlformats.org/officeDocument/2006/custom-properties" xmlns:vt="http://schemas.openxmlformats.org/officeDocument/2006/docPropsVTypes"/>
</file>