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with the decision matrix recorded in the audit ledger.</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8.1,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color w:val="00A000"/>
          <w:sz w:val="22"/>
          <w:szCs w:val="22"/>
        </w:rPr>
        <w:t xml:space="preserve">Equation (10.2)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(10.3).</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(10.3)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8551cc39b9baaa1e71e96e9de7e72e5b7299050b.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4315c9b43325fa22d4a470efde68b53ff388ded2.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2026-10-07T09:32:53.294Z</dcterms:created>
  <dcterms:modified xsi:type="dcterms:W3CDTF">2026-10-07T09:32:53.294Z</dcterms:modified>
</cp:coreProperties>
</file>

<file path=docProps/custom.xml><?xml version="1.0" encoding="utf-8"?>
<Properties xmlns="http://schemas.openxmlformats.org/officeDocument/2006/custom-properties" xmlns:vt="http://schemas.openxmlformats.org/officeDocument/2006/docPropsVTypes"/>
</file>