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w:t>
      </w:r>
      <w:r>
        <w:rPr>
          <w:rFonts w:ascii="Times New Roman" w:cs="Times New Roman" w:eastAsia="Times New Roman" w:hAnsi="Times New Roman"/>
          <w:b/>
          <w:bCs/>
          <w:sz w:val="40"/>
          <w:szCs w:val="40"/>
        </w:rPr>
        <w:t xml:space="preserve">Authorisation</w:t>
      </w:r>
      <w:r>
        <w:rPr>
          <w:rFonts w:ascii="Times New Roman" w:cs="Times New Roman" w:eastAsia="Times New Roman" w:hAnsi="Times New Roman"/>
          <w:b/>
          <w:bCs/>
          <w:sz w:val="40"/>
          <w:szCs w:val="40"/>
        </w:rPr>
        <w:t xml:space="preserve">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30</w:t>
      </w:r>
    </w:p>
    <w:p>
      <w:pPr>
        <w:tabs>
          <w:tab w:val="right" w:pos="9128" w:leader="dot"/>
        </w:tabs>
        <w:spacing w:after="100"/>
      </w:pPr>
      <w:r>
        <w:rPr>
          <w:rFonts w:ascii="Times New Roman" w:cs="Times New Roman" w:eastAsia="Times New Roman" w:hAnsi="Times New Roman"/>
          <w:sz w:val="22"/>
          <w:szCs w:val="22"/>
        </w:rPr>
        <w:t xml:space="preserve">7. The Proposed Solution for RO2	34</w:t>
      </w:r>
    </w:p>
    <w:p>
      <w:pPr>
        <w:tabs>
          <w:tab w:val="right" w:pos="9128" w:leader="dot"/>
        </w:tabs>
        <w:spacing w:after="100"/>
      </w:pPr>
      <w:r>
        <w:rPr>
          <w:rFonts w:ascii="Times New Roman" w:cs="Times New Roman" w:eastAsia="Times New Roman" w:hAnsi="Times New Roman"/>
          <w:sz w:val="22"/>
          <w:szCs w:val="22"/>
        </w:rPr>
        <w:t xml:space="preserve">8. The Proposed Solution for RO3	38</w:t>
      </w:r>
    </w:p>
    <w:p>
      <w:pPr>
        <w:tabs>
          <w:tab w:val="right" w:pos="9128" w:leader="dot"/>
        </w:tabs>
        <w:spacing w:after="100"/>
      </w:pPr>
      <w:r>
        <w:rPr>
          <w:rFonts w:ascii="Times New Roman" w:cs="Times New Roman" w:eastAsia="Times New Roman" w:hAnsi="Times New Roman"/>
          <w:sz w:val="22"/>
          <w:szCs w:val="22"/>
        </w:rPr>
        <w:t xml:space="preserve">9. The Proposed Solution for RO4	43</w:t>
      </w:r>
    </w:p>
    <w:p>
      <w:pPr>
        <w:tabs>
          <w:tab w:val="right" w:pos="9128" w:leader="dot"/>
        </w:tabs>
        <w:spacing w:after="100"/>
      </w:pPr>
      <w:r>
        <w:rPr>
          <w:rFonts w:ascii="Times New Roman" w:cs="Times New Roman" w:eastAsia="Times New Roman" w:hAnsi="Times New Roman"/>
          <w:sz w:val="22"/>
          <w:szCs w:val="22"/>
        </w:rPr>
        <w:t xml:space="preserve">10. The Proposed Solution for RO5	48</w:t>
      </w:r>
    </w:p>
    <w:p>
      <w:pPr>
        <w:tabs>
          <w:tab w:val="right" w:pos="9128" w:leader="dot"/>
        </w:tabs>
        <w:spacing w:after="100"/>
      </w:pPr>
      <w:r>
        <w:rPr>
          <w:rFonts w:ascii="Times New Roman" w:cs="Times New Roman" w:eastAsia="Times New Roman" w:hAnsi="Times New Roman"/>
          <w:sz w:val="22"/>
          <w:szCs w:val="22"/>
        </w:rPr>
        <w:t xml:space="preserve">11. The Proposed Solution for RO6	52</w:t>
      </w:r>
    </w:p>
    <w:p>
      <w:pPr>
        <w:tabs>
          <w:tab w:val="right" w:pos="9128" w:leader="dot"/>
        </w:tabs>
        <w:spacing w:after="100"/>
      </w:pPr>
      <w:r>
        <w:rPr>
          <w:rFonts w:ascii="Times New Roman" w:cs="Times New Roman" w:eastAsia="Times New Roman" w:hAnsi="Times New Roman"/>
          <w:sz w:val="22"/>
          <w:szCs w:val="22"/>
        </w:rPr>
        <w:t xml:space="preserve">12. Publications Summary	68</w:t>
      </w:r>
    </w:p>
    <w:p>
      <w:pPr>
        <w:tabs>
          <w:tab w:val="right" w:pos="9128" w:leader="dot"/>
        </w:tabs>
        <w:spacing w:after="100"/>
      </w:pPr>
      <w:r>
        <w:rPr>
          <w:rFonts w:ascii="Times New Roman" w:cs="Times New Roman" w:eastAsia="Times New Roman" w:hAnsi="Times New Roman"/>
          <w:sz w:val="22"/>
          <w:szCs w:val="22"/>
        </w:rPr>
        <w:t xml:space="preserve">13. Research Plan	69</w:t>
      </w:r>
    </w:p>
    <w:p>
      <w:pPr>
        <w:tabs>
          <w:tab w:val="right" w:pos="9128" w:leader="dot"/>
        </w:tabs>
        <w:spacing w:after="100"/>
      </w:pPr>
      <w:r>
        <w:rPr>
          <w:rFonts w:ascii="Times New Roman" w:cs="Times New Roman" w:eastAsia="Times New Roman" w:hAnsi="Times New Roman"/>
          <w:sz w:val="22"/>
          <w:szCs w:val="22"/>
        </w:rPr>
        <w:t xml:space="preserve">References	71</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z w:val="22"/>
          <w:szCs w:val="22"/>
          <w:highlight w:val="magenta"/>
        </w:rPr>
        <w:t xml:space="preserve">Secure and trustworthy data sharing is now needed</w:t>
      </w:r>
      <w:r>
        <w:rPr>
          <w:rFonts w:ascii="Times New Roman" w:cs="Times New Roman" w:eastAsia="Times New Roman" w:hAnsi="Times New Roman"/>
          <w:sz w:val="22"/>
          <w:szCs w:val="22"/>
        </w:rPr>
        <w:t xml:space="preserve"> across organisational boundaries. Modern digital ecosystems involve multiple independent stakeholders, including individuals, healthcare providers, regulatory authorities, researchers, and third-party data processors </w:t>
      </w:r>
      <w:r>
        <w:rPr>
          <w:rFonts w:ascii="Times New Roman" w:cs="Times New Roman" w:eastAsia="Times New Roman" w:hAnsi="Times New Roman"/>
          <w:sz w:val="22"/>
          <w:szCs w:val="22"/>
          <w:highlight w:val="green"/>
        </w:rPr>
        <w:t xml:space="preserve">(Ghafoor et al. 2025; Lomotey, Kumi &amp; Deters 2022; Nguyen et al. 2025)</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highlight w:val="magenta"/>
        </w:rPr>
        <w:t xml:space="preserve">Digital services make collaboration easier, but they also raise a governance question</w:t>
      </w:r>
      <w:r>
        <w:rPr>
          <w:rFonts w:ascii="Times New Roman" w:cs="Times New Roman" w:eastAsia="Times New Roman" w:hAnsi="Times New Roman"/>
          <w:sz w:val="22"/>
          <w:szCs w:val="22"/>
        </w:rPr>
        <w:t xml:space="preserve">: how can data access be authorised and trusted when the participating entities do not belong to a single administrative or institutional domain? </w:t>
      </w:r>
      <w:r>
        <w:rPr>
          <w:rFonts w:ascii="Times New Roman" w:cs="Times New Roman" w:eastAsia="Times New Roman" w:hAnsi="Times New Roman"/>
          <w:sz w:val="22"/>
          <w:szCs w:val="22"/>
          <w:highlight w:val="magenta"/>
        </w:rPr>
        <w:t xml:space="preserve">Healthcare is a clear example of this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w:t>
      </w:r>
      <w:r>
        <w:rPr>
          <w:rFonts w:ascii="Times New Roman" w:cs="Times New Roman" w:eastAsia="Times New Roman" w:hAnsi="Times New Roman"/>
          <w:sz w:val="22"/>
          <w:szCs w:val="22"/>
          <w:highlight w:val="green"/>
        </w:rPr>
        <w:t xml:space="preserve">(Webber et al. 2019; Welzel et al. 2025)</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w:t>
      </w:r>
      <w:r>
        <w:rPr>
          <w:rFonts w:ascii="Times New Roman" w:cs="Times New Roman" w:eastAsia="Times New Roman" w:hAnsi="Times New Roman"/>
          <w:sz w:val="22"/>
          <w:szCs w:val="22"/>
          <w:highlight w:val="green"/>
        </w:rPr>
        <w:t xml:space="preserve">(Ibrahim et al. 2024; Webber et al. 2019)</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highlight w:val="magenta"/>
        </w:rPr>
        <w:t xml:space="preserve">In these settings, authorisation is a distributed governance problem, not just a check of a user's login and a static permission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highlight w:val="green"/>
        </w:rPr>
        <w:t xml:space="preserve">(Theodorakopoulos, Theodoropoulou &amp; Halkiopoulos 2024)</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w:t>
      </w:r>
      <w:r>
        <w:rPr>
          <w:rFonts w:ascii="Times New Roman" w:cs="Times New Roman" w:eastAsia="Times New Roman" w:hAnsi="Times New Roman"/>
          <w:sz w:val="22"/>
          <w:szCs w:val="22"/>
          <w:highlight w:val="green"/>
        </w:rPr>
        <w:t xml:space="preserve">(Al Mamun, Azam &amp; Gritti 2022; Hellstern et al. 2022; Li, Liu &amp; Shrestha 2026; Nguyen et al. 2025)</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while decentralised identifiers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w:t>
      </w:r>
      <w:r>
        <w:rPr>
          <w:rFonts w:ascii="Times New Roman" w:cs="Times New Roman" w:eastAsia="Times New Roman" w:hAnsi="Times New Roman"/>
          <w:sz w:val="22"/>
          <w:szCs w:val="22"/>
          <w:highlight w:val="magenta"/>
        </w:rPr>
        <w:t xml:space="preserve">Consent must therefore be treated as an active, evaluable part of the authorisation process, not as a static record of permission</w:t>
      </w:r>
      <w:r>
        <w:rPr>
          <w:rFonts w:ascii="Times New Roman" w:cs="Times New Roman" w:eastAsia="Times New Roman" w:hAnsi="Times New Roman"/>
          <w:sz w:val="22"/>
          <w:szCs w:val="22"/>
        </w:rPr>
        <w:t xml:space="preserve">, extending the dynamic consent perspective </w:t>
      </w:r>
      <w:r>
        <w:rPr>
          <w:rFonts w:ascii="Times New Roman" w:cs="Times New Roman" w:eastAsia="Times New Roman" w:hAnsi="Times New Roman"/>
          <w:sz w:val="22"/>
          <w:szCs w:val="22"/>
          <w:highlight w:val="green"/>
        </w:rPr>
        <w:t xml:space="preserve">(Khalid et al. 2023; Narkhede, Wankhede &amp; Kamble 2025)</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w:t>
      </w:r>
      <w:r>
        <w:rPr>
          <w:rFonts w:ascii="Times New Roman" w:cs="Times New Roman" w:eastAsia="Times New Roman" w:hAnsi="Times New Roman"/>
          <w:sz w:val="22"/>
          <w:szCs w:val="22"/>
          <w:highlight w:val="green"/>
        </w:rPr>
        <w:t xml:space="preserve">(Jesus &amp; Pandit 2022; Khalid et al. 2023)</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w:t>
      </w:r>
      <w:r>
        <w:rPr>
          <w:rFonts w:ascii="Times New Roman" w:cs="Times New Roman" w:eastAsia="Times New Roman" w:hAnsi="Times New Roman"/>
          <w:sz w:val="22"/>
          <w:szCs w:val="22"/>
          <w:highlight w:val="green"/>
        </w:rPr>
        <w:t xml:space="preserve">(Phuyal et al. 2026b; Wu &amp; Zhang 2025)</w:t>
      </w:r>
      <w:r>
        <w:rPr>
          <w:rFonts w:ascii="Times New Roman" w:cs="Times New Roman" w:eastAsia="Times New Roman" w:hAnsi="Times New Roman"/>
          <w:sz w:val="22"/>
          <w:szCs w:val="22"/>
        </w:rPr>
        <w:t xml:space="preserve">, blockchain-based records, multi-party approval mechanisms </w:t>
      </w:r>
      <w:r>
        <w:rPr>
          <w:rFonts w:ascii="Times New Roman" w:cs="Times New Roman" w:eastAsia="Times New Roman" w:hAnsi="Times New Roman"/>
          <w:sz w:val="22"/>
          <w:szCs w:val="22"/>
          <w:highlight w:val="green"/>
        </w:rPr>
        <w:t xml:space="preserve">(Ekholm et al. 2025; Punia et al. 2025; Tan, Chi &amp; Lam 2024)</w:t>
      </w:r>
      <w:r>
        <w:rPr>
          <w:rFonts w:ascii="Times New Roman" w:cs="Times New Roman" w:eastAsia="Times New Roman" w:hAnsi="Times New Roman"/>
          <w:sz w:val="22"/>
          <w:szCs w:val="22"/>
        </w:rPr>
        <w:t xml:space="preserve">, and policy-based access control </w:t>
      </w:r>
      <w:r>
        <w:rPr>
          <w:rFonts w:ascii="Times New Roman" w:cs="Times New Roman" w:eastAsia="Times New Roman" w:hAnsi="Times New Roman"/>
          <w:sz w:val="22"/>
          <w:szCs w:val="22"/>
          <w:highlight w:val="green"/>
        </w:rPr>
        <w:t xml:space="preserve">(Eneh et al. 2026; Khayer et al. 2025; Panagoulias et al. 2026; Román-Martínez et al. 2023)</w:t>
      </w:r>
      <w:r>
        <w:rPr>
          <w:rFonts w:ascii="Times New Roman" w:cs="Times New Roman" w:eastAsia="Times New Roman" w:hAnsi="Times New Roman"/>
          <w:sz w:val="22"/>
          <w:szCs w:val="22"/>
        </w:rPr>
        <w:t xml:space="preserve">,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r>
        <w:rPr>
          <w:rFonts w:ascii="Times New Roman" w:cs="Times New Roman" w:eastAsia="Times New Roman" w:hAnsi="Times New Roman"/>
          <w:sz w:val="22"/>
          <w:szCs w:val="22"/>
        </w:rPr>
        <w:t xml:space="preserve"> (SRQ1 to SRQ6, referred to as RQ1 to RQ6)</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w:t>
      </w:r>
      <w:r>
        <w:rPr>
          <w:rFonts w:ascii="Times New Roman" w:cs="Times New Roman" w:eastAsia="Times New Roman" w:hAnsi="Times New Roman"/>
          <w:sz w:val="22"/>
          <w:szCs w:val="22"/>
          <w:highlight w:val="green"/>
        </w:rPr>
        <w:t xml:space="preserve">(Li et al. 2026b; Ménétrey et al. 2022)</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w:t>
      </w:r>
      <w:r>
        <w:rPr>
          <w:rFonts w:ascii="Times New Roman" w:cs="Times New Roman" w:eastAsia="Times New Roman" w:hAnsi="Times New Roman"/>
          <w:sz w:val="22"/>
          <w:szCs w:val="22"/>
          <w:highlight w:val="magenta"/>
        </w:rPr>
        <w:t xml:space="preserve">Together, these conditions decide whether an authorisation decision has enough basis to be trusted, not only whether access was requested.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w:t>
      </w:r>
      <w:r>
        <w:rPr>
          <w:rFonts w:ascii="Times New Roman" w:cs="Times New Roman" w:eastAsia="Times New Roman" w:hAnsi="Times New Roman"/>
          <w:sz w:val="22"/>
          <w:szCs w:val="22"/>
        </w:rPr>
        <w:t xml:space="preserve">The current stage covers the work delivered so far,</w:t>
      </w:r>
      <w:r>
        <w:rPr>
          <w:rFonts w:ascii="Times New Roman" w:cs="Times New Roman" w:eastAsia="Times New Roman" w:hAnsi="Times New Roman"/>
          <w:sz w:val="22"/>
          <w:szCs w:val="22"/>
        </w:rPr>
        <w:t xml:space="preserve"> while temporal and lifecycle trust, formal security assurance, and comprehensive empirical validation </w:t>
      </w:r>
      <w:r>
        <w:rPr>
          <w:rFonts w:ascii="Times New Roman" w:cs="Times New Roman" w:eastAsia="Times New Roman" w:hAnsi="Times New Roman"/>
          <w:sz w:val="22"/>
          <w:szCs w:val="22"/>
        </w:rPr>
        <w:t xml:space="preserve">will be developed further in the next stage.</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highlight w:val="magenta"/>
        </w:rPr>
        <w:t xml:space="preserve">The review does not only list technologies that can be applied to healthcare data sharing. It examines</w:t>
      </w:r>
      <w:r>
        <w:rPr>
          <w:rFonts w:ascii="Times New Roman" w:cs="Times New Roman" w:eastAsia="Times New Roman" w:hAnsi="Times New Roman"/>
          <w:sz w:val="22"/>
          <w:szCs w:val="22"/>
        </w:rPr>
        <w:t xml:space="preserve"> how existing approaches address different conditions required for a trustworthy authorisation decision and where conceptual or architectural gaps remain. Healthcare research has emphasised the importance of patient autonomy, privacy, informed consent, and controlled data sharing </w:t>
      </w:r>
      <w:r>
        <w:rPr>
          <w:rFonts w:ascii="Times New Roman" w:cs="Times New Roman" w:eastAsia="Times New Roman" w:hAnsi="Times New Roman"/>
          <w:sz w:val="22"/>
          <w:szCs w:val="22"/>
          <w:highlight w:val="green"/>
        </w:rPr>
        <w:t xml:space="preserve">(Kaplow et al. 2024; Kharlamov, Hohmann &amp; Parry 2023; McClelland &amp; Harper 2023; Narkhede, Wankhede &amp; Kamble 2025; Webber et al. 2019)</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w:t>
      </w:r>
      <w:r>
        <w:rPr>
          <w:rFonts w:ascii="Times New Roman" w:cs="Times New Roman" w:eastAsia="Times New Roman" w:hAnsi="Times New Roman"/>
          <w:sz w:val="22"/>
          <w:szCs w:val="22"/>
          <w:highlight w:val="green"/>
        </w:rPr>
        <w:t xml:space="preserve">(Andrew et al. 2023; Arbabi et al. 2023; Ghosh et al. 2023; Nguyen et al. 2025; Turan, Hashimzai &amp; Qiam 2025)</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w:t>
      </w:r>
      <w:r>
        <w:rPr>
          <w:rFonts w:ascii="Times New Roman" w:cs="Times New Roman" w:eastAsia="Times New Roman" w:hAnsi="Times New Roman"/>
          <w:sz w:val="22"/>
          <w:szCs w:val="22"/>
          <w:highlight w:val="green"/>
        </w:rPr>
        <w:t xml:space="preserve">(Deng et al. 2024; Flamini et al. 2024; Mazzocca et al. 2025; Nassar Kyriakidou, Papathanasiou &amp; Polyzos 2023; Parameswarath, Gope &amp; Sikdar 2022; Yin et al. 2025)</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w:t>
      </w:r>
      <w:r>
        <w:rPr>
          <w:rFonts w:ascii="Times New Roman" w:cs="Times New Roman" w:eastAsia="Times New Roman" w:hAnsi="Times New Roman"/>
          <w:sz w:val="22"/>
          <w:szCs w:val="22"/>
          <w:highlight w:val="green"/>
        </w:rPr>
        <w:t xml:space="preserve">(Jiang et al. 2023; Nazir et al. 2026; Tawfik et al. 2025; Yin et al. 2024)</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 </w:t>
      </w:r>
      <w:r>
        <w:rPr>
          <w:rFonts w:ascii="Times New Roman" w:cs="Times New Roman" w:eastAsia="Times New Roman" w:hAnsi="Times New Roman"/>
          <w:sz w:val="22"/>
          <w:szCs w:val="22"/>
          <w:highlight w:val="magenta"/>
        </w:rPr>
        <w:t xml:space="preserve">Having the security mechanisms is one thing</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highlight w:val="magenta"/>
        </w:rPr>
        <w:t xml:space="preserve"> combining them into one trustworthy authorisation decision is another.</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w:t>
      </w:r>
      <w:r>
        <w:rPr>
          <w:rFonts w:ascii="Times New Roman" w:cs="Times New Roman" w:eastAsia="Times New Roman" w:hAnsi="Times New Roman"/>
          <w:sz w:val="22"/>
          <w:szCs w:val="22"/>
        </w:rPr>
        <w:t xml:space="preserve">Identifiers (DIDs)</w:t>
      </w:r>
      <w:r>
        <w:rPr>
          <w:rFonts w:ascii="Times New Roman" w:cs="Times New Roman" w:eastAsia="Times New Roman" w:hAnsi="Times New Roman"/>
          <w:sz w:val="22"/>
          <w:szCs w:val="22"/>
        </w:rPr>
        <w:t xml:space="preserve">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w:t>
      </w:r>
      <w:r>
        <w:rPr>
          <w:rFonts w:ascii="Times New Roman" w:cs="Times New Roman" w:eastAsia="Times New Roman" w:hAnsi="Times New Roman"/>
          <w:sz w:val="22"/>
          <w:szCs w:val="22"/>
          <w:highlight w:val="green"/>
        </w:rPr>
        <w:t xml:space="preserve">(Jiang et al. 2023)</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w:t>
      </w:r>
      <w:r>
        <w:rPr>
          <w:rFonts w:ascii="Times New Roman" w:cs="Times New Roman" w:eastAsia="Times New Roman" w:hAnsi="Times New Roman"/>
          <w:sz w:val="22"/>
          <w:szCs w:val="22"/>
          <w:highlight w:val="green"/>
        </w:rPr>
        <w:t xml:space="preserve">(Page et al. 2021)</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sz w:val="22"/>
          <w:szCs w:val="22"/>
          <w:highlight w:val="magenta"/>
        </w:rPr>
        <w:t xml:space="preserve">All screening, coding, and quality assessment up to the reporting checkpoint were carried out by the author,</w:t>
      </w:r>
      <w:r>
        <w:rPr>
          <w:rFonts w:ascii="Times New Roman" w:cs="Times New Roman" w:eastAsia="Times New Roman" w:hAnsi="Times New Roman"/>
          <w:sz w:val="22"/>
          <w:szCs w:val="22"/>
        </w:rPr>
        <w:t xml:space="preserve">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w:t>
      </w:r>
      <w:r>
        <w:rPr>
          <w:rFonts w:ascii="Times New Roman" w:cs="Times New Roman" w:eastAsia="Times New Roman" w:hAnsi="Times New Roman"/>
          <w:sz w:val="22"/>
          <w:szCs w:val="22"/>
          <w:highlight w:val="magenta"/>
        </w:rPr>
        <w:t xml:space="preserve">The questions follow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w:t>
      </w:r>
      <w:r>
        <w:rPr>
          <w:rFonts w:ascii="Times New Roman" w:cs="Times New Roman" w:eastAsia="Times New Roman" w:hAnsi="Times New Roman"/>
          <w:sz w:val="22"/>
          <w:szCs w:val="22"/>
          <w:highlight w:val="green"/>
        </w:rPr>
        <w:t xml:space="preserve">(Albalwy, Brass &amp; Davies 2021; Jaiman &amp; Urovi 2020; Madine et al. 2020; Tith et al. 2020)</w:t>
      </w:r>
      <w:r>
        <w:rPr>
          <w:rFonts w:ascii="Times New Roman" w:cs="Times New Roman" w:eastAsia="Times New Roman" w:hAnsi="Times New Roman"/>
          <w:sz w:val="22"/>
          <w:szCs w:val="22"/>
        </w:rPr>
        <w:t xml:space="preserve">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2.1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w:t>
      </w:r>
      <w:r>
        <w:rPr>
          <w:rFonts w:ascii="Times New Roman" w:cs="Times New Roman" w:eastAsia="Times New Roman" w:hAnsi="Times New Roman"/>
          <w:sz w:val="22"/>
          <w:szCs w:val="22"/>
        </w:rPr>
        <w:t xml:space="preserve">One full-text report could not be retrieved, and the</w:t>
      </w:r>
      <w:r>
        <w:rPr>
          <w:rFonts w:ascii="Times New Roman" w:cs="Times New Roman" w:eastAsia="Times New Roman" w:hAnsi="Times New Roman"/>
          <w:sz w:val="22"/>
          <w:szCs w:val="22"/>
        </w:rPr>
        <w:t xml:space="preserv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sz w:val="22"/>
          <w:szCs w:val="22"/>
        </w:rPr>
        <w:t xml:space="preserve">Table 2.1 shows the quality items, how each one was scored, and the rule used for inclusion.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 study is core</w:t>
      </w:r>
      <w:r>
        <w:rPr>
          <w:rFonts w:ascii="Times New Roman" w:cs="Times New Roman" w:eastAsia="Times New Roman" w:hAnsi="Times New Roman"/>
          <w:sz w:val="22"/>
          <w:szCs w:val="22"/>
        </w:rPr>
        <w:t xml:space="preserve"> if its gap-impact verdict is contradicts, weakens, or narrows, or if its T3 coding is Yes or Partial, which gives 23 core studies of the 44. With the two supporting studies of highest quality score 7.0 </w:t>
      </w:r>
      <w:r>
        <w:rPr>
          <w:rFonts w:ascii="Times New Roman" w:cs="Times New Roman" w:eastAsia="Times New Roman" w:hAnsi="Times New Roman"/>
          <w:sz w:val="22"/>
          <w:szCs w:val="22"/>
          <w:highlight w:val="green"/>
        </w:rPr>
        <w:t xml:space="preserve">(Albalwy, Brass &amp; Davies 2021; Li et al. 2026a)</w:t>
      </w:r>
      <w:r>
        <w:rPr>
          <w:rFonts w:ascii="Times New Roman" w:cs="Times New Roman" w:eastAsia="Times New Roman" w:hAnsi="Times New Roman"/>
          <w:sz w:val="22"/>
          <w:szCs w:val="22"/>
        </w:rPr>
        <w:t xml:space="preserve">, they form the 25 primary studies, S1 to S25. </w:t>
      </w:r>
      <w:r>
        <w:rPr>
          <w:rFonts w:ascii="Times New Roman" w:cs="Times New Roman" w:eastAsia="Times New Roman" w:hAnsi="Times New Roman"/>
          <w:sz w:val="22"/>
          <w:szCs w:val="22"/>
        </w:rPr>
        <w:t xml:space="preserve">Table 2.2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2.1: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5715000" cy="521970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5219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w:t>
            </w:r>
            <w:r>
              <w:rPr>
                <w:rFonts w:ascii="Times New Roman" w:cs="Times New Roman" w:eastAsia="Times New Roman" w:hAnsi="Times New Roman"/>
                <w:b w:val="false"/>
                <w:bCs w:val="false"/>
                <w:sz w:val="17"/>
                <w:szCs w:val="17"/>
              </w:rPr>
              <w:t xml:space="preserve">(2021)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w:t>
            </w:r>
            <w:r>
              <w:rPr>
                <w:rFonts w:ascii="Times New Roman" w:cs="Times New Roman" w:eastAsia="Times New Roman" w:hAnsi="Times New Roman"/>
                <w:b w:val="false"/>
                <w:bCs w:val="false"/>
                <w:sz w:val="17"/>
                <w:szCs w:val="17"/>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w:t>
            </w:r>
            <w:r>
              <w:rPr>
                <w:rFonts w:ascii="Times New Roman" w:cs="Times New Roman" w:eastAsia="Times New Roman" w:hAnsi="Times New Roman"/>
                <w:b w:val="false"/>
                <w:bCs w:val="false"/>
                <w:sz w:val="17"/>
                <w:szCs w:val="17"/>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rPr>
              <w:t xml:space="preserve">(2026b)</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w:t>
            </w:r>
            <w:r>
              <w:rPr>
                <w:rFonts w:ascii="Times New Roman" w:cs="Times New Roman" w:eastAsia="Times New Roman" w:hAnsi="Times New Roman"/>
                <w:b w:val="false"/>
                <w:bCs w:val="false"/>
                <w:sz w:val="17"/>
                <w:szCs w:val="17"/>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w:t>
            </w:r>
            <w:r>
              <w:rPr>
                <w:rFonts w:ascii="Times New Roman" w:cs="Times New Roman" w:eastAsia="Times New Roman" w:hAnsi="Times New Roman"/>
                <w:b w:val="false"/>
                <w:bCs w:val="false"/>
                <w:sz w:val="17"/>
                <w:szCs w:val="17"/>
              </w:rPr>
              <w:t xml:space="preserve">(2022)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sz w:val="22"/>
          <w:szCs w:val="22"/>
        </w:rPr>
        <w:t xml:space="preserve">Each included study was assigned to one stream, normally the one on which it is coded most strongly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S6 </w:t>
      </w:r>
      <w:r>
        <w:rPr>
          <w:rFonts w:ascii="Times New Roman" w:cs="Times New Roman" w:eastAsia="Times New Roman" w:hAnsi="Times New Roman"/>
          <w:sz w:val="22"/>
          <w:szCs w:val="22"/>
          <w:highlight w:val="green"/>
        </w:rPr>
        <w:t xml:space="preserve">(Hagström et al. 2024)</w:t>
      </w:r>
      <w:r>
        <w:rPr>
          <w:rFonts w:ascii="Times New Roman" w:cs="Times New Roman" w:eastAsia="Times New Roman" w:hAnsi="Times New Roman"/>
          <w:sz w:val="22"/>
          <w:szCs w:val="22"/>
        </w:rPr>
        <w:t xml:space="preserve">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SooHoo</w:t>
      </w:r>
      <w:r>
        <w:rPr>
          <w:rFonts w:ascii="Times New Roman" w:cs="Times New Roman" w:eastAsia="Times New Roman" w:hAnsi="Times New Roman"/>
          <w:sz w:val="22"/>
          <w:szCs w:val="22"/>
        </w:rPr>
        <w:t xml:space="preserve"> et al. </w:t>
      </w:r>
      <w:r>
        <w:rPr>
          <w:rFonts w:ascii="Times New Roman" w:cs="Times New Roman" w:eastAsia="Times New Roman" w:hAnsi="Times New Roman"/>
          <w:sz w:val="22"/>
          <w:szCs w:val="22"/>
          <w:highlight w:val="green"/>
        </w:rPr>
        <w:t xml:space="preserve">(2026)</w:t>
      </w:r>
      <w:r>
        <w:rPr>
          <w:rFonts w:ascii="Times New Roman" w:cs="Times New Roman" w:eastAsia="Times New Roman" w:hAnsi="Times New Roman"/>
          <w:sz w:val="22"/>
          <w:szCs w:val="22"/>
        </w:rPr>
        <w:t xml:space="preserve"> describe the iAgree portal across three United States health systems with a permissioned Ethereum audit contract, but consent enforcement is outside its scope. Tremper et al. </w:t>
      </w:r>
      <w:r>
        <w:rPr>
          <w:rFonts w:ascii="Times New Roman" w:cs="Times New Roman" w:eastAsia="Times New Roman" w:hAnsi="Times New Roman"/>
          <w:sz w:val="22"/>
          <w:szCs w:val="22"/>
          <w:highlight w:val="green"/>
        </w:rPr>
        <w:t xml:space="preserve">(2026)</w:t>
      </w:r>
      <w:r>
        <w:rPr>
          <w:rFonts w:ascii="Times New Roman" w:cs="Times New Roman" w:eastAsia="Times New Roman" w:hAnsi="Times New Roman"/>
          <w:sz w:val="22"/>
          <w:szCs w:val="22"/>
        </w:rPr>
        <w:t xml:space="preserve"> report ten years of the Mainzelliste service with FHIR consent directives, but specify no check semantics and no demonstrated enforcement of withdrawal. </w:t>
      </w:r>
      <w:r>
        <w:rPr>
          <w:rFonts w:ascii="Times New Roman" w:cs="Times New Roman" w:eastAsia="Times New Roman" w:hAnsi="Times New Roman"/>
          <w:sz w:val="22"/>
          <w:szCs w:val="22"/>
        </w:rPr>
        <w:t xml:space="preserve">The two platforms are single-party systems. Al Amin et al. </w:t>
      </w:r>
      <w:r>
        <w:rPr>
          <w:rFonts w:ascii="Times New Roman" w:cs="Times New Roman" w:eastAsia="Times New Roman" w:hAnsi="Times New Roman"/>
          <w:sz w:val="22"/>
          <w:szCs w:val="22"/>
          <w:highlight w:val="green"/>
        </w:rPr>
        <w:t xml:space="preserve">(2023)</w:t>
      </w:r>
      <w:r>
        <w:rPr>
          <w:rFonts w:ascii="Times New Roman" w:cs="Times New Roman" w:eastAsia="Times New Roman" w:hAnsi="Times New Roman"/>
          <w:sz w:val="22"/>
          <w:szCs w:val="22"/>
        </w:rPr>
        <w:t xml:space="preserve">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sz w:val="22"/>
          <w:szCs w:val="22"/>
        </w:rPr>
        <w:t xml:space="preserve">operation </w:t>
      </w:r>
      <w:r>
        <w:rPr>
          <w:rFonts w:ascii="Times New Roman" w:cs="Times New Roman" w:eastAsia="Times New Roman" w:hAnsi="Times New Roman"/>
          <w:sz w:val="22"/>
          <w:szCs w:val="22"/>
          <w:highlight w:val="green"/>
        </w:rPr>
        <w:t xml:space="preserve">(Akter &amp; Sanam 2025; Prashanth et al. 2024)</w:t>
      </w:r>
      <w:r>
        <w:rPr>
          <w:rFonts w:ascii="Times New Roman" w:cs="Times New Roman" w:eastAsia="Times New Roman" w:hAnsi="Times New Roman"/>
          <w:sz w:val="22"/>
          <w:szCs w:val="22"/>
        </w:rPr>
        <w:t xml:space="preserve">, as conditions fixed at encryption time </w:t>
      </w:r>
      <w:r>
        <w:rPr>
          <w:rFonts w:ascii="Times New Roman" w:cs="Times New Roman" w:eastAsia="Times New Roman" w:hAnsi="Times New Roman"/>
          <w:sz w:val="22"/>
          <w:szCs w:val="22"/>
          <w:highlight w:val="green"/>
        </w:rPr>
        <w:t xml:space="preserve">(Zhang, Kan &amp; Huang 2022)</w:t>
      </w:r>
      <w:r>
        <w:rPr>
          <w:rFonts w:ascii="Times New Roman" w:cs="Times New Roman" w:eastAsia="Times New Roman" w:hAnsi="Times New Roman"/>
          <w:sz w:val="22"/>
          <w:szCs w:val="22"/>
        </w:rPr>
        <w:t xml:space="preserve">, or as a key issued by the patient for each request </w:t>
      </w:r>
      <w:r>
        <w:rPr>
          <w:rFonts w:ascii="Times New Roman" w:cs="Times New Roman" w:eastAsia="Times New Roman" w:hAnsi="Times New Roman"/>
          <w:sz w:val="22"/>
          <w:szCs w:val="22"/>
          <w:highlight w:val="green"/>
        </w:rPr>
        <w:t xml:space="preserve">(Teeda &amp; Subba Rao 2026)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r>
        <w:rPr>
          <w:rFonts w:ascii="Times New Roman" w:cs="Times New Roman" w:eastAsia="Times New Roman" w:hAnsi="Times New Roman"/>
          <w:sz w:val="22"/>
          <w:szCs w:val="22"/>
        </w:rPr>
        <w:t xml:space="preserve"> Table 2.3 summarises the description and the issues and limitations of each primary study.</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trust dimension T2 was graded Yes in only 10 of the 25 studies and Partial in 15, and the stricter Req 2 grade in Table 2.4, which needs both identity and authority, is Yes in only 7.</w:t>
      </w:r>
      <w:r>
        <w:rPr>
          <w:rFonts w:ascii="Times New Roman" w:cs="Times New Roman" w:eastAsia="Times New Roman" w:hAnsi="Times New Roman"/>
          <w:sz w:val="22"/>
          <w:szCs w:val="22"/>
        </w:rPr>
        <w:t xml:space="preserve"> Phuyal et al. </w:t>
      </w:r>
      <w:r>
        <w:rPr>
          <w:rFonts w:ascii="Times New Roman" w:cs="Times New Roman" w:eastAsia="Times New Roman" w:hAnsi="Times New Roman"/>
          <w:sz w:val="22"/>
          <w:szCs w:val="22"/>
          <w:highlight w:val="green"/>
        </w:rPr>
        <w:t xml:space="preserve">(2026b)</w:t>
      </w:r>
      <w:r>
        <w:rPr>
          <w:rFonts w:ascii="Times New Roman" w:cs="Times New Roman" w:eastAsia="Times New Roman" w:hAnsi="Times New Roman"/>
          <w:sz w:val="22"/>
          <w:szCs w:val="22"/>
        </w:rPr>
        <w:t xml:space="preserve">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w:t>
      </w:r>
      <w:r>
        <w:rPr>
          <w:rFonts w:ascii="Times New Roman" w:cs="Times New Roman" w:eastAsia="Times New Roman" w:hAnsi="Times New Roman"/>
          <w:sz w:val="22"/>
          <w:szCs w:val="22"/>
          <w:highlight w:val="green"/>
        </w:rPr>
        <w:t xml:space="preserve">(Phuyal et al. 2026a)</w:t>
      </w:r>
      <w:r>
        <w:rPr>
          <w:rFonts w:ascii="Times New Roman" w:cs="Times New Roman" w:eastAsia="Times New Roman" w:hAnsi="Times New Roman"/>
          <w:sz w:val="22"/>
          <w:szCs w:val="22"/>
        </w:rPr>
        <w:t xml:space="preserve"> is design-only. Tseng et al. </w:t>
      </w:r>
      <w:r>
        <w:rPr>
          <w:rFonts w:ascii="Times New Roman" w:cs="Times New Roman" w:eastAsia="Times New Roman" w:hAnsi="Times New Roman"/>
          <w:sz w:val="22"/>
          <w:szCs w:val="22"/>
          <w:highlight w:val="green"/>
        </w:rPr>
        <w:t xml:space="preserve">(2025)</w:t>
      </w:r>
      <w:r>
        <w:rPr>
          <w:rFonts w:ascii="Times New Roman" w:cs="Times New Roman" w:eastAsia="Times New Roman" w:hAnsi="Times New Roman"/>
          <w:sz w:val="22"/>
          <w:szCs w:val="22"/>
        </w:rPr>
        <w:t xml:space="preserve">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w:t>
      </w:r>
      <w:r>
        <w:rPr>
          <w:rFonts w:ascii="Times New Roman" w:cs="Times New Roman" w:eastAsia="Times New Roman" w:hAnsi="Times New Roman"/>
          <w:sz w:val="22"/>
          <w:szCs w:val="22"/>
          <w:highlight w:val="green"/>
        </w:rPr>
        <w:t xml:space="preserve">(2020)</w:t>
      </w:r>
      <w:r>
        <w:rPr>
          <w:rFonts w:ascii="Times New Roman" w:cs="Times New Roman" w:eastAsia="Times New Roman" w:hAnsi="Times New Roman"/>
          <w:sz w:val="22"/>
          <w:szCs w:val="22"/>
        </w:rPr>
        <w:t xml:space="preserve"> require a regulator and a guardian threshold on the incapacitated path, but a single patient key suffices on the normal path. Wu et al. </w:t>
      </w:r>
      <w:r>
        <w:rPr>
          <w:rFonts w:ascii="Times New Roman" w:cs="Times New Roman" w:eastAsia="Times New Roman" w:hAnsi="Times New Roman"/>
          <w:sz w:val="22"/>
          <w:szCs w:val="22"/>
          <w:highlight w:val="green"/>
        </w:rPr>
        <w:t xml:space="preserve">(2022)</w:t>
      </w:r>
      <w:r>
        <w:rPr>
          <w:rFonts w:ascii="Times New Roman" w:cs="Times New Roman" w:eastAsia="Times New Roman" w:hAnsi="Times New Roman"/>
          <w:sz w:val="22"/>
          <w:szCs w:val="22"/>
        </w:rPr>
        <w:t xml:space="preserve"> apply a (t, n) investigator threshold to record admission and revocation, and Abbasi et al. </w:t>
      </w:r>
      <w:r>
        <w:rPr>
          <w:rFonts w:ascii="Times New Roman" w:cs="Times New Roman" w:eastAsia="Times New Roman" w:hAnsi="Times New Roman"/>
          <w:sz w:val="22"/>
          <w:szCs w:val="22"/>
          <w:highlight w:val="green"/>
        </w:rPr>
        <w:t xml:space="preserve">(2026)</w:t>
      </w:r>
      <w:r>
        <w:rPr>
          <w:rFonts w:ascii="Times New Roman" w:cs="Times New Roman" w:eastAsia="Times New Roman" w:hAnsi="Times New Roman"/>
          <w:sz w:val="22"/>
          <w:szCs w:val="22"/>
        </w:rPr>
        <w:t xml:space="preserve"> use a Shamir (5, 3) threshold for key custody. Punia et al. </w:t>
      </w:r>
      <w:r>
        <w:rPr>
          <w:rFonts w:ascii="Times New Roman" w:cs="Times New Roman" w:eastAsia="Times New Roman" w:hAnsi="Times New Roman"/>
          <w:sz w:val="22"/>
          <w:szCs w:val="22"/>
          <w:highlight w:val="green"/>
        </w:rPr>
        <w:t xml:space="preserve">(2025)</w:t>
      </w:r>
      <w:r>
        <w:rPr>
          <w:rFonts w:ascii="Times New Roman" w:cs="Times New Roman" w:eastAsia="Times New Roman" w:hAnsi="Times New Roman"/>
          <w:sz w:val="22"/>
          <w:szCs w:val="22"/>
        </w:rPr>
        <w:t xml:space="preserve"> conjoin an M-of-N multi-signature with an attribute and role policy, but a single emergency officer can bypass the threshold. Tan et al. </w:t>
      </w:r>
      <w:r>
        <w:rPr>
          <w:rFonts w:ascii="Times New Roman" w:cs="Times New Roman" w:eastAsia="Times New Roman" w:hAnsi="Times New Roman"/>
          <w:sz w:val="22"/>
          <w:szCs w:val="22"/>
          <w:highlight w:val="green"/>
        </w:rPr>
        <w:t xml:space="preserve">(2024)</w:t>
      </w:r>
      <w:r>
        <w:rPr>
          <w:rFonts w:ascii="Times New Roman" w:cs="Times New Roman" w:eastAsia="Times New Roman" w:hAnsi="Times New Roman"/>
          <w:sz w:val="22"/>
          <w:szCs w:val="22"/>
        </w:rPr>
        <w:t xml:space="preserve"> use patient-appointed verifiers as a contingency, </w:t>
      </w:r>
      <w:r>
        <w:rPr>
          <w:rFonts w:ascii="Times New Roman" w:cs="Times New Roman" w:eastAsia="Times New Roman" w:hAnsi="Times New Roman"/>
          <w:sz w:val="22"/>
          <w:szCs w:val="22"/>
          <w:highlight w:val="green"/>
        </w:rPr>
        <w:t xml:space="preserve">(Ekholm et al. 2025)</w:t>
      </w:r>
      <w:r>
        <w:rPr>
          <w:rFonts w:ascii="Times New Roman" w:cs="Times New Roman" w:eastAsia="Times New Roman" w:hAnsi="Times New Roman"/>
          <w:sz w:val="22"/>
          <w:szCs w:val="22"/>
        </w:rPr>
        <w:t xml:space="preserve"> reports guardian co-consent at registration time, and </w:t>
      </w:r>
      <w:r>
        <w:rPr>
          <w:rFonts w:ascii="Times New Roman" w:cs="Times New Roman" w:eastAsia="Times New Roman" w:hAnsi="Times New Roman"/>
          <w:sz w:val="22"/>
          <w:szCs w:val="22"/>
          <w:highlight w:val="green"/>
        </w:rPr>
        <w:t xml:space="preserve">(Hagström et al. 2024)</w:t>
      </w:r>
      <w:r>
        <w:rPr>
          <w:rFonts w:ascii="Times New Roman" w:cs="Times New Roman" w:eastAsia="Times New Roman" w:hAnsi="Times New Roman"/>
          <w:sz w:val="22"/>
          <w:szCs w:val="22"/>
        </w:rPr>
        <w:t xml:space="preserve">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Tith et al. </w:t>
      </w:r>
      <w:r>
        <w:rPr>
          <w:rFonts w:ascii="Times New Roman" w:cs="Times New Roman" w:eastAsia="Times New Roman" w:hAnsi="Times New Roman"/>
          <w:sz w:val="22"/>
          <w:szCs w:val="22"/>
          <w:highlight w:val="green"/>
        </w:rPr>
        <w:t xml:space="preserve">(2020)</w:t>
      </w:r>
      <w:r>
        <w:rPr>
          <w:rFonts w:ascii="Times New Roman" w:cs="Times New Roman" w:eastAsia="Times New Roman" w:hAnsi="Times New Roman"/>
          <w:sz w:val="22"/>
          <w:szCs w:val="22"/>
        </w:rPr>
        <w:t xml:space="preserve"> match a purpose tree in chaincode, and Jaiman and Urovi </w:t>
      </w:r>
      <w:r>
        <w:rPr>
          <w:rFonts w:ascii="Times New Roman" w:cs="Times New Roman" w:eastAsia="Times New Roman" w:hAnsi="Times New Roman"/>
          <w:sz w:val="22"/>
          <w:szCs w:val="22"/>
          <w:highlight w:val="green"/>
        </w:rPr>
        <w:t xml:space="preserve">(2020)</w:t>
      </w:r>
      <w:r>
        <w:rPr>
          <w:rFonts w:ascii="Times New Roman" w:cs="Times New Roman" w:eastAsia="Times New Roman" w:hAnsi="Times New Roman"/>
          <w:sz w:val="22"/>
          <w:szCs w:val="22"/>
        </w:rPr>
        <w:t xml:space="preserve"> match ontology terms against the patient's consent. Albalwy et al. </w:t>
      </w:r>
      <w:r>
        <w:rPr>
          <w:rFonts w:ascii="Times New Roman" w:cs="Times New Roman" w:eastAsia="Times New Roman" w:hAnsi="Times New Roman"/>
          <w:sz w:val="22"/>
          <w:szCs w:val="22"/>
          <w:highlight w:val="green"/>
        </w:rPr>
        <w:t xml:space="preserve">(2021)</w:t>
      </w:r>
      <w:r>
        <w:rPr>
          <w:rFonts w:ascii="Times New Roman" w:cs="Times New Roman" w:eastAsia="Times New Roman" w:hAnsi="Times New Roman"/>
          <w:sz w:val="22"/>
          <w:szCs w:val="22"/>
        </w:rPr>
        <w:t xml:space="preserve"> evaluate a hashed policy tree of data type, role, and purpose, and Román-Martínez et al. </w:t>
      </w:r>
      <w:r>
        <w:rPr>
          <w:rFonts w:ascii="Times New Roman" w:cs="Times New Roman" w:eastAsia="Times New Roman" w:hAnsi="Times New Roman"/>
          <w:sz w:val="22"/>
          <w:szCs w:val="22"/>
          <w:highlight w:val="green"/>
        </w:rPr>
        <w:t xml:space="preserve">(2023)</w:t>
      </w:r>
      <w:r>
        <w:rPr>
          <w:rFonts w:ascii="Times New Roman" w:cs="Times New Roman" w:eastAsia="Times New Roman" w:hAnsi="Times New Roman"/>
          <w:sz w:val="22"/>
          <w:szCs w:val="22"/>
        </w:rPr>
        <w:t xml:space="preserve"> evaluate the FHIR purpose-of-use through XACML. </w:t>
      </w:r>
      <w:r>
        <w:rPr>
          <w:rFonts w:ascii="Times New Roman" w:cs="Times New Roman" w:eastAsia="Times New Roman" w:hAnsi="Times New Roman"/>
          <w:sz w:val="22"/>
          <w:szCs w:val="22"/>
        </w:rPr>
        <w:t xml:space="preserve">The trust dimension T4 is coded Yes in 11 studies, Partial in 10, and No in 4, and the Req 4 grade in Table 2.4 is Yes in 10, Partial in 11, and No in 4.</w:t>
      </w:r>
      <w:r>
        <w:rPr>
          <w:rFonts w:ascii="Times New Roman" w:cs="Times New Roman" w:eastAsia="Times New Roman" w:hAnsi="Times New Roman"/>
          <w:sz w:val="22"/>
          <w:szCs w:val="22"/>
        </w:rPr>
        <w:t xml:space="preserve"> However, purpose-of-use enters the decision in only six studies </w:t>
      </w:r>
      <w:r>
        <w:rPr>
          <w:rFonts w:ascii="Times New Roman" w:cs="Times New Roman" w:eastAsia="Times New Roman" w:hAnsi="Times New Roman"/>
          <w:sz w:val="22"/>
          <w:szCs w:val="22"/>
          <w:highlight w:val="green"/>
        </w:rPr>
        <w:t xml:space="preserve">(Eneh et al. 2026; Panagoulias et al. 2026)</w:t>
      </w:r>
      <w:r>
        <w:rPr>
          <w:rFonts w:ascii="Times New Roman" w:cs="Times New Roman" w:eastAsia="Times New Roman" w:hAnsi="Times New Roman"/>
          <w:sz w:val="22"/>
          <w:szCs w:val="22"/>
        </w:rPr>
        <w:t xml:space="preserve">,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w:t>
      </w:r>
      <w:r>
        <w:rPr>
          <w:rFonts w:ascii="Times New Roman" w:cs="Times New Roman" w:eastAsia="Times New Roman" w:hAnsi="Times New Roman"/>
          <w:sz w:val="22"/>
          <w:szCs w:val="22"/>
          <w:highlight w:val="green"/>
        </w:rPr>
        <w:t xml:space="preserve">(2026)</w:t>
      </w:r>
      <w:r>
        <w:rPr>
          <w:rFonts w:ascii="Times New Roman" w:cs="Times New Roman" w:eastAsia="Times New Roman" w:hAnsi="Times New Roman"/>
          <w:sz w:val="22"/>
          <w:szCs w:val="22"/>
        </w:rPr>
        <w:t xml:space="preserve"> present EdgeConsent, </w:t>
      </w:r>
      <w:r>
        <w:rPr>
          <w:rFonts w:ascii="Times New Roman" w:cs="Times New Roman" w:eastAsia="Times New Roman" w:hAnsi="Times New Roman"/>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w:t>
      </w:r>
      <w:r>
        <w:rPr>
          <w:rFonts w:ascii="Times New Roman" w:cs="Times New Roman" w:eastAsia="Times New Roman" w:hAnsi="Times New Roman"/>
          <w:sz w:val="22"/>
          <w:szCs w:val="22"/>
          <w:highlight w:val="green"/>
        </w:rPr>
        <w:t xml:space="preserve">(2026)</w:t>
      </w:r>
      <w:r>
        <w:rPr>
          <w:rFonts w:ascii="Times New Roman" w:cs="Times New Roman" w:eastAsia="Times New Roman" w:hAnsi="Times New Roman"/>
          <w:sz w:val="22"/>
          <w:szCs w:val="22"/>
        </w:rPr>
        <w:t xml:space="preserve"> bind the expiry into key derivation, and Panagoulias et al. </w:t>
      </w:r>
      <w:r>
        <w:rPr>
          <w:rFonts w:ascii="Times New Roman" w:cs="Times New Roman" w:eastAsia="Times New Roman" w:hAnsi="Times New Roman"/>
          <w:sz w:val="22"/>
          <w:szCs w:val="22"/>
          <w:highlight w:val="green"/>
        </w:rPr>
        <w:t xml:space="preserve">(2026)</w:t>
      </w:r>
      <w:r>
        <w:rPr>
          <w:rFonts w:ascii="Times New Roman" w:cs="Times New Roman" w:eastAsia="Times New Roman" w:hAnsi="Times New Roman"/>
          <w:sz w:val="22"/>
          <w:szCs w:val="22"/>
        </w:rPr>
        <w:t xml:space="preserve"> enforce revocation at decision time across 43,500 simulated attempts in a single-node ledger. </w:t>
      </w:r>
      <w:r>
        <w:rPr>
          <w:rFonts w:ascii="Times New Roman" w:cs="Times New Roman" w:eastAsia="Times New Roman" w:hAnsi="Times New Roman"/>
          <w:sz w:val="22"/>
          <w:szCs w:val="22"/>
        </w:rPr>
        <w:t xml:space="preserve">T5 is coded Yes in 8 studies and T6 in 7, a post-revocation denial </w:t>
      </w:r>
      <w:r>
        <w:rPr>
          <w:rFonts w:ascii="Times New Roman" w:cs="Times New Roman" w:eastAsia="Times New Roman" w:hAnsi="Times New Roman"/>
          <w:sz w:val="22"/>
          <w:szCs w:val="22"/>
        </w:rPr>
        <w:t xml:space="preserve">is demonstrated only by </w:t>
      </w:r>
      <w:r>
        <w:rPr>
          <w:rFonts w:ascii="Times New Roman" w:cs="Times New Roman" w:eastAsia="Times New Roman" w:hAnsi="Times New Roman"/>
          <w:sz w:val="22"/>
          <w:szCs w:val="22"/>
          <w:highlight w:val="green"/>
        </w:rPr>
        <w:t xml:space="preserve">(Phuyal et al. 2026b)</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and the </w:t>
      </w:r>
      <w:r>
        <w:rPr>
          <w:rFonts w:ascii="Times New Roman" w:cs="Times New Roman" w:eastAsia="Times New Roman" w:hAnsi="Times New Roman"/>
          <w:sz w:val="22"/>
          <w:szCs w:val="22"/>
        </w:rPr>
        <w:t xml:space="preserve">four</w:t>
      </w:r>
      <w:r>
        <w:rPr>
          <w:rFonts w:ascii="Times New Roman" w:cs="Times New Roman" w:eastAsia="Times New Roman" w:hAnsi="Times New Roman"/>
          <w:sz w:val="22"/>
          <w:szCs w:val="22"/>
        </w:rPr>
        <w:t xml:space="preserve"> stream-5 systems that enforce time inside the decision are all single-party</w:t>
      </w:r>
      <w:r>
        <w:rPr>
          <w:rFonts w:ascii="Times New Roman" w:cs="Times New Roman" w:eastAsia="Times New Roman" w:hAnsi="Times New Roman"/>
          <w:sz w:val="22"/>
          <w:szCs w:val="22"/>
        </w:rPr>
        <w:t xml:space="preserve">, with doing so through the credential rather than the consent</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w:t>
      </w:r>
      <w:r>
        <w:rPr>
          <w:rFonts w:ascii="Times New Roman" w:cs="Times New Roman" w:eastAsia="Times New Roman" w:hAnsi="Times New Roman"/>
          <w:sz w:val="22"/>
          <w:szCs w:val="22"/>
          <w:highlight w:val="green"/>
        </w:rPr>
        <w:t xml:space="preserve">(2025)</w:t>
      </w:r>
      <w:r>
        <w:rPr>
          <w:rFonts w:ascii="Times New Roman" w:cs="Times New Roman" w:eastAsia="Times New Roman" w:hAnsi="Times New Roman"/>
          <w:sz w:val="22"/>
          <w:szCs w:val="22"/>
        </w:rPr>
        <w:t xml:space="preserve"> present HealthDID, with three game-based definitions and three theorems proved by reduction, although </w:t>
      </w:r>
      <w:r>
        <w:rPr>
          <w:rFonts w:ascii="Times New Roman" w:cs="Times New Roman" w:eastAsia="Times New Roman" w:hAnsi="Times New Roman"/>
          <w:sz w:val="22"/>
          <w:szCs w:val="22"/>
        </w:rPr>
        <w:t xml:space="preserve">the proofs cover</w:t>
      </w:r>
      <w:r>
        <w:rPr>
          <w:rFonts w:ascii="Times New Roman" w:cs="Times New Roman" w:eastAsia="Times New Roman" w:hAnsi="Times New Roman"/>
          <w:sz w:val="22"/>
          <w:szCs w:val="22"/>
        </w:rPr>
        <w:t xml:space="preserve"> only the identity and authority fragment. Zhao and Su </w:t>
      </w:r>
      <w:r>
        <w:rPr>
          <w:rFonts w:ascii="Times New Roman" w:cs="Times New Roman" w:eastAsia="Times New Roman" w:hAnsi="Times New Roman"/>
          <w:sz w:val="22"/>
          <w:szCs w:val="22"/>
          <w:highlight w:val="green"/>
        </w:rPr>
        <w:t xml:space="preserve">(2024)</w:t>
      </w:r>
      <w:r>
        <w:rPr>
          <w:rFonts w:ascii="Times New Roman" w:cs="Times New Roman" w:eastAsia="Times New Roman" w:hAnsi="Times New Roman"/>
          <w:sz w:val="22"/>
          <w:szCs w:val="22"/>
        </w:rPr>
        <w:t xml:space="preserve"> and Maruthi and Singh </w:t>
      </w:r>
      <w:r>
        <w:rPr>
          <w:rFonts w:ascii="Times New Roman" w:cs="Times New Roman" w:eastAsia="Times New Roman" w:hAnsi="Times New Roman"/>
          <w:sz w:val="22"/>
          <w:szCs w:val="22"/>
          <w:highlight w:val="green"/>
        </w:rPr>
        <w:t xml:space="preserve">(2025)</w:t>
      </w:r>
      <w:r>
        <w:rPr>
          <w:rFonts w:ascii="Times New Roman" w:cs="Times New Roman" w:eastAsia="Times New Roman" w:hAnsi="Times New Roman"/>
          <w:sz w:val="22"/>
          <w:szCs w:val="22"/>
        </w:rPr>
        <w:t xml:space="preserve"> prove threshold gates in isolation, and Mei et al. </w:t>
      </w:r>
      <w:r>
        <w:rPr>
          <w:rFonts w:ascii="Times New Roman" w:cs="Times New Roman" w:eastAsia="Times New Roman" w:hAnsi="Times New Roman"/>
          <w:sz w:val="22"/>
          <w:szCs w:val="22"/>
          <w:highlight w:val="green"/>
        </w:rPr>
        <w:t xml:space="preserve">(2026)</w:t>
      </w:r>
      <w:r>
        <w:rPr>
          <w:rFonts w:ascii="Times New Roman" w:cs="Times New Roman" w:eastAsia="Times New Roman" w:hAnsi="Times New Roman"/>
          <w:sz w:val="22"/>
          <w:szCs w:val="22"/>
        </w:rPr>
        <w:t xml:space="preserve"> prove a static encryption predicate. Formal assurance is coded Yes in only 4 of the 25 studies, and empirical validation Yes in 5, Partial in 19, and No in 1. </w:t>
      </w:r>
      <w:r>
        <w:rPr>
          <w:rFonts w:ascii="Times New Roman" w:cs="Times New Roman" w:eastAsia="Times New Roman" w:hAnsi="Times New Roman"/>
          <w:sz w:val="22"/>
          <w:szCs w:val="22"/>
          <w:highlight w:val="magenta"/>
        </w:rPr>
        <w:t xml:space="preserve">An inverse relation between predicate breadth and assurance strength was observed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w:t>
      </w:r>
    </w:p>
    <w:p>
      <w:pPr>
        <w:keepNext/>
        <w:spacing w:after="80" w:before="200"/>
        <w:jc w:val="center"/>
      </w:pPr>
      <w:r>
        <w:rPr>
          <w:rFonts w:ascii="Times New Roman" w:cs="Times New Roman" w:eastAsia="Times New Roman" w:hAnsi="Times New Roman"/>
          <w:b/>
          <w:bCs/>
          <w:sz w:val="18"/>
          <w:szCs w:val="18"/>
        </w:rPr>
        <w:t xml:space="preserve">Table 2.3: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w:t>
            </w:r>
            <w:r>
              <w:rPr>
                <w:rFonts w:ascii="Times New Roman" w:cs="Times New Roman" w:eastAsia="Times New Roman" w:hAnsi="Times New Roman"/>
                <w:b w:val="false"/>
                <w:bCs w:val="false"/>
                <w:sz w:val="17"/>
                <w:szCs w:val="17"/>
              </w:rPr>
              <w:t xml:space="preserve">(2021)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w:t>
            </w:r>
            <w:r>
              <w:rPr>
                <w:rFonts w:ascii="Times New Roman" w:cs="Times New Roman" w:eastAsia="Times New Roman" w:hAnsi="Times New Roman"/>
                <w:b w:val="false"/>
                <w:bCs w:val="false"/>
                <w:sz w:val="17"/>
                <w:szCs w:val="17"/>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w:t>
            </w:r>
            <w:r>
              <w:rPr>
                <w:rFonts w:ascii="Times New Roman" w:cs="Times New Roman" w:eastAsia="Times New Roman" w:hAnsi="Times New Roman"/>
                <w:b w:val="false"/>
                <w:bCs w:val="false"/>
                <w:sz w:val="17"/>
                <w:szCs w:val="17"/>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w:t>
            </w:r>
            <w:r>
              <w:rPr>
                <w:rFonts w:ascii="Times New Roman" w:cs="Times New Roman" w:eastAsia="Times New Roman" w:hAnsi="Times New Roman"/>
                <w:b w:val="false"/>
                <w:bCs w:val="false"/>
                <w:sz w:val="17"/>
                <w:szCs w:val="17"/>
              </w:rPr>
              <w:t xml:space="preserve">(2026b)</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w:t>
            </w:r>
            <w:r>
              <w:rPr>
                <w:rFonts w:ascii="Times New Roman" w:cs="Times New Roman" w:eastAsia="Times New Roman" w:hAnsi="Times New Roman"/>
                <w:b w:val="false"/>
                <w:bCs w:val="false"/>
                <w:sz w:val="17"/>
                <w:szCs w:val="17"/>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w:t>
            </w:r>
            <w:r>
              <w:rPr>
                <w:rFonts w:ascii="Times New Roman" w:cs="Times New Roman" w:eastAsia="Times New Roman" w:hAnsi="Times New Roman"/>
                <w:b w:val="false"/>
                <w:bCs w:val="false"/>
                <w:sz w:val="17"/>
                <w:szCs w:val="17"/>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w:t>
            </w:r>
            <w:r>
              <w:rPr>
                <w:rFonts w:ascii="Times New Roman" w:cs="Times New Roman" w:eastAsia="Times New Roman" w:hAnsi="Times New Roman"/>
                <w:b w:val="false"/>
                <w:bCs w:val="false"/>
                <w:sz w:val="17"/>
                <w:szCs w:val="17"/>
              </w:rPr>
              <w:t xml:space="preserve">(2022)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z w:val="22"/>
          <w:szCs w:val="22"/>
          <w:highlight w:val="magenta"/>
        </w:rPr>
        <w:t xml:space="preserve">Existing approaches solve single dimensions of trustworthy data sharing, each at a different layer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sz w:val="22"/>
          <w:szCs w:val="22"/>
        </w:rPr>
        <w:t xml:space="preserve">The multi-party systems carry no purpose condition, whereas the proved schemes either omit policy, temporal validity, and lifecycle or, as in </w:t>
      </w:r>
      <w:r>
        <w:rPr>
          <w:rFonts w:ascii="Times New Roman" w:cs="Times New Roman" w:eastAsia="Times New Roman" w:hAnsi="Times New Roman"/>
          <w:sz w:val="22"/>
          <w:szCs w:val="22"/>
          <w:highlight w:val="green"/>
        </w:rPr>
        <w:t xml:space="preserve">(Mei et al. 2026)</w:t>
      </w:r>
      <w:r>
        <w:rPr>
          <w:rFonts w:ascii="Times New Roman" w:cs="Times New Roman" w:eastAsia="Times New Roman" w:hAnsi="Times New Roman"/>
          <w:sz w:val="22"/>
          <w:szCs w:val="22"/>
        </w:rPr>
        <w:t xml:space="preserve">, prove only a static encryption predicate.</w:t>
      </w:r>
      <w:r>
        <w:rPr>
          <w:rFonts w:ascii="Times New Roman" w:cs="Times New Roman" w:eastAsia="Times New Roman" w:hAnsi="Times New Roman"/>
          <w:sz w:val="22"/>
          <w:szCs w:val="22"/>
        </w:rPr>
        <w:t xml:space="preserve"> Table 2.4 summarises the 25 studies against the six requirements, </w:t>
      </w:r>
      <w:r>
        <w:rPr>
          <w:rFonts w:ascii="Times New Roman" w:cs="Times New Roman" w:eastAsia="Times New Roman" w:hAnsi="Times New Roman"/>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2.4: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w:t>
      </w:r>
      <w:r>
        <w:rPr>
          <w:rFonts w:ascii="Times New Roman" w:cs="Times New Roman" w:eastAsia="Times New Roman" w:hAnsi="Times New Roman"/>
          <w:sz w:val="22"/>
          <w:szCs w:val="22"/>
          <w:highlight w:val="green"/>
        </w:rPr>
        <w:t xml:space="preserve">(Madine et al. 2020)</w:t>
      </w:r>
      <w:r>
        <w:rPr>
          <w:rFonts w:ascii="Times New Roman" w:cs="Times New Roman" w:eastAsia="Times New Roman" w:hAnsi="Times New Roman"/>
          <w:sz w:val="22"/>
          <w:szCs w:val="22"/>
        </w:rPr>
        <w:t xml:space="preserve"> and </w:t>
      </w:r>
      <w:r>
        <w:rPr>
          <w:rFonts w:ascii="Times New Roman" w:cs="Times New Roman" w:eastAsia="Times New Roman" w:hAnsi="Times New Roman"/>
          <w:sz w:val="22"/>
          <w:szCs w:val="22"/>
          <w:highlight w:val="green"/>
        </w:rPr>
        <w:t xml:space="preserve">(Panagoulias et al. 2026)</w:t>
      </w:r>
      <w:r>
        <w:rPr>
          <w:rFonts w:ascii="Times New Roman" w:cs="Times New Roman" w:eastAsia="Times New Roman" w:hAnsi="Times New Roman"/>
          <w:sz w:val="22"/>
          <w:szCs w:val="22"/>
        </w:rPr>
        <w:t xml:space="preserve">, and five studies fully satisfy none. Third, Req 1 with Req 4 is the most frequent pair, in seven studies, whereas Req 2 and Req 4 never co-occur in full. Req 3 co-occurs with Req 4 only in </w:t>
      </w:r>
      <w:r>
        <w:rPr>
          <w:rFonts w:ascii="Times New Roman" w:cs="Times New Roman" w:eastAsia="Times New Roman" w:hAnsi="Times New Roman"/>
          <w:sz w:val="22"/>
          <w:szCs w:val="22"/>
          <w:highlight w:val="green"/>
        </w:rPr>
        <w:t xml:space="preserve">(Punia et al. 2025)</w:t>
      </w:r>
      <w:r>
        <w:rPr>
          <w:rFonts w:ascii="Times New Roman" w:cs="Times New Roman" w:eastAsia="Times New Roman" w:hAnsi="Times New Roman"/>
          <w:sz w:val="22"/>
          <w:szCs w:val="22"/>
        </w:rPr>
        <w:t xml:space="preserve">, whose threshold lies outside the policy predicate and whose policy carries no purpose term. Similarly, Req 3 co-occurs with Req 6 only in </w:t>
      </w:r>
      <w:r>
        <w:rPr>
          <w:rFonts w:ascii="Times New Roman" w:cs="Times New Roman" w:eastAsia="Times New Roman" w:hAnsi="Times New Roman"/>
          <w:sz w:val="22"/>
          <w:szCs w:val="22"/>
          <w:highlight w:val="green"/>
        </w:rPr>
        <w:t xml:space="preserve">(Maruthi &amp; Singh 2025; Zhao &amp; Su 2024)</w:t>
      </w:r>
      <w:r>
        <w:rPr>
          <w:rFonts w:ascii="Times New Roman" w:cs="Times New Roman" w:eastAsia="Times New Roman" w:hAnsi="Times New Roman"/>
          <w:sz w:val="22"/>
          <w:szCs w:val="22"/>
        </w:rPr>
        <w:t xml:space="preserve">. Fourth, the two quadruples are complementary, since lacks policy and assurance, whereas lacks multi-party approval and identity depth.</w:t>
      </w:r>
    </w:p>
    <w:p>
      <w:pPr>
        <w:spacing w:after="110" w:line="264"/>
        <w:jc w:val="both"/>
      </w:pPr>
      <w:r>
        <w:rPr>
          <w:rFonts w:ascii="Times New Roman" w:cs="Times New Roman" w:eastAsia="Times New Roman" w:hAnsi="Times New Roman"/>
          <w:sz w:val="22"/>
          <w:szCs w:val="22"/>
          <w:highlight w:val="magenta"/>
        </w:rPr>
        <w:t xml:space="preserve">The comparison shows that the contribution of this research is the explicit relationship it establishes among existing technologies, not their replacement.</w:t>
      </w:r>
      <w:r>
        <w:rPr>
          <w:rFonts w:ascii="Times New Roman" w:cs="Times New Roman" w:eastAsia="Times New Roman" w:hAnsi="Times New Roman"/>
          <w:sz w:val="22"/>
          <w:szCs w:val="22"/>
        </w:rPr>
        <w:t xml:space="preserve"> The consent object C carries the identity, authority, threshold, policy, temporal, and lifecycle conditions together, so that their relationship is verifiable. </w:t>
      </w:r>
      <w:r>
        <w:rPr>
          <w:rFonts w:ascii="Times New Roman" w:cs="Times New Roman" w:eastAsia="Times New Roman" w:hAnsi="Times New Roman"/>
          <w:sz w:val="22"/>
          <w:szCs w:val="22"/>
        </w:rPr>
        <w:t xml:space="preserve">Table 2.5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w:t>
      </w:r>
      <w:r>
        <w:rPr>
          <w:rFonts w:ascii="Times New Roman" w:cs="Times New Roman" w:eastAsia="Times New Roman" w:hAnsi="Times New Roman"/>
          <w:sz w:val="22"/>
          <w:szCs w:val="22"/>
        </w:rPr>
        <w:t xml:space="preserve">are left for the next stage (Sections 10 and 11)</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sz w:val="22"/>
          <w:szCs w:val="22"/>
        </w:rPr>
        <w:t xml:space="preserve">while within Req 6, formal assurance alone is provided by 4 studies, argued informally by 9, and absent in 12. The other five Yes grades for Req 6 in Table 2.4 rest on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rarity of multi-party approval and formal verification is also seen in</w:t>
      </w:r>
      <w:r>
        <w:rPr>
          <w:rFonts w:ascii="Times New Roman" w:cs="Times New Roman" w:eastAsia="Times New Roman" w:hAnsi="Times New Roman"/>
          <w:sz w:val="22"/>
          <w:szCs w:val="22"/>
        </w:rPr>
        <w:t xml:space="preserve">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w:t>
      </w:r>
      <w:r>
        <w:rPr>
          <w:rFonts w:ascii="Times New Roman" w:cs="Times New Roman" w:eastAsia="Times New Roman" w:hAnsi="Times New Roman"/>
          <w:sz w:val="22"/>
          <w:szCs w:val="22"/>
        </w:rPr>
        <w:t xml:space="preserve">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2.4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2.5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2.5: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6.1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7.1.</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w:t>
            </w:r>
            <w:r>
              <w:rPr>
                <w:rFonts w:ascii="Times New Roman" w:cs="Times New Roman" w:eastAsia="Times New Roman" w:hAnsi="Times New Roman"/>
                <w:b w:val="false"/>
                <w:bCs w:val="false"/>
                <w:sz w:val="17"/>
                <w:szCs w:val="17"/>
              </w:rPr>
              <w:t xml:space="preserve">(Bloemen, Logvinov &amp; Evans 2017)</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8.1.</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9.1,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z w:val="22"/>
          <w:szCs w:val="22"/>
          <w:highlight w:val="magenta"/>
        </w:rPr>
        <w:t xml:space="preserve">The systematic literature review shows much work on individual mechanisms for securing healthcare data sharing, but also a conceptual and architectural fragmentation</w:t>
      </w:r>
      <w:r>
        <w:rPr>
          <w:rFonts w:ascii="Times New Roman" w:cs="Times New Roman" w:eastAsia="Times New Roman" w:hAnsi="Times New Roman"/>
          <w:sz w:val="22"/>
          <w:szCs w:val="22"/>
        </w:rPr>
        <w:t xml:space="preserve"> among these mechanisms. They are commonly investigated as independent technical solutions rather than as coordinated components of a unified trust-oriented authorisation model. The few studies that coordinate several of them in one decision </w:t>
      </w:r>
      <w:r>
        <w:rPr>
          <w:rFonts w:ascii="Times New Roman" w:cs="Times New Roman" w:eastAsia="Times New Roman" w:hAnsi="Times New Roman"/>
          <w:sz w:val="22"/>
          <w:szCs w:val="22"/>
          <w:highlight w:val="green"/>
        </w:rPr>
        <w:t xml:space="preserve">(Ferreira et al. 2025; Panagoulias et al. 2026; Phuyal et al. 2026b; Punia et al. 2025; Shanmugham &amp; Senthilkumar 2026)</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do not make multi-party approval a standing condition of that decision. Some of them test their own decisions empirically, but none proves or tests a conjunction that includes multi-party approval.</w:t>
      </w:r>
    </w:p>
    <w:p>
      <w:pPr>
        <w:spacing w:after="110" w:line="264"/>
        <w:jc w:val="both"/>
      </w:pPr>
      <w:r>
        <w:rPr>
          <w:rFonts w:ascii="Times New Roman" w:cs="Times New Roman" w:eastAsia="Times New Roman" w:hAnsi="Times New Roman"/>
          <w:sz w:val="22"/>
          <w:szCs w:val="22"/>
          <w:highlight w:val="magenta"/>
        </w:rPr>
        <w:t xml:space="preserve">The central gap is the absence of an integrated model</w:t>
      </w:r>
      <w:r>
        <w:rPr>
          <w:rFonts w:ascii="Times New Roman" w:cs="Times New Roman" w:eastAsia="Times New Roman" w:hAnsi="Times New Roman"/>
          <w:sz w:val="22"/>
          <w:szCs w:val="22"/>
        </w:rPr>
        <w:t xml:space="preserve"> explaining how these mechanisms collectively establish a trustworthy authorisation decision. Existing consent-oriented approaches tend to </w:t>
      </w:r>
      <w:r>
        <w:rPr>
          <w:rFonts w:ascii="Times New Roman" w:cs="Times New Roman" w:eastAsia="Times New Roman" w:hAnsi="Times New Roman"/>
          <w:sz w:val="22"/>
          <w:szCs w:val="22"/>
        </w:rPr>
        <w:t xml:space="preserve">treat consent primarily as a record of a patient’s permission </w:t>
      </w:r>
      <w:r>
        <w:rPr>
          <w:rFonts w:ascii="Times New Roman" w:cs="Times New Roman" w:eastAsia="Times New Roman" w:hAnsi="Times New Roman"/>
          <w:sz w:val="22"/>
          <w:szCs w:val="22"/>
          <w:highlight w:val="green"/>
        </w:rPr>
        <w:t xml:space="preserve">(Akter &amp; Sanam 2025; Prashanth et al. 2024)</w:t>
      </w:r>
      <w:r>
        <w:rPr>
          <w:rFonts w:ascii="Times New Roman" w:cs="Times New Roman" w:eastAsia="Times New Roman" w:hAnsi="Times New Roman"/>
          <w:sz w:val="22"/>
          <w:szCs w:val="22"/>
        </w:rPr>
        <w:t xml:space="preserve">, and some claim consent but leave it out of the access decision </w:t>
      </w:r>
      <w:r>
        <w:rPr>
          <w:rFonts w:ascii="Times New Roman" w:cs="Times New Roman" w:eastAsia="Times New Roman" w:hAnsi="Times New Roman"/>
          <w:sz w:val="22"/>
          <w:szCs w:val="22"/>
          <w:highlight w:val="green"/>
        </w:rPr>
        <w:t xml:space="preserve">(Sawant &amp; Gomes 2026)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w:t>
      </w:r>
      <w:r>
        <w:rPr>
          <w:rFonts w:ascii="Times New Roman" w:cs="Times New Roman" w:eastAsia="Times New Roman" w:hAnsi="Times New Roman"/>
          <w:sz w:val="22"/>
          <w:szCs w:val="22"/>
          <w:highlight w:val="green"/>
        </w:rPr>
        <w:t xml:space="preserve">(Albalwy, Brass &amp; Davies 2021; Eneh et al. 2026; Phuyal et al. 2026b; Shanmugham &amp; Senthilkumar 2026; Tith et al. 2020)</w:t>
      </w:r>
      <w:r>
        <w:rPr>
          <w:rFonts w:ascii="Times New Roman" w:cs="Times New Roman" w:eastAsia="Times New Roman" w:hAnsi="Times New Roman"/>
          <w:sz w:val="22"/>
          <w:szCs w:val="22"/>
        </w:rPr>
        <w:t xml:space="preserve">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highlight w:val="magenta"/>
        </w:rPr>
        <w:t xml:space="preserve">Recording consent and enforcing trustworthy authorisation are two different security problems.</w:t>
      </w:r>
      <w:r>
        <w:rPr>
          <w:rFonts w:ascii="Times New Roman" w:cs="Times New Roman" w:eastAsia="Times New Roman" w:hAnsi="Times New Roman"/>
          <w:sz w:val="22"/>
          <w:szCs w:val="22"/>
        </w:rPr>
        <w:t xml:space="preserve"> A blockchain may provide an immutable representation of a consent event </w:t>
      </w:r>
      <w:r>
        <w:rPr>
          <w:rFonts w:ascii="Times New Roman" w:cs="Times New Roman" w:eastAsia="Times New Roman" w:hAnsi="Times New Roman"/>
          <w:sz w:val="22"/>
          <w:szCs w:val="22"/>
          <w:highlight w:val="green"/>
        </w:rPr>
        <w:t xml:space="preserve">(Andrew et al. 2023; Tawfik et al. 2025)</w:t>
      </w:r>
      <w:r>
        <w:rPr>
          <w:rFonts w:ascii="Times New Roman" w:cs="Times New Roman" w:eastAsia="Times New Roman" w:hAnsi="Times New Roman"/>
          <w:sz w:val="22"/>
          <w:szCs w:val="22"/>
        </w:rPr>
        <w:t xml:space="preserve">, but immutability does not establish the legitimacy of the entities involved in that event. Similarly, a valid decentralised identity can establish who a participant is </w:t>
      </w:r>
      <w:r>
        <w:rPr>
          <w:rFonts w:ascii="Times New Roman" w:cs="Times New Roman" w:eastAsia="Times New Roman" w:hAnsi="Times New Roman"/>
          <w:sz w:val="22"/>
          <w:szCs w:val="22"/>
          <w:highlight w:val="green"/>
        </w:rPr>
        <w:t xml:space="preserve">(Mazzocca et al. 2025)</w:t>
      </w:r>
      <w:r>
        <w:rPr>
          <w:rFonts w:ascii="Times New Roman" w:cs="Times New Roman" w:eastAsia="Times New Roman" w:hAnsi="Times New Roman"/>
          <w:sz w:val="22"/>
          <w:szCs w:val="22"/>
        </w:rPr>
        <w:t xml:space="preserve">,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sz w:val="22"/>
          <w:szCs w:val="22"/>
        </w:rPr>
        <w:t xml:space="preserve">multi-party approval is never conjoined with a purpose condition </w:t>
      </w:r>
      <w:r>
        <w:rPr>
          <w:rFonts w:ascii="Times New Roman" w:cs="Times New Roman" w:eastAsia="Times New Roman" w:hAnsi="Times New Roman"/>
          <w:sz w:val="22"/>
          <w:szCs w:val="22"/>
          <w:highlight w:val="green"/>
        </w:rPr>
        <w:t xml:space="preserve">(Madine et al. 2020; Punia et al. 2025; Tan, Chi &amp; Lam 2024)</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w:t>
      </w:r>
      <w:r>
        <w:rPr>
          <w:rFonts w:ascii="Times New Roman" w:cs="Times New Roman" w:eastAsia="Times New Roman" w:hAnsi="Times New Roman"/>
          <w:sz w:val="22"/>
          <w:szCs w:val="22"/>
          <w:highlight w:val="magenta"/>
        </w:rPr>
        <w:t xml:space="preserve">In this research, trust is a property of a verifiable authorisation process, not an attribute of one entity or technology.</w:t>
      </w:r>
    </w:p>
    <w:p>
      <w:pPr>
        <w:spacing w:after="110" w:line="264"/>
        <w:jc w:val="both"/>
      </w:pPr>
      <w:r>
        <w:rPr>
          <w:rFonts w:ascii="Times New Roman" w:cs="Times New Roman" w:eastAsia="Times New Roman" w:hAnsi="Times New Roman"/>
          <w:sz w:val="22"/>
          <w:szCs w:val="22"/>
          <w:highlight w:val="magenta"/>
        </w:rPr>
        <w:t xml:space="preserve">Existing healthcare consent and access-control research provides most of the needed technology, but not an integrated Trust Computing framework</w:t>
      </w:r>
      <w:r>
        <w:rPr>
          <w:rFonts w:ascii="Times New Roman" w:cs="Times New Roman" w:eastAsia="Times New Roman" w:hAnsi="Times New Roman"/>
          <w:sz w:val="22"/>
          <w:szCs w:val="22"/>
        </w:rPr>
        <w:t xml:space="preserve">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w:t>
      </w:r>
      <w:r>
        <w:rPr>
          <w:rFonts w:ascii="Times New Roman" w:cs="Times New Roman" w:eastAsia="Times New Roman" w:hAnsi="Times New Roman"/>
          <w:sz w:val="22"/>
          <w:szCs w:val="22"/>
          <w:highlight w:val="green"/>
        </w:rPr>
        <w:t xml:space="preserve">(Punia et al. 2025; Wu et al. 2022; Zhao &amp; Su 2024)</w:t>
      </w:r>
      <w:r>
        <w:rPr>
          <w:rFonts w:ascii="Times New Roman" w:cs="Times New Roman" w:eastAsia="Times New Roman" w:hAnsi="Times New Roman"/>
          <w:sz w:val="22"/>
          <w:szCs w:val="22"/>
        </w:rPr>
        <w:t xml:space="preserve">, or appointed by the patient </w:t>
      </w:r>
      <w:r>
        <w:rPr>
          <w:rFonts w:ascii="Times New Roman" w:cs="Times New Roman" w:eastAsia="Times New Roman" w:hAnsi="Times New Roman"/>
          <w:sz w:val="22"/>
          <w:szCs w:val="22"/>
          <w:highlight w:val="green"/>
        </w:rPr>
        <w:t xml:space="preserve">(Maruthi &amp; Singh 2025; Tan, Chi &amp; Lam 2024)</w:t>
      </w:r>
      <w:r>
        <w:rPr>
          <w:rFonts w:ascii="Times New Roman" w:cs="Times New Roman" w:eastAsia="Times New Roman" w:hAnsi="Times New Roman"/>
          <w:sz w:val="22"/>
          <w:szCs w:val="22"/>
        </w:rPr>
        <w:t xml:space="preserve">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w:t>
      </w:r>
      <w:r>
        <w:rPr>
          <w:rFonts w:ascii="Times New Roman" w:cs="Times New Roman" w:eastAsia="Times New Roman" w:hAnsi="Times New Roman"/>
          <w:sz w:val="22"/>
          <w:szCs w:val="22"/>
        </w:rPr>
        <w:t xml:space="preserve"> For brevity, SRQ1 to SRQ6 are referred to as RQ1 to RQ6 </w:t>
      </w:r>
      <w:r>
        <w:rPr>
          <w:rFonts w:ascii="Times New Roman" w:cs="Times New Roman" w:eastAsia="Times New Roman" w:hAnsi="Times New Roman"/>
          <w:sz w:val="22"/>
          <w:szCs w:val="22"/>
        </w:rPr>
        <w:t xml:space="preserve">throughout this report</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(3.1)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(3.2)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sz w:val="22"/>
          <w:szCs w:val="22"/>
        </w:rPr>
        <w:t xml:space="preserve">requires the Groth16 ZK proof </w:t>
      </w:r>
      <w:r>
        <w:rPr>
          <w:rFonts w:ascii="Times New Roman" w:cs="Times New Roman" w:eastAsia="Times New Roman" w:hAnsi="Times New Roman"/>
          <w:sz w:val="22"/>
          <w:szCs w:val="22"/>
          <w:highlight w:val="green"/>
        </w:rPr>
        <w:t xml:space="preserve">(Groth 2016)</w:t>
      </w:r>
      <w:r>
        <w:rPr>
          <w:rFonts w:ascii="Times New Roman" w:cs="Times New Roman" w:eastAsia="Times New Roman" w:hAnsi="Times New Roman"/>
          <w:sz w:val="22"/>
          <w:szCs w:val="22"/>
        </w:rPr>
        <w:t xml:space="preserve"> to verify</w:t>
      </w:r>
      <w:r>
        <w:rPr>
          <w:rFonts w:ascii="Times New Roman" w:cs="Times New Roman" w:eastAsia="Times New Roman" w:hAnsi="Times New Roman"/>
          <w:sz w:val="22"/>
          <w:szCs w:val="22"/>
        </w:rPr>
        <w:t xml:space="preserve">, so a request that satisfies the five predicates is still denied when the proof fails, as in attack A9 (Section 11.5).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highlight w:val="magenta"/>
        </w:rPr>
        <w:t xml:space="preserve">The research objectives turn the research gap into concrete research and development activities.</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w:t>
      </w:r>
      <w:r>
        <w:rPr>
          <w:rFonts w:ascii="Times New Roman" w:cs="Times New Roman" w:eastAsia="Times New Roman" w:hAnsi="Times New Roman"/>
          <w:sz w:val="22"/>
          <w:szCs w:val="22"/>
        </w:rPr>
        <w:t xml:space="preserve">the lifecycle transition check, a formal lifecycle model, and </w:t>
      </w:r>
      <w:r>
        <w:rPr>
          <w:rFonts w:ascii="Times New Roman" w:cs="Times New Roman" w:eastAsia="Times New Roman" w:hAnsi="Times New Roman"/>
          <w:sz w:val="22"/>
          <w:szCs w:val="22"/>
        </w:rPr>
        <w:t xml:space="preserve">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w:t>
      </w:r>
      <w:r>
        <w:rPr>
          <w:rFonts w:ascii="Times New Roman" w:cs="Times New Roman" w:eastAsia="Times New Roman" w:hAnsi="Times New Roman"/>
          <w:sz w:val="22"/>
          <w:szCs w:val="22"/>
          <w:highlight w:val="magenta"/>
        </w:rPr>
        <w:t xml:space="preserve">The prototype must execute valid consent workflows, and it must also behave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w:t>
      </w:r>
      <w:r>
        <w:rPr>
          <w:rFonts w:ascii="Times New Roman" w:cs="Times New Roman" w:eastAsia="Times New Roman" w:hAnsi="Times New Roman"/>
          <w:sz w:val="22"/>
          <w:szCs w:val="22"/>
          <w:highlight w:val="magenta"/>
        </w:rPr>
        <w:t xml:space="preserve">Each research question therefore has one research activity, and each objective contributes to the framework.</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RO1 to RO4 are delivered in this stage,</w:t>
      </w:r>
      <w:r>
        <w:rPr>
          <w:rFonts w:ascii="Times New Roman" w:cs="Times New Roman" w:eastAsia="Times New Roman" w:hAnsi="Times New Roman"/>
          <w:sz w:val="22"/>
          <w:szCs w:val="22"/>
        </w:rPr>
        <w:t xml:space="preserve">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w:t>
      </w:r>
      <w:r>
        <w:rPr>
          <w:rFonts w:ascii="Times New Roman" w:cs="Times New Roman" w:eastAsia="Times New Roman" w:hAnsi="Times New Roman"/>
          <w:sz w:val="22"/>
          <w:szCs w:val="22"/>
          <w:highlight w:val="magenta"/>
        </w:rPr>
        <w:t xml:space="preserve">In the proposed framework, MVC does more than separate data, interfaces, and application logic. It is extended to support a separation</w:t>
      </w:r>
      <w:r>
        <w:rPr>
          <w:rFonts w:ascii="Times New Roman" w:cs="Times New Roman" w:eastAsia="Times New Roman" w:hAnsi="Times New Roman"/>
          <w:sz w:val="22"/>
          <w:szCs w:val="22"/>
        </w:rPr>
        <w:t xml:space="preserve"> between the representation of consent, the interaction of independent stakeholders, and the enforcement of security-critical authorisation decisions. </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w:t>
      </w:r>
      <w:r>
        <w:rPr>
          <w:rFonts w:ascii="Times New Roman" w:cs="Times New Roman" w:eastAsia="Times New Roman" w:hAnsi="Times New Roman"/>
          <w:sz w:val="22"/>
          <w:szCs w:val="22"/>
          <w:highlight w:val="magenta"/>
        </w:rPr>
        <w:t xml:space="preserve">Instead, the authorisation decision is the result of evaluating independently verifiable security conditions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Section 5.1 describes the layers and their components, Section 5.2 explains where trust is evaluated and where the architectural boundaries lie, Section 5.3 walks through the authorisation workflow, and Section 5.4 maps the architecture to the research objectives.</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5.1: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5.2: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(3.2).</w:t>
      </w:r>
    </w:p>
    <w:p>
      <w:pPr>
        <w:keepNext/>
        <w:spacing w:after="60" w:before="160"/>
        <w:jc w:val="center"/>
      </w:pPr>
      <w:r>
        <w:drawing>
          <wp:inline distT="0" distB="0" distL="0" distR="0">
            <wp:extent cx="3676650" cy="533400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766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5.3: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w:t>
      </w:r>
      <w:r>
        <w:rPr>
          <w:rFonts w:ascii="Times New Roman" w:cs="Times New Roman" w:eastAsia="Times New Roman" w:hAnsi="Times New Roman"/>
          <w:sz w:val="22"/>
          <w:szCs w:val="22"/>
          <w:highlight w:val="magenta"/>
        </w:rPr>
        <w:t xml:space="preserve">For the interpretation of the architecture</w:t>
      </w:r>
      <w:r>
        <w:rPr>
          <w:rFonts w:ascii="Times New Roman" w:cs="Times New Roman" w:eastAsia="Times New Roman" w:hAnsi="Times New Roman"/>
          <w:sz w:val="22"/>
          <w:szCs w:val="22"/>
        </w:rPr>
        <w:t xml:space="preserv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w:t>
      </w:r>
      <w:r>
        <w:rPr>
          <w:rFonts w:ascii="Times New Roman" w:cs="Times New Roman" w:eastAsia="Times New Roman" w:hAnsi="Times New Roman"/>
          <w:sz w:val="22"/>
          <w:szCs w:val="22"/>
        </w:rPr>
        <w:t xml:space="preserve">Figure 5.4 puts the same conditions in the order a request meets them. A DID answers who is asking, a verifiable credential and a signed approval answer what that participant may do, the threshold answers whether the guardians agreed, and the policy, temporal and jurisdictional checks with the zero-knowledge proof answer whether the consent is still valid for this request. The figure also states, gate by gate, what the current prototype checks, so the reader can see where the design and the prototype differ before the detailed sections.</w:t>
      </w:r>
    </w:p>
    <w:p>
      <w:pPr>
        <w:keepNext/>
        <w:spacing w:after="60" w:before="160"/>
        <w:jc w:val="center"/>
      </w:pPr>
      <w:r>
        <w:drawing>
          <wp:inline distT="0" distB="0" distL="0" distR="0">
            <wp:extent cx="5715000" cy="4752975"/>
            <wp:effectExtent t="0" r="0" b="0" l="0"/>
            <wp:docPr id="1" name="F44.png" descr="The four gates that an access request passes before data are released: identity (DID), authority (VC and signed approval), collective approval (threshold), and validity of the consent for the request (policy, time, jurisdiction and the zero-knowledge proof). Each gate names what the current prototype checks, and a failure at any gate produces DENY with the decision matrix recorded in the audit ledger" title="The four gates that an access request passes before data are released: identity (DID), authority (VC and signed approval), collective approval (threshold), and validity of the consent for the request (policy, time, jurisdiction and the zero-knowledge proof). Each gate names what the current prototype checks, and a failure at any gate produces DENY with the decision matrix recorded in the audit led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7529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5.4: </w:t>
      </w:r>
      <w:r>
        <w:rPr>
          <w:rFonts w:ascii="Times New Roman" w:cs="Times New Roman" w:eastAsia="Times New Roman" w:hAnsi="Times New Roman"/>
          <w:sz w:val="18"/>
          <w:szCs w:val="18"/>
        </w:rPr>
        <w:t xml:space="preserve">The four gates that an access request passes before data are released: identity (DID), authority (VC and signed approval), collective approval (threshold), and validity of the consent for the request (policy, time, jurisdiction and the zero-knowledge proof). Each gate names what the current prototype checks, and a failure at any gate produces DENY with the decision matrix recorded in the audit ledger.</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5.5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w:t>
      </w:r>
      <w:r>
        <w:rPr>
          <w:rFonts w:ascii="Times New Roman" w:cs="Times New Roman" w:eastAsia="Times New Roman" w:hAnsi="Times New Roman"/>
          <w:sz w:val="22"/>
          <w:szCs w:val="22"/>
          <w:highlight w:val="magenta"/>
        </w:rPr>
        <w:t xml:space="preserve">The framework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 The framework then collects </w:t>
      </w:r>
      <w:r>
        <w:rPr>
          <w:rFonts w:ascii="Times New Roman" w:cs="Times New Roman" w:eastAsia="Times New Roman" w:hAnsi="Times New Roman"/>
          <w:sz w:val="22"/>
          <w:szCs w:val="22"/>
        </w:rPr>
        <w:t xml:space="preserve">the guardians'</w:t>
      </w:r>
      <w:r>
        <w:rPr>
          <w:rFonts w:ascii="Times New Roman" w:cs="Times New Roman" w:eastAsia="Times New Roman" w:hAnsi="Times New Roman"/>
          <w:sz w:val="22"/>
          <w:szCs w:val="22"/>
        </w:rPr>
        <w:t xml:space="preserve">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w:t>
      </w:r>
      <w:r>
        <w:rPr>
          <w:rFonts w:ascii="Times New Roman" w:cs="Times New Roman" w:eastAsia="Times New Roman" w:hAnsi="Times New Roman"/>
          <w:sz w:val="22"/>
          <w:szCs w:val="22"/>
        </w:rPr>
        <w:t xml:space="preserve">guardians whose approvals have been verified</w:t>
      </w:r>
      <w:r>
        <w:rPr>
          <w:rFonts w:ascii="Times New Roman" w:cs="Times New Roman" w:eastAsia="Times New Roman" w:hAnsi="Times New Roman"/>
          <w:sz w:val="22"/>
          <w:szCs w:val="22"/>
        </w:rPr>
        <w:t xml:space="preserve"> and let N denote the required authorisation threshold, as in Equation (5.1). Here, Token(C) ≠ ∅ means that C has been assigned a token identifier, and Revoked(C) = 0 means that the consent has not been revoked.</w:t>
      </w:r>
    </w:p>
    <w:p>
      <w:pPr>
        <w:keepNext/>
        <w:spacing w:after="60" w:before="160"/>
        <w:jc w:val="center"/>
      </w:pPr>
      <w:r>
        <w:drawing>
          <wp:inline distT="0" distB="0" distL="0" distR="0">
            <wp:extent cx="3305175" cy="533400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0517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5.5: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(5.1)</w:t>
      </w:r>
    </w:p>
    <w:p>
      <w:pPr>
        <w:spacing w:after="110" w:line="264"/>
        <w:jc w:val="both"/>
      </w:pPr>
      <w:r>
        <w:rPr>
          <w:rFonts w:ascii="Times New Roman" w:cs="Times New Roman" w:eastAsia="Times New Roman" w:hAnsi="Times New Roman"/>
          <w:sz w:val="22"/>
          <w:szCs w:val="22"/>
        </w:rPr>
        <w:t xml:space="preserve">Only independently verified participants can contribute to the </w:t>
      </w:r>
      <w:r>
        <w:rPr>
          <w:rFonts w:ascii="Times New Roman" w:cs="Times New Roman" w:eastAsia="Times New Roman" w:hAnsi="Times New Roman"/>
          <w:sz w:val="22"/>
          <w:szCs w:val="22"/>
        </w:rPr>
        <w:t xml:space="preserve">set of verified approving guardians</w:t>
      </w:r>
      <w:r>
        <w:rPr>
          <w:rFonts w:ascii="Times New Roman" w:cs="Times New Roman" w:eastAsia="Times New Roman" w:hAnsi="Times New Roman"/>
          <w:sz w:val="22"/>
          <w:szCs w:val="22"/>
        </w:rPr>
        <w:t xml:space="preserve">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(5.2),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therefore contains each member of G at most once, and an approval from a signer outside G does not enter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w:t>
      </w:r>
      <w:r>
        <w:rPr>
          <w:rFonts w:ascii="Times New Roman" w:cs="Times New Roman" w:eastAsia="Times New Roman" w:hAnsi="Times New Roman"/>
          <w:sz w:val="22"/>
          <w:szCs w:val="22"/>
        </w:rPr>
        <w:t xml:space="preserve">a registration-time co-consent, a documentation-time gate on guardian access, an institution-side admission gate, a custodial M-of-N signature, a key-share reconstruction, or a threshold proxy re-encryption.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{g ∈ G | ∃ a</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 ∈ A</w:t>
      </w:r>
      <w:r>
        <w:rPr>
          <w:rFonts w:ascii="Cambria Math" w:cs="Cambria Math" w:eastAsia="Cambria Math" w:hAnsi="Cambria Math"/>
          <w:i w:val="false"/>
          <w:iCs w:val="false"/>
          <w:sz w:val="18"/>
          <w:szCs w:val="18"/>
          <w:vertAlign w:val="subscript"/>
        </w:rPr>
        <w:t xml:space="preserve">s</w:t>
      </w:r>
      <w:r>
        <w:rPr>
          <w:rFonts w:ascii="Cambria Math" w:cs="Cambria Math" w:eastAsia="Cambria Math" w:hAnsi="Cambria Math"/>
          <w:i w:val="false"/>
          <w:iCs w:val="false"/>
          <w:sz w:val="18"/>
          <w:szCs w:val="18"/>
        </w:rPr>
        <w:t xml:space="preserve"> submitted by g with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w:t>
      </w:r>
      <w:r>
        <w:rPr>
          <w:rFonts w:ascii="Cambria Math" w:cs="Cambria Math" w:eastAsia="Cambria Math" w:hAnsi="Cambria Math"/>
          <w:i w:val="false"/>
          <w:iCs w:val="false"/>
          <w:sz w:val="18"/>
          <w:szCs w:val="18"/>
        </w:rPr>
        <w:t xml:space="preserve">g</w:t>
      </w:r>
      <w:r>
        <w:rPr>
          <w:rFonts w:ascii="Cambria Math" w:cs="Cambria Math" w:eastAsia="Cambria Math" w:hAnsi="Cambria Math"/>
          <w:i w:val="false"/>
          <w:iCs w:val="false"/>
          <w:sz w:val="18"/>
          <w:szCs w:val="18"/>
        </w:rPr>
        <w:t xml:space="preserve">) = 1}.</w:t>
      </w:r>
      <w:r>
        <w:rPr>
          <w:rFonts w:ascii="Times New Roman" w:cs="Times New Roman" w:eastAsia="Times New Roman" w:hAnsi="Times New Roman"/>
          <w:sz w:val="22"/>
          <w:szCs w:val="22"/>
        </w:rPr>
        <w:t xml:space="preserve">	(5.2)</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w:t>
      </w:r>
      <w:r>
        <w:rPr>
          <w:rFonts w:ascii="Times New Roman" w:cs="Times New Roman" w:eastAsia="Times New Roman" w:hAnsi="Times New Roman"/>
          <w:sz w:val="22"/>
          <w:szCs w:val="22"/>
        </w:rPr>
        <w:t xml:space="preserve">Beyond the access decision shown in Figure 5.5, the prototype continues</w:t>
      </w:r>
      <w:r>
        <w:rPr>
          <w:rFonts w:ascii="Times New Roman" w:cs="Times New Roman" w:eastAsia="Times New Roman" w:hAnsi="Times New Roman"/>
          <w:sz w:val="22"/>
          <w:szCs w:val="22"/>
        </w:rPr>
        <w:t xml:space="preserve">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w:t>
      </w:r>
      <w:r>
        <w:rPr>
          <w:rFonts w:ascii="Times New Roman" w:cs="Times New Roman" w:eastAsia="Times New Roman" w:hAnsi="Times New Roman"/>
          <w:sz w:val="22"/>
          <w:szCs w:val="22"/>
          <w:highlight w:val="magenta"/>
        </w:rPr>
        <w:t xml:space="preserve">This step addresses a limitation of identity-based and approval-based access control:</w:t>
      </w:r>
      <w:r>
        <w:rPr>
          <w:rFonts w:ascii="Times New Roman" w:cs="Times New Roman" w:eastAsia="Times New Roman" w:hAnsi="Times New Roman"/>
          <w:sz w:val="22"/>
          <w:szCs w:val="22"/>
        </w:rPr>
        <w:t xml:space="preserve">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w:t>
      </w:r>
      <w:r>
        <w:rPr>
          <w:rFonts w:ascii="Times New Roman" w:cs="Times New Roman" w:eastAsia="Times New Roman" w:hAnsi="Times New Roman"/>
          <w:sz w:val="22"/>
          <w:szCs w:val="22"/>
        </w:rPr>
        <w:t xml:space="preserve">Similarly, the purpose must be a supported healthcare use. The full design also requires the requested purpose to match the purpose recorded in the consent, which the prototype does not yet compare, as Section 9.4 explains.</w:t>
      </w:r>
      <w:r>
        <w:rPr>
          <w:rFonts w:ascii="Times New Roman" w:cs="Times New Roman" w:eastAsia="Times New Roman" w:hAnsi="Times New Roman"/>
          <w:sz w:val="22"/>
          <w:szCs w:val="22"/>
        </w:rPr>
        <w:t xml:space="preserve">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is</w:t>
      </w:r>
      <w:r>
        <w:rPr>
          <w:rFonts w:ascii="Times New Roman" w:cs="Times New Roman" w:eastAsia="Times New Roman" w:hAnsi="Times New Roman"/>
          <w:sz w:val="22"/>
          <w:szCs w:val="22"/>
        </w:rPr>
        <w:t xml:space="preserve"> evaluated by the Controller before an access decision is produced</w:t>
      </w:r>
      <w:r>
        <w:rPr>
          <w:rFonts w:ascii="Times New Roman" w:cs="Times New Roman" w:eastAsia="Times New Roman" w:hAnsi="Times New Roman"/>
          <w:sz w:val="22"/>
          <w:szCs w:val="22"/>
        </w:rPr>
        <w:t xml:space="preserve">, and the jurisdiction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5.1: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w:t>
            </w:r>
            <w:r>
              <w:rPr>
                <w:rFonts w:ascii="Times New Roman" w:cs="Times New Roman" w:eastAsia="Times New Roman" w:hAnsi="Times New Roman"/>
                <w:b w:val="false"/>
                <w:bCs w:val="false"/>
                <w:sz w:val="17"/>
                <w:szCs w:val="17"/>
              </w:rPr>
              <w:t xml:space="preserve">evaluate</w:t>
            </w:r>
            <w:r>
              <w:rPr>
                <w:rFonts w:ascii="Times New Roman" w:cs="Times New Roman" w:eastAsia="Times New Roman" w:hAnsi="Times New Roman"/>
                <w:b w:val="false"/>
                <w:bCs w:val="false"/>
                <w:sz w:val="17"/>
                <w:szCs w:val="17"/>
              </w:rPr>
              <w:t xml:space="preserve">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highlight w:val="magenta"/>
        </w:rPr>
        <w:t xml:space="preserve">The contribution of the proposed architecture is the way MVC is used to carry a trust-oriented authorisation model, not the use of MVC itself.</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are presented in Sections 6 to 11, and the formal assurance of the complete decision model </w:t>
      </w:r>
      <w:r>
        <w:rPr>
          <w:rFonts w:ascii="Times New Roman" w:cs="Times New Roman" w:eastAsia="Times New Roman" w:hAnsi="Times New Roman"/>
          <w:sz w:val="22"/>
          <w:szCs w:val="22"/>
        </w:rPr>
        <w:t xml:space="preserve">remains for the next stage.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next section presents the solution for RO1, the consent object on which the other objectives build.</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This section presents the solution for RO1. Section 6.1 gives an overview of the trust-centric consent model, Section 6.2 shows the consent creation workflow, Section 6.3 defines the structure of the consent object, Section 6.4 presents the creation procedure and the algorithm, and Section 6.5 describes how the model is realised in the prototype.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(6.1).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(6.1)</w:t>
      </w:r>
    </w:p>
    <w:p>
      <w:pPr>
        <w:spacing w:after="110" w:line="264"/>
        <w:jc w:val="both"/>
      </w:pPr>
      <w:r>
        <w:rPr>
          <w:rFonts w:ascii="Times New Roman" w:cs="Times New Roman" w:eastAsia="Times New Roman" w:hAnsi="Times New Roman"/>
          <w:sz w:val="22"/>
          <w:szCs w:val="22"/>
        </w:rPr>
        <w:t xml:space="preserve">In Equation (6.1),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6.1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762250" cy="533400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7622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6.1: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6.2 shows how the validated information is combined to construct the consent object. </w:t>
      </w:r>
      <w:r>
        <w:rPr>
          <w:rFonts w:ascii="Times New Roman" w:cs="Times New Roman" w:eastAsia="Times New Roman" w:hAnsi="Times New Roman"/>
          <w:sz w:val="22"/>
          <w:szCs w:val="22"/>
          <w:highlight w:val="magenta"/>
        </w:rPr>
        <w:t xml:space="preserve">The resulting object therefore captures the patient's preference and the evidence needed for later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6.2: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Unlike the consent objects reported in the literature,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sz w:val="22"/>
          <w:szCs w:val="22"/>
        </w:rPr>
        <w:t xml:space="preserve">The system then validates the guardian set G, which must </w:t>
      </w:r>
      <w:r>
        <w:rPr>
          <w:rFonts w:ascii="Times New Roman" w:cs="Times New Roman" w:eastAsia="Times New Roman" w:hAnsi="Times New Roman"/>
          <w:sz w:val="22"/>
          <w:szCs w:val="22"/>
        </w:rPr>
        <w:t xml:space="preserve">be non-empty, and every guardian in it must have a well-formed DID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w:t>
      </w:r>
      <w:r>
        <w:rPr>
          <w:rFonts w:ascii="Times New Roman" w:cs="Times New Roman" w:eastAsia="Times New Roman" w:hAnsi="Times New Roman"/>
          <w:sz w:val="22"/>
          <w:szCs w:val="22"/>
        </w:rPr>
        <w:t xml:space="preserve">authorised</w:t>
      </w:r>
      <w:r>
        <w:rPr>
          <w:rFonts w:ascii="Times New Roman" w:cs="Times New Roman" w:eastAsia="Times New Roman" w:hAnsi="Times New Roman"/>
          <w:sz w:val="22"/>
          <w:szCs w:val="22"/>
        </w:rPr>
        <w:t xml:space="preserve">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w:t>
      </w:r>
      <w:r>
        <w:rPr>
          <w:rFonts w:ascii="Times New Roman" w:cs="Times New Roman" w:eastAsia="Times New Roman" w:hAnsi="Times New Roman"/>
          <w:sz w:val="22"/>
          <w:szCs w:val="22"/>
          <w:highlight w:val="magenta"/>
        </w:rPr>
        <w:t xml:space="preserve">Consent is therefore created only after the identity, authority, purpose, scope, and temporal fields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6.1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and 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6.1 formalises the creation process. The algorithm does not grant data access directly. Instead, it creates a consent object that can later be evaluated by the authorisation mechanism. </w:t>
      </w:r>
      <w:r>
        <w:rPr>
          <w:rFonts w:ascii="Times New Roman" w:cs="Times New Roman" w:eastAsia="Times New Roman" w:hAnsi="Times New Roman"/>
          <w:sz w:val="22"/>
          <w:szCs w:val="22"/>
        </w:rPr>
        <w:t xml:space="preserve">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w:t>
      </w:r>
      <w:r>
        <w:rPr>
          <w:rFonts w:ascii="Times New Roman" w:cs="Times New Roman" w:eastAsia="Times New Roman" w:hAnsi="Times New Roman"/>
          <w:sz w:val="22"/>
          <w:szCs w:val="22"/>
          <w:highlight w:val="magenta"/>
        </w:rPr>
        <w:t xml:space="preserve">The main contribution of RO1 is that consent is represented as an evaluable authorisation object rather than as a binary permission.</w:t>
      </w:r>
      <w:r>
        <w:rPr>
          <w:rFonts w:ascii="Times New Roman" w:cs="Times New Roman" w:eastAsia="Times New Roman" w:hAnsi="Times New Roman"/>
          <w:sz w:val="22"/>
          <w:szCs w:val="22"/>
        </w:rPr>
        <w:t xml:space="preserve">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 </w:t>
      </w:r>
      <w:r>
        <w:rPr>
          <w:rFonts w:ascii="Times New Roman" w:cs="Times New Roman" w:eastAsia="Times New Roman" w:hAnsi="Times New Roman"/>
          <w:sz w:val="22"/>
          <w:szCs w:val="22"/>
        </w:rPr>
        <w:t xml:space="preserve">The next section presents the solution for RO2, which verifies who the participants are and what authority they hold.</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This section presents the solution for RO2. Section 7.1 gives an overview of decentralised identity and authority trust, Section 7.2 shows the identity and authority verification workflow, Section 7.3 presents the verification model and the algorithm, and Section 7.4 describes how the verification is realised in the prototype.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(7.1).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(7.1)</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and authority verification condition can be expressed as Equation (7.2), where u is the requesting participant and Authority(u, C) establishes whether the verified authority matches the role required by the consent. The DID verification process establishes whether the identity reference is valid.</w:t>
      </w:r>
      <w:r>
        <w:rPr>
          <w:rFonts w:ascii="Times New Roman" w:cs="Times New Roman" w:eastAsia="Times New Roman" w:hAnsi="Times New Roman"/>
          <w:sz w:val="22"/>
          <w:szCs w:val="22"/>
        </w:rPr>
        <w:t xml:space="preserve"> In the current prototype this check is structural, as Section 7.4 explains.</w:t>
      </w:r>
      <w:r>
        <w:rPr>
          <w:rFonts w:ascii="Times New Roman" w:cs="Times New Roman" w:eastAsia="Times New Roman" w:hAnsi="Times New Roman"/>
          <w:sz w:val="22"/>
          <w:szCs w:val="22"/>
        </w:rPr>
        <w:t xml:space="preserve">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(7.2)</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7.1,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3581400" cy="533400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58140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7.1: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sz w:val="22"/>
          <w:szCs w:val="22"/>
        </w:rPr>
        <w:t xml:space="preserve">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7.1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7.1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7.1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w:t>
      </w:r>
      <w:r>
        <w:rPr>
          <w:rFonts w:ascii="Times New Roman" w:cs="Times New Roman" w:eastAsia="Times New Roman" w:hAnsi="Times New Roman"/>
          <w:sz w:val="22"/>
          <w:szCs w:val="22"/>
          <w:highlight w:val="magenta"/>
        </w:rPr>
        <w:t xml:space="preserve">This mechanism turns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 </w:t>
      </w:r>
      <w:r>
        <w:rPr>
          <w:rFonts w:ascii="Times New Roman" w:cs="Times New Roman" w:eastAsia="Times New Roman" w:hAnsi="Times New Roman"/>
          <w:sz w:val="22"/>
          <w:szCs w:val="22"/>
        </w:rPr>
        <w:t xml:space="preserve">The next section presents the solution for RO3, the multi-party approval of the consent.</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 </w:t>
      </w:r>
      <w:r>
        <w:rPr>
          <w:rFonts w:ascii="Times New Roman" w:cs="Times New Roman" w:eastAsia="Times New Roman" w:hAnsi="Times New Roman"/>
          <w:sz w:val="22"/>
          <w:szCs w:val="22"/>
        </w:rPr>
        <w:t xml:space="preserve">Section 8.1 defines the threshold condition, Section 8.2 shows the multi-party authorisation workflow, Section 8.3 gives the procedure and the algorithm, and Section 8.4 states the outcome of RO3.</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w:t>
      </w:r>
      <w:r>
        <w:rPr>
          <w:rFonts w:ascii="Times New Roman" w:cs="Times New Roman" w:eastAsia="Times New Roman" w:hAnsi="Times New Roman"/>
          <w:sz w:val="22"/>
          <w:szCs w:val="22"/>
        </w:rPr>
        <w:t xml:space="preserve">approving guardians</w:t>
      </w:r>
      <w:r>
        <w:rPr>
          <w:rFonts w:ascii="Times New Roman" w:cs="Times New Roman" w:eastAsia="Times New Roman" w:hAnsi="Times New Roman"/>
          <w:sz w:val="22"/>
          <w:szCs w:val="22"/>
        </w:rPr>
        <w:t xml:space="preserve"> and N represent the required approval threshold. The authorisation condition can then be represented as Equation (8.1),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(8.1)</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w:t>
      </w:r>
      <w:r>
        <w:rPr>
          <w:rFonts w:ascii="Times New Roman" w:cs="Times New Roman" w:eastAsia="Times New Roman" w:hAnsi="Times New Roman"/>
          <w:sz w:val="22"/>
          <w:szCs w:val="22"/>
          <w:highlight w:val="magenta"/>
        </w:rPr>
        <w:t xml:space="preserve">Decentralised identity systems with multi-party verification strengthen the way identity claims are established and validated</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8.1,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3476625" cy="533400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4766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8.1: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7.1.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w:t>
      </w:r>
      <w:r>
        <w:rPr>
          <w:rFonts w:ascii="Times New Roman" w:cs="Times New Roman" w:eastAsia="Times New Roman" w:hAnsi="Times New Roman"/>
          <w:sz w:val="22"/>
          <w:szCs w:val="22"/>
        </w:rPr>
        <w:t xml:space="preserve">counted, and their guardian g is added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{g}.</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(8.2).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(8.2)</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(8.3).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(8.3)</w:t>
      </w:r>
    </w:p>
    <w:p>
      <w:pPr>
        <w:spacing w:after="110" w:line="264"/>
        <w:jc w:val="both"/>
      </w:pPr>
      <w:r>
        <w:rPr>
          <w:rFonts w:ascii="Times New Roman" w:cs="Times New Roman" w:eastAsia="Times New Roman" w:hAnsi="Times New Roman"/>
          <w:sz w:val="22"/>
          <w:szCs w:val="22"/>
        </w:rPr>
        <w:t xml:space="preserve">Algorithm 8.1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8.1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7.1,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w:t>
      </w:r>
      <w:r>
        <w:rPr>
          <w:rFonts w:ascii="Times New Roman" w:cs="Times New Roman" w:eastAsia="Times New Roman" w:hAnsi="Times New Roman"/>
          <w:sz w:val="19"/>
          <w:szCs w:val="19"/>
        </w:rPr>
        <w:t xml:space="preserve">approver</w:t>
      </w:r>
      <w:r>
        <w:rPr>
          <w:rFonts w:ascii="Times New Roman" w:cs="Times New Roman" w:eastAsia="Times New Roman" w:hAnsi="Times New Roman"/>
          <w:sz w:val="19"/>
          <w:szCs w:val="19"/>
        </w:rPr>
        <w:t xml:space="preserve">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highlight w:val="magenta"/>
        </w:rPr>
        <w:t xml:space="preserve">The algorithm also shows that multi-party authorisation is a trust mechanism, not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7.1. Algorithm 7.1 establishes whether an individual participant possesses a valid identity and sufficient authority, whereas Algorithm 8.1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(8.4).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(8.4)</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sz w:val="22"/>
          <w:szCs w:val="22"/>
        </w:rPr>
        <w:t xml:space="preserve">For example, where N = 2, Equation (8.5) holds for a consent that has a token identifier and has not been revoked, whereas Equation (8.6)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(8.5)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(8.6)</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(8.1)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 </w:t>
      </w:r>
      <w:r>
        <w:rPr>
          <w:rFonts w:ascii="Times New Roman" w:cs="Times New Roman" w:eastAsia="Times New Roman" w:hAnsi="Times New Roman"/>
          <w:sz w:val="22"/>
          <w:szCs w:val="22"/>
        </w:rPr>
        <w:t xml:space="preserve">The next section presents the solution for RO4, which checks the purpose and the data scope of each request.</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w:t>
      </w:r>
      <w:r>
        <w:rPr>
          <w:rFonts w:ascii="Times New Roman" w:cs="Times New Roman" w:eastAsia="Times New Roman" w:hAnsi="Times New Roman"/>
          <w:sz w:val="22"/>
          <w:szCs w:val="22"/>
        </w:rPr>
        <w:t xml:space="preserve">the </w:t>
      </w:r>
      <w:r>
        <w:rPr>
          <w:rFonts w:ascii="Times New Roman" w:cs="Times New Roman" w:eastAsia="Times New Roman" w:hAnsi="Times New Roman"/>
          <w:sz w:val="22"/>
          <w:szCs w:val="22"/>
        </w:rPr>
        <w:t xml:space="preserve">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w:t>
      </w:r>
      <w:r>
        <w:rPr>
          <w:rFonts w:ascii="Times New Roman" w:cs="Times New Roman" w:eastAsia="Times New Roman" w:hAnsi="Times New Roman"/>
          <w:sz w:val="22"/>
          <w:szCs w:val="22"/>
        </w:rPr>
        <w:t xml:space="preserve">Section 9.1 defines the scope and policy conditions, Section 9.2 shows the policy-aware access workflow, Section 9.3 gives the decision algorithm, Section 9.4 qualifies what the prototype checks, and Section 9.5 states the outcome of RO4.</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(9.1)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(9.1)</w:t>
      </w:r>
    </w:p>
    <w:p>
      <w:pPr>
        <w:spacing w:after="110" w:line="264"/>
        <w:jc w:val="both"/>
      </w:pPr>
      <w:r>
        <w:rPr>
          <w:rFonts w:ascii="Times New Roman" w:cs="Times New Roman" w:eastAsia="Times New Roman" w:hAnsi="Times New Roman"/>
          <w:sz w:val="22"/>
          <w:szCs w:val="22"/>
        </w:rPr>
        <w:t xml:space="preserve">The policy condition can therefore be expressed as Equation (9.2)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(9.2)</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(9.3)</w:t>
      </w:r>
      <w:r>
        <w:rPr>
          <w:rFonts w:ascii="Times New Roman" w:cs="Times New Roman" w:eastAsia="Times New Roman" w:hAnsi="Times New Roman"/>
          <w:sz w:val="22"/>
          <w:szCs w:val="22"/>
        </w:rPr>
        <w:t xml:space="preserve">, where the jurisdiction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belongs to this objective and is written out in Equation (10.2)</w:t>
      </w:r>
      <w:r>
        <w:rPr>
          <w:rFonts w:ascii="Times New Roman" w:cs="Times New Roman" w:eastAsia="Times New Roman" w:hAnsi="Times New Roman"/>
          <w:sz w:val="22"/>
          <w:szCs w:val="22"/>
        </w:rPr>
        <w:t xml:space="preserve">.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w:t>
      </w:r>
      <w:r>
        <w:rPr>
          <w:rFonts w:ascii="Times New Roman" w:cs="Times New Roman" w:eastAsia="Times New Roman" w:hAnsi="Times New Roman"/>
          <w:sz w:val="22"/>
          <w:szCs w:val="22"/>
          <w:highlight w:val="magenta"/>
        </w:rPr>
        <w:t xml:space="preserve">Both successful and denied decisions should be recorded, because accountability covers the data that were released and the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(9.3)</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w:t>
      </w:r>
      <w:r>
        <w:rPr>
          <w:rFonts w:ascii="Times New Roman" w:cs="Times New Roman" w:eastAsia="Times New Roman" w:hAnsi="Times New Roman"/>
          <w:sz w:val="22"/>
          <w:szCs w:val="22"/>
        </w:rPr>
        <w:t xml:space="preserve">consent purpose</w:t>
      </w:r>
      <w:r>
        <w:rPr>
          <w:rFonts w:ascii="Times New Roman" w:cs="Times New Roman" w:eastAsia="Times New Roman" w:hAnsi="Times New Roman"/>
          <w:sz w:val="22"/>
          <w:szCs w:val="22"/>
        </w:rPr>
        <w:t xml:space="preserve"> and </w:t>
      </w:r>
      <w:r>
        <w:rPr>
          <w:rFonts w:ascii="Times New Roman" w:cs="Times New Roman" w:eastAsia="Times New Roman" w:hAnsi="Times New Roman"/>
          <w:sz w:val="22"/>
          <w:szCs w:val="22"/>
        </w:rPr>
        <w:t xml:space="preserve">the requested </w:t>
      </w:r>
      <w:r>
        <w:rPr>
          <w:rFonts w:ascii="Times New Roman" w:cs="Times New Roman" w:eastAsia="Times New Roman" w:hAnsi="Times New Roman"/>
          <w:sz w:val="22"/>
          <w:szCs w:val="22"/>
        </w:rPr>
        <w:t xml:space="preserve">data scope. The HALAH implementation provides a concrete basis for this objective. As shown in Figure 9.1,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sz w:val="22"/>
          <w:szCs w:val="22"/>
        </w:rPr>
        <w:t xml:space="preserve">Suppose that a consent permits access to the data categories given in Equation (9.4), and a healthcare professional then requests the categories given in Equation (9.5).</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(9.4)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(9.5)</w:t>
      </w:r>
    </w:p>
    <w:p>
      <w:pPr>
        <w:spacing w:after="110" w:line="264"/>
        <w:jc w:val="both"/>
      </w:pPr>
      <w:r>
        <w:rPr>
          <w:rFonts w:ascii="Times New Roman" w:cs="Times New Roman" w:eastAsia="Times New Roman" w:hAnsi="Times New Roman"/>
          <w:sz w:val="22"/>
          <w:szCs w:val="22"/>
        </w:rPr>
        <w:t xml:space="preserve">In this case, Equation (9.6)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w:t>
      </w:r>
      <w:r>
        <w:rPr>
          <w:rFonts w:ascii="Times New Roman" w:cs="Times New Roman" w:eastAsia="Times New Roman" w:hAnsi="Times New Roman"/>
          <w:sz w:val="22"/>
          <w:szCs w:val="22"/>
          <w:highlight w:val="magenta"/>
        </w:rPr>
        <w:t xml:space="preserve">Authorisation to access one category of healthcare information does not imply authorisation to access all categories</w:t>
      </w:r>
      <w:r>
        <w:rPr>
          <w:rFonts w:ascii="Times New Roman" w:cs="Times New Roman" w:eastAsia="Times New Roman" w:hAnsi="Times New Roman"/>
          <w:sz w:val="22"/>
          <w:szCs w:val="22"/>
        </w:rPr>
        <w:t xml:space="preserve">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(9.6)</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9.1 evaluates the complete set of conditions defined by the consent and applicable access-control policies. </w:t>
      </w:r>
      <w:r>
        <w:rPr>
          <w:rFonts w:ascii="Times New Roman" w:cs="Times New Roman" w:eastAsia="Times New Roman" w:hAnsi="Times New Roman"/>
          <w:sz w:val="22"/>
          <w:szCs w:val="22"/>
        </w:rPr>
        <w:t xml:space="preserve">If any mandatory condition fails during the evaluation process, the system returns DENY and records the corresponding denial evidence. </w:t>
      </w:r>
      <w:r>
        <w:rPr>
          <w:rFonts w:ascii="Times New Roman" w:cs="Times New Roman" w:eastAsia="Times New Roman" w:hAnsi="Times New Roman"/>
          <w:sz w:val="22"/>
          <w:szCs w:val="22"/>
        </w:rPr>
        <w:t xml:space="preserve">There are two exceptions in the prototype: a consent that is not ACTIVE, whose refusal is reported only in the doctor interface, and an empty request, which the interface stops before it reaches the ledger.</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9.1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sz w:val="19"/>
          <w:szCs w:val="19"/>
        </w:rPr>
        <w:t xml:space="preserve">   ▷ in the prototype, a consent outside its window is NOT_STARTED or EXPIRED, so this refusal is reported in the doctor interface and is not written to the audit ledger</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r>
        <w:rPr>
          <w:rFonts w:ascii="Times New Roman" w:cs="Times New Roman" w:eastAsia="Times New Roman" w:hAnsi="Times New Roman"/>
          <w:sz w:val="19"/>
          <w:szCs w:val="19"/>
        </w:rPr>
        <w:t xml:space="preserve"> with proof_mode = groth16</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w:t>
      </w:r>
      <w:r>
        <w:rPr>
          <w:rFonts w:ascii="Times New Roman" w:cs="Times New Roman" w:eastAsia="Times New Roman" w:hAnsi="Times New Roman"/>
          <w:sz w:val="22"/>
          <w:szCs w:val="22"/>
          <w:highlight w:val="magenta"/>
        </w:rPr>
        <w:t xml:space="preserve">This ordering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w:t>
      </w:r>
      <w:r>
        <w:rPr>
          <w:rFonts w:ascii="Times New Roman" w:cs="Times New Roman" w:eastAsia="Times New Roman" w:hAnsi="Times New Roman"/>
          <w:sz w:val="22"/>
          <w:szCs w:val="22"/>
        </w:rPr>
        <w:t xml:space="preserve">requires</w:t>
      </w:r>
      <w:r>
        <w:rPr>
          <w:rFonts w:ascii="Times New Roman" w:cs="Times New Roman" w:eastAsia="Times New Roman" w:hAnsi="Times New Roman"/>
          <w:sz w:val="22"/>
          <w:szCs w:val="22"/>
        </w:rPr>
        <w:t xml:space="preserve"> the evidence supporting the access decision</w:t>
      </w:r>
      <w:r>
        <w:rPr>
          <w:rFonts w:ascii="Times New Roman" w:cs="Times New Roman" w:eastAsia="Times New Roman" w:hAnsi="Times New Roman"/>
          <w:sz w:val="22"/>
          <w:szCs w:val="22"/>
        </w:rPr>
        <w:t xml:space="preserve"> to be</w:t>
      </w:r>
      <w:r>
        <w:rPr>
          <w:rFonts w:ascii="Times New Roman" w:cs="Times New Roman" w:eastAsia="Times New Roman" w:hAnsi="Times New Roman"/>
          <w:sz w:val="22"/>
          <w:szCs w:val="22"/>
        </w:rPr>
        <w:t xml:space="preserve"> a Groth16 zero-knowledge proof</w:t>
      </w:r>
      <w:r>
        <w:rPr>
          <w:rFonts w:ascii="Times New Roman" w:cs="Times New Roman" w:eastAsia="Times New Roman" w:hAnsi="Times New Roman"/>
          <w:sz w:val="22"/>
          <w:szCs w:val="22"/>
        </w:rPr>
        <w:t xml:space="preserve"> that has verified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the prototype, the doctor subsystem generates and verifies this proof before the decision matrix is evaluated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circuit is written in circom </w:t>
      </w:r>
      <w:r>
        <w:rPr>
          <w:rFonts w:ascii="Times New Roman" w:cs="Times New Roman" w:eastAsia="Times New Roman" w:hAnsi="Times New Roman"/>
          <w:sz w:val="22"/>
          <w:szCs w:val="22"/>
          <w:highlight w:val="green"/>
        </w:rPr>
        <w:t xml:space="preserve">(iden3 2026b)</w:t>
      </w:r>
      <w:r>
        <w:rPr>
          <w:rFonts w:ascii="Times New Roman" w:cs="Times New Roman" w:eastAsia="Times New Roman" w:hAnsi="Times New Roman"/>
          <w:sz w:val="22"/>
          <w:szCs w:val="22"/>
        </w:rPr>
        <w:t xml:space="preserve">, and the proof is generated and verified with snarkjs </w:t>
      </w:r>
      <w:r>
        <w:rPr>
          <w:rFonts w:ascii="Times New Roman" w:cs="Times New Roman" w:eastAsia="Times New Roman" w:hAnsi="Times New Roman"/>
          <w:sz w:val="22"/>
          <w:szCs w:val="22"/>
          <w:highlight w:val="green"/>
        </w:rPr>
        <w:t xml:space="preserve">(iden3 2026a)</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proof shows that the prover knows the secret and the expiry time </w:t>
      </w:r>
      <w:r>
        <w:rPr>
          <w:rFonts w:ascii="Times New Roman" w:cs="Times New Roman" w:eastAsia="Times New Roman" w:hAnsi="Times New Roman"/>
          <w:sz w:val="22"/>
          <w:szCs w:val="22"/>
        </w:rPr>
        <w:t xml:space="preserve">behind a Poseidon commitment </w:t>
      </w:r>
      <w:r>
        <w:rPr>
          <w:rFonts w:ascii="Times New Roman" w:cs="Times New Roman" w:eastAsia="Times New Roman" w:hAnsi="Times New Roman"/>
          <w:sz w:val="22"/>
          <w:szCs w:val="22"/>
          <w:highlight w:val="green"/>
        </w:rPr>
        <w:t xml:space="preserve">(Grassi et al. 2021)</w:t>
      </w:r>
      <w:r>
        <w:rPr>
          <w:rFonts w:ascii="Times New Roman" w:cs="Times New Roman" w:eastAsia="Times New Roman" w:hAnsi="Times New Roman"/>
          <w:sz w:val="22"/>
          <w:szCs w:val="22"/>
        </w:rPr>
        <w:t xml:space="preserve">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9.1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w:t>
      </w:r>
      <w:r>
        <w:rPr>
          <w:rFonts w:ascii="Times New Roman" w:cs="Times New Roman" w:eastAsia="Times New Roman" w:hAnsi="Times New Roman"/>
          <w:sz w:val="22"/>
          <w:szCs w:val="22"/>
          <w:highlight w:val="magenta"/>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9.1 therefore acts as the final policy-enforcement layer of the proposed authorisation lifecycle. Algorithm 6.1 establishes the consent constraints, Algorithm 7.1 establishes trustworthy identity and authority evidence, and Algorithm 8.1 establishes collective authorisation evidence. Algorithm 9.1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 </w:t>
      </w:r>
      <w:r>
        <w:rPr>
          <w:rFonts w:ascii="Times New Roman" w:cs="Times New Roman" w:eastAsia="Times New Roman" w:hAnsi="Times New Roman"/>
          <w:sz w:val="22"/>
          <w:szCs w:val="22"/>
        </w:rPr>
        <w:t xml:space="preserve">The next section presents the solution for RO5, which keeps a consent valid only within its time interval and lifecycle state.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t>
      </w:r>
      <w:r>
        <w:rPr>
          <w:rFonts w:ascii="Times New Roman" w:cs="Times New Roman" w:eastAsia="Times New Roman" w:hAnsi="Times New Roman"/>
          <w:sz w:val="22"/>
          <w:szCs w:val="22"/>
        </w:rPr>
        <w:t xml:space="preserve">was originally planned for the next stage because</w:t>
      </w:r>
      <w:r>
        <w:rPr>
          <w:rFonts w:ascii="Times New Roman" w:cs="Times New Roman" w:eastAsia="Times New Roman" w:hAnsi="Times New Roman"/>
          <w:sz w:val="22"/>
          <w:szCs w:val="22"/>
        </w:rPr>
        <w:t xml:space="preserv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 </w:t>
      </w:r>
      <w:r>
        <w:rPr>
          <w:rFonts w:ascii="Times New Roman" w:cs="Times New Roman" w:eastAsia="Times New Roman" w:hAnsi="Times New Roman"/>
          <w:sz w:val="22"/>
          <w:szCs w:val="22"/>
        </w:rPr>
        <w:t xml:space="preserve">Section 10.1 defines the temporal and jurisdictional conditions, Section 10.2 describes the controls that are already implemented, and Section 10.3 sets out the remaining work and the expected outcome.</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z w:val="22"/>
          <w:szCs w:val="22"/>
        </w:rPr>
        <w:t xml:space="preserve"> A consent that is valid at one point in time cannot necessarily be assumed to remain valid indefinitely. The system compares the current time t with the consent validity interval, and Equation (10.1)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(10.1)</w:t>
      </w:r>
    </w:p>
    <w:p>
      <w:pPr>
        <w:spacing w:after="110" w:line="264"/>
        <w:jc w:val="both"/>
      </w:pPr>
      <w:r>
        <w:rPr>
          <w:rFonts w:ascii="Times New Roman" w:cs="Times New Roman" w:eastAsia="Times New Roman" w:hAnsi="Times New Roman"/>
          <w:sz w:val="22"/>
          <w:szCs w:val="22"/>
        </w:rPr>
        <w:t xml:space="preserve">Equation (10.2)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t>
      </w:r>
      <w:r>
        <w:rPr>
          <w:rFonts w:ascii="Times New Roman" w:cs="Times New Roman" w:eastAsia="Times New Roman" w:hAnsi="Times New Roman"/>
          <w:sz w:val="22"/>
          <w:szCs w:val="22"/>
        </w:rPr>
        <w:t xml:space="preserve">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(10.2)</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w:t>
      </w:r>
      <w:r>
        <w:rPr>
          <w:rFonts w:ascii="Times New Roman" w:cs="Times New Roman" w:eastAsia="Times New Roman" w:hAnsi="Times New Roman"/>
          <w:sz w:val="22"/>
          <w:szCs w:val="22"/>
        </w:rPr>
        <w:t xml:space="preserve">As in Section 5.2, revocation and the token state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while the time-based states are evaluated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(10.3). A valid authorisation decision requires the simultaneous satisfaction of all relevant trust conditions. Consequently, failure of any individual condition results in denial. </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(10.3)</w:t>
      </w:r>
    </w:p>
    <w:p>
      <w:pPr>
        <w:spacing w:after="110" w:line="264"/>
        <w:jc w:val="both"/>
      </w:pPr>
      <w:r>
        <w:rPr>
          <w:rFonts w:ascii="Times New Roman" w:cs="Times New Roman" w:eastAsia="Times New Roman" w:hAnsi="Times New Roman"/>
          <w:sz w:val="22"/>
          <w:szCs w:val="22"/>
          <w:highlight w:val="magenta"/>
        </w:rPr>
        <w:t xml:space="preserve">Authorisation is not permanent. A consent that was valid when approved can later become invalid through expiration or revocation. RO5 is therefore more than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10.1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3714750" cy="533400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7147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10.1: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w:t>
      </w:r>
      <w:r>
        <w:rPr>
          <w:rFonts w:ascii="Times New Roman" w:cs="Times New Roman" w:eastAsia="Times New Roman" w:hAnsi="Times New Roman"/>
          <w:sz w:val="22"/>
          <w:szCs w:val="22"/>
        </w:rPr>
        <w:t xml:space="preserve"> PENDING_TOKEN is the brief state between the last verified approval and the recording of the local token identifier</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implementation performs the two in one step, which is why Algorithm 8.1 and Figure 8.1 show them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At each evaluation,</w:t>
      </w:r>
      <w:r>
        <w:rPr>
          <w:rFonts w:ascii="Times New Roman" w:cs="Times New Roman" w:eastAsia="Times New Roman" w:hAnsi="Times New Roman"/>
          <w:sz w:val="22"/>
          <w:szCs w:val="22"/>
        </w:rPr>
        <w:t xml:space="preserve">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10.2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w:t>
      </w:r>
      <w:r>
        <w:rPr>
          <w:rFonts w:ascii="Times New Roman" w:cs="Times New Roman" w:eastAsia="Times New Roman" w:hAnsi="Times New Roman"/>
          <w:sz w:val="22"/>
          <w:szCs w:val="22"/>
          <w:highlight w:val="magenta"/>
        </w:rPr>
        <w:t xml:space="preserve">The system therefore checks whether authorisation is still valid at the time an operation is requested, instead of treating authorisation as a one-time event.</w:t>
      </w:r>
      <w:r>
        <w:rPr>
          <w:rFonts w:ascii="Times New Roman" w:cs="Times New Roman" w:eastAsia="Times New Roman" w:hAnsi="Times New Roman"/>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10.2: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w:t>
      </w:r>
      <w:r>
        <w:rPr>
          <w:rFonts w:ascii="Times New Roman" w:cs="Times New Roman" w:eastAsia="Times New Roman" w:hAnsi="Times New Roman"/>
          <w:sz w:val="22"/>
          <w:szCs w:val="22"/>
        </w:rPr>
        <w:t xml:space="preserve">Five elements remain for the next stage.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w:t>
      </w:r>
      <w:r>
        <w:rPr>
          <w:rFonts w:ascii="Times New Roman" w:cs="Times New Roman" w:eastAsia="Times New Roman" w:hAnsi="Times New Roman"/>
          <w:sz w:val="22"/>
          <w:szCs w:val="22"/>
        </w:rPr>
        <w:t xml:space="preserve">The next stage will therefore extend</w:t>
      </w:r>
      <w:r>
        <w:rPr>
          <w:rFonts w:ascii="Times New Roman" w:cs="Times New Roman" w:eastAsia="Times New Roman" w:hAnsi="Times New Roman"/>
          <w:sz w:val="22"/>
          <w:szCs w:val="22"/>
        </w:rPr>
        <w:t xml:space="preserve">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w:t>
      </w:r>
      <w:r>
        <w:rPr>
          <w:rFonts w:ascii="Times New Roman" w:cs="Times New Roman" w:eastAsia="Times New Roman" w:hAnsi="Times New Roman"/>
          <w:sz w:val="22"/>
          <w:szCs w:val="22"/>
        </w:rPr>
        <w:t xml:space="preserve">will record</w:t>
      </w:r>
      <w:r>
        <w:rPr>
          <w:rFonts w:ascii="Times New Roman" w:cs="Times New Roman" w:eastAsia="Times New Roman" w:hAnsi="Times New Roman"/>
          <w:sz w:val="22"/>
          <w:szCs w:val="22"/>
        </w:rPr>
        <w:t xml:space="preserve"> an unauthorised state-transition event and </w:t>
      </w:r>
      <w:r>
        <w:rPr>
          <w:rFonts w:ascii="Times New Roman" w:cs="Times New Roman" w:eastAsia="Times New Roman" w:hAnsi="Times New Roman"/>
          <w:sz w:val="22"/>
          <w:szCs w:val="22"/>
        </w:rPr>
        <w:t xml:space="preserve">return</w:t>
      </w:r>
      <w:r>
        <w:rPr>
          <w:rFonts w:ascii="Times New Roman" w:cs="Times New Roman" w:eastAsia="Times New Roman" w:hAnsi="Times New Roman"/>
          <w:sz w:val="22"/>
          <w:szCs w:val="22"/>
        </w:rPr>
        <w:t xml:space="preserve"> INVALID, but this </w:t>
      </w:r>
      <w:r>
        <w:rPr>
          <w:rFonts w:ascii="Times New Roman" w:cs="Times New Roman" w:eastAsia="Times New Roman" w:hAnsi="Times New Roman"/>
          <w:sz w:val="22"/>
          <w:szCs w:val="22"/>
        </w:rPr>
        <w:t xml:space="preserve">check is not yet implemented.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implemented temporal and revocation checks already ensure</w:t>
      </w:r>
      <w:r>
        <w:rPr>
          <w:rFonts w:ascii="Times New Roman" w:cs="Times New Roman" w:eastAsia="Times New Roman" w:hAnsi="Times New Roman"/>
          <w:sz w:val="22"/>
          <w:szCs w:val="22"/>
        </w:rPr>
        <w:t xml:space="preserv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w:t>
      </w:r>
      <w:r>
        <w:rPr>
          <w:rFonts w:ascii="Times New Roman" w:cs="Times New Roman" w:eastAsia="Times New Roman" w:hAnsi="Times New Roman"/>
          <w:sz w:val="22"/>
          <w:szCs w:val="22"/>
        </w:rPr>
        <w:t xml:space="preserve"> The main activities of the next stage</w:t>
      </w:r>
      <w:r>
        <w:rPr>
          <w:rFonts w:ascii="Times New Roman" w:cs="Times New Roman" w:eastAsia="Times New Roman" w:hAnsi="Times New Roman"/>
          <w:sz w:val="22"/>
          <w:szCs w:val="22"/>
        </w:rPr>
        <w:t xml:space="preserve"> and their expected outcomes are summarised in Section 13. </w:t>
      </w:r>
      <w:r>
        <w:rPr>
          <w:rFonts w:ascii="Times New Roman" w:cs="Times New Roman" w:eastAsia="Times New Roman" w:hAnsi="Times New Roman"/>
          <w:sz w:val="22"/>
          <w:szCs w:val="22"/>
        </w:rPr>
        <w:t xml:space="preserve">The next section presents RO6, the validation of the framework on the HALAH prototype.</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t>
      </w:r>
      <w:r>
        <w:rPr>
          <w:rFonts w:ascii="Times New Roman" w:cs="Times New Roman" w:eastAsia="Times New Roman" w:hAnsi="Times New Roman"/>
          <w:sz w:val="22"/>
          <w:szCs w:val="22"/>
        </w:rPr>
        <w:t xml:space="preserve">will be conducted in the next stage.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Section 11.1 sets out the validation approach, Section 11.2 describes the dataset, Section 11.3 presents the HALAH prototype and the live scenarios, Section 11.4 reports the measured results, Section 11.5 reports the unit-level adversarial tests, and Section 11.6 lists the remaining work.</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11.1 presents the RO6 workflow for formal security assurance and empirical validation. </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4752975" cy="533400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5297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w:t>
      </w:r>
      <w:r>
        <w:rPr>
          <w:rFonts w:ascii="Times New Roman" w:cs="Times New Roman" w:eastAsia="Times New Roman" w:hAnsi="Times New Roman"/>
          <w:sz w:val="22"/>
          <w:szCs w:val="22"/>
          <w:highlight w:val="magenta"/>
        </w:rPr>
        <w:t xml:space="preserve">Functional correctness and security correctness are therefore tested separately.</w:t>
      </w:r>
      <w:r>
        <w:rPr>
          <w:rFonts w:ascii="Times New Roman" w:cs="Times New Roman" w:eastAsia="Times New Roman" w:hAnsi="Times New Roman"/>
          <w:sz w:val="22"/>
          <w:szCs w:val="22"/>
        </w:rPr>
        <w:t xml:space="preserve"> The proposed validation therefore does not treat successful execution as sufficient evidence of correctness. Equation (11.1)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(11.1)</w:t>
      </w:r>
    </w:p>
    <w:p>
      <w:pPr>
        <w:spacing w:after="110" w:line="264"/>
        <w:jc w:val="both"/>
      </w:pPr>
      <w:r>
        <w:rPr>
          <w:rFonts w:ascii="Times New Roman" w:cs="Times New Roman" w:eastAsia="Times New Roman" w:hAnsi="Times New Roman"/>
          <w:sz w:val="22"/>
          <w:szCs w:val="22"/>
        </w:rPr>
        <w:t xml:space="preserve">Equivalently, Equation (11.2), the contrapositive of Equation (11.1), states that if any mandatory condition is violated, the request must be denied. Equation (11.1) is therefore examined through the granted requests and Equation (11.2) through the negative scenarios, while the valid scenarios examine the opposite direction, namely that a request satisfying all conditions is granted. A valid authorisation decision requires the simultaneous satisfaction of all relevant trust conditions. Each </w:t>
      </w:r>
      <w:r>
        <w:rPr>
          <w:rFonts w:ascii="Times New Roman" w:cs="Times New Roman" w:eastAsia="Times New Roman" w:hAnsi="Times New Roman"/>
          <w:sz w:val="22"/>
          <w:szCs w:val="22"/>
        </w:rPr>
        <w:t xml:space="preserve">of the five predicates of Equation (10.3)</w:t>
      </w:r>
      <w:r>
        <w:rPr>
          <w:rFonts w:ascii="Times New Roman" w:cs="Times New Roman" w:eastAsia="Times New Roman" w:hAnsi="Times New Roman"/>
          <w:sz w:val="22"/>
          <w:szCs w:val="22"/>
        </w:rPr>
        <w:t xml:space="preserve">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(11.2)</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w:t>
      </w:r>
      <w:r>
        <w:rPr>
          <w:rFonts w:ascii="Times New Roman" w:cs="Times New Roman" w:eastAsia="Times New Roman" w:hAnsi="Times New Roman"/>
          <w:sz w:val="22"/>
          <w:szCs w:val="22"/>
        </w:rPr>
        <w:t xml:space="preserve">when the requested data scope falls outside the consent scope, or when the consent purpose is not a supported healthcare use</w:t>
      </w:r>
      <w:r>
        <w:rPr>
          <w:rFonts w:ascii="Times New Roman" w:cs="Times New Roman" w:eastAsia="Times New Roman" w:hAnsi="Times New Roman"/>
          <w:sz w:val="22"/>
          <w:szCs w:val="22"/>
        </w:rPr>
        <w:t xml:space="preserve">.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Dataset Used for Validation</w:t>
      </w:r>
    </w:p>
    <w:p>
      <w:pPr>
        <w:spacing w:after="110" w:line="264"/>
        <w:jc w:val="both"/>
      </w:pPr>
      <w:r>
        <w:rPr>
          <w:rFonts w:ascii="Times New Roman" w:cs="Times New Roman" w:eastAsia="Times New Roman" w:hAnsi="Times New Roman"/>
          <w:sz w:val="22"/>
          <w:szCs w:val="22"/>
        </w:rPr>
        <w:t xml:space="preserve">The prototype uses synthetic patient records from the Synthea 1K sample </w:t>
      </w:r>
      <w:r>
        <w:rPr>
          <w:rFonts w:ascii="Times New Roman" w:cs="Times New Roman" w:eastAsia="Times New Roman" w:hAnsi="Times New Roman"/>
          <w:sz w:val="22"/>
          <w:szCs w:val="22"/>
          <w:highlight w:val="green"/>
        </w:rPr>
        <w:t xml:space="preserve">(Walonoski et al. 2018)</w:t>
      </w:r>
      <w:r>
        <w:rPr>
          <w:rFonts w:ascii="Times New Roman" w:cs="Times New Roman" w:eastAsia="Times New Roman" w:hAnsi="Times New Roman"/>
          <w:sz w:val="22"/>
          <w:szCs w:val="22"/>
        </w:rPr>
        <w:t xml:space="preserve">, taken from synthea.mitre.org in its CSV export rather than its FHIR R4 export </w:t>
      </w:r>
      <w:r>
        <w:rPr>
          <w:rFonts w:ascii="Times New Roman" w:cs="Times New Roman" w:eastAsia="Times New Roman" w:hAnsi="Times New Roman"/>
          <w:sz w:val="22"/>
          <w:szCs w:val="22"/>
          <w:highlight w:val="green"/>
        </w:rPr>
        <w:t xml:space="preserve">(HL7 International 2019)</w:t>
      </w:r>
      <w:r>
        <w:rPr>
          <w:rFonts w:ascii="Times New Roman" w:cs="Times New Roman" w:eastAsia="Times New Roman" w:hAnsi="Times New Roman"/>
          <w:sz w:val="22"/>
          <w:szCs w:val="22"/>
        </w:rPr>
        <w:t xml:space="preserve">. Synthea generates realistic but artificial patients, so no real patient data is involved.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 The authorisation decisions do not depend on the clinical content, and no medical content is written to the chain. The records are not changed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only step is the selection of the subset loaded into the local database of the prototype.</w:t>
      </w: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w:t>
      </w:r>
      <w:r>
        <w:rPr>
          <w:rFonts w:ascii="Times New Roman" w:cs="Times New Roman" w:eastAsia="Times New Roman" w:hAnsi="Times New Roman"/>
          <w:sz w:val="22"/>
          <w:szCs w:val="22"/>
        </w:rPr>
        <w:t xml:space="preserve">consent management platform. The current system includes separate patient, guardian, doctor, and auditor interfaces</w:t>
      </w:r>
      <w:r>
        <w:rPr>
          <w:rFonts w:ascii="Times New Roman" w:cs="Times New Roman" w:eastAsia="Times New Roman" w:hAnsi="Times New Roman"/>
          <w:sz w:val="22"/>
          <w:szCs w:val="22"/>
        </w:rPr>
        <w:t xml:space="preserve">, and the role shown in an interface is declared rather than authenticated, as noted in Section 5</w:t>
      </w:r>
      <w:r>
        <w:rPr>
          <w:rFonts w:ascii="Times New Roman" w:cs="Times New Roman" w:eastAsia="Times New Roman" w:hAnsi="Times New Roman"/>
          <w:sz w:val="22"/>
          <w:szCs w:val="22"/>
        </w:rPr>
        <w:t xml:space="preserve">. It also records consent creation, guardian approval, token minting, state checks, and data-access events. Following successful threshold satisfaction, the system generates activation or token evidence associated with the authorisation decision through ConsentSBTv3</w:t>
      </w:r>
      <w:r>
        <w:rPr>
          <w:rFonts w:ascii="Times New Roman" w:cs="Times New Roman" w:eastAsia="Times New Roman" w:hAnsi="Times New Roman"/>
          <w:sz w:val="22"/>
          <w:szCs w:val="22"/>
        </w:rPr>
        <w:t xml:space="preserve">, a contract written in Solidity </w:t>
      </w:r>
      <w:r>
        <w:rPr>
          <w:rFonts w:ascii="Times New Roman" w:cs="Times New Roman" w:eastAsia="Times New Roman" w:hAnsi="Times New Roman"/>
          <w:sz w:val="22"/>
          <w:szCs w:val="22"/>
          <w:highlight w:val="green"/>
        </w:rPr>
        <w:t xml:space="preserve">(Ethereum Foundation 2026a)</w:t>
      </w:r>
      <w:r>
        <w:rPr>
          <w:rFonts w:ascii="Times New Roman" w:cs="Times New Roman" w:eastAsia="Times New Roman" w:hAnsi="Times New Roman"/>
          <w:sz w:val="22"/>
          <w:szCs w:val="22"/>
        </w:rPr>
        <w:t xml:space="preserve"> for the Ethereum virtual machine </w:t>
      </w:r>
      <w:r>
        <w:rPr>
          <w:rFonts w:ascii="Times New Roman" w:cs="Times New Roman" w:eastAsia="Times New Roman" w:hAnsi="Times New Roman"/>
          <w:sz w:val="22"/>
          <w:szCs w:val="22"/>
          <w:highlight w:val="green"/>
        </w:rPr>
        <w:t xml:space="preserve">(Wood 2014)</w:t>
      </w:r>
      <w:r>
        <w:rPr>
          <w:rFonts w:ascii="Times New Roman" w:cs="Times New Roman" w:eastAsia="Times New Roman" w:hAnsi="Times New Roman"/>
          <w:sz w:val="22"/>
          <w:szCs w:val="22"/>
        </w:rPr>
        <w:t xml:space="preserve">, compiled in Remix</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highlight w:val="green"/>
        </w:rPr>
        <w:t xml:space="preserve">(Ethereum Foundation 2026c)</w:t>
      </w:r>
      <w:r>
        <w:rPr>
          <w:rFonts w:ascii="Times New Roman" w:cs="Times New Roman" w:eastAsia="Times New Roman" w:hAnsi="Times New Roman"/>
          <w:sz w:val="22"/>
          <w:szCs w:val="22"/>
        </w:rPr>
        <w:t xml:space="preserve"> and deployed </w:t>
      </w:r>
      <w:r>
        <w:rPr>
          <w:rFonts w:ascii="Times New Roman" w:cs="Times New Roman" w:eastAsia="Times New Roman" w:hAnsi="Times New Roman"/>
          <w:sz w:val="22"/>
          <w:szCs w:val="22"/>
        </w:rPr>
        <w:t xml:space="preserve">on the Sepolia testnet </w:t>
      </w:r>
      <w:r>
        <w:rPr>
          <w:rFonts w:ascii="Times New Roman" w:cs="Times New Roman" w:eastAsia="Times New Roman" w:hAnsi="Times New Roman"/>
          <w:sz w:val="22"/>
          <w:szCs w:val="22"/>
          <w:highlight w:val="green"/>
        </w:rPr>
        <w:t xml:space="preserve">(Ethereum Foundation 2026b)</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via MetaMask</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highlight w:val="green"/>
        </w:rPr>
        <w:t xml:space="preserve">(Consensys 2026)</w:t>
      </w:r>
      <w:r>
        <w:rPr>
          <w:rFonts w:ascii="Times New Roman" w:cs="Times New Roman" w:eastAsia="Times New Roman" w:hAnsi="Times New Roman"/>
          <w:sz w:val="22"/>
          <w:szCs w:val="22"/>
        </w:rPr>
        <w:t xml:space="preserve">. Each token stores the pseudonymous patient and requester addresses, a hash of the purpose, the validity window, a two-letter jurisdiction code, and a revocation flag. </w:t>
      </w:r>
      <w:r>
        <w:rPr>
          <w:rFonts w:ascii="Times New Roman" w:cs="Times New Roman" w:eastAsia="Times New Roman" w:hAnsi="Times New Roman"/>
          <w:sz w:val="22"/>
          <w:szCs w:val="22"/>
        </w:rPr>
        <w:t xml:space="preserve">The SBT, a soulbound ERC-721 token </w:t>
      </w:r>
      <w:r>
        <w:rPr>
          <w:rFonts w:ascii="Times New Roman" w:cs="Times New Roman" w:eastAsia="Times New Roman" w:hAnsi="Times New Roman"/>
          <w:sz w:val="22"/>
          <w:szCs w:val="22"/>
          <w:highlight w:val="green"/>
        </w:rPr>
        <w:t xml:space="preserve">(Entriken et al. 2018)</w:t>
      </w:r>
      <w:r>
        <w:rPr>
          <w:rFonts w:ascii="Times New Roman" w:cs="Times New Roman" w:eastAsia="Times New Roman" w:hAnsi="Times New Roman"/>
          <w:sz w:val="22"/>
          <w:szCs w:val="22"/>
        </w:rPr>
        <w:t xml:space="preserve"> that follows ERC-5484 </w:t>
      </w:r>
      <w:r>
        <w:rPr>
          <w:rFonts w:ascii="Times New Roman" w:cs="Times New Roman" w:eastAsia="Times New Roman" w:hAnsi="Times New Roman"/>
          <w:sz w:val="22"/>
          <w:szCs w:val="22"/>
          <w:highlight w:val="green"/>
        </w:rPr>
        <w:t xml:space="preserve">(Cai 2022)</w:t>
      </w:r>
      <w:r>
        <w:rPr>
          <w:rFonts w:ascii="Times New Roman" w:cs="Times New Roman" w:eastAsia="Times New Roman" w:hAnsi="Times New Roman"/>
          <w:sz w:val="22"/>
          <w:szCs w:val="22"/>
        </w:rPr>
        <w:t xml:space="preserve">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w:t>
      </w:r>
      <w:r>
        <w:rPr>
          <w:rFonts w:ascii="Times New Roman" w:cs="Times New Roman" w:eastAsia="Times New Roman" w:hAnsi="Times New Roman"/>
          <w:sz w:val="22"/>
          <w:szCs w:val="22"/>
        </w:rPr>
        <w:t xml:space="preserve"> The synthetic records that the prototype loads are described in Section 11.2.</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sz w:val="22"/>
          <w:szCs w:val="22"/>
        </w:rPr>
        <w:t xml:space="preserve">Figure 11.4 shows the evaluated consent f050c29a.</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creation, approval, and record-display screens (Figure 11.2, Figure 11.3 and Figure 11.5) were captured from a second lifecycle, 04da25f5, which used the same code, contract, and configuration and was anchored as token #2.</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11.2,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w:t>
      </w:r>
      <w:r>
        <w:rPr>
          <w:rFonts w:ascii="Times New Roman" w:cs="Times New Roman" w:eastAsia="Times New Roman" w:hAnsi="Times New Roman"/>
          <w:sz w:val="22"/>
          <w:szCs w:val="22"/>
          <w:highlight w:val="magenta"/>
        </w:rPr>
        <w:t xml:space="preserve">The consent object therefore holds the information needed for identity verification, multi-party authorisation, policy evaluation, and auditability. It is a structured authorisation artefact, not only a record of patient preference</w:t>
      </w:r>
      <w:r>
        <w:rPr>
          <w:rFonts w:ascii="Times New Roman" w:cs="Times New Roman" w:eastAsia="Times New Roman" w:hAnsi="Times New Roman"/>
          <w:sz w:val="22"/>
          <w:szCs w:val="22"/>
        </w:rPr>
        <w:t xml:space="preserve">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11.2: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11.3. </w:t>
      </w:r>
      <w:r>
        <w:rPr>
          <w:rFonts w:ascii="Times New Roman" w:cs="Times New Roman" w:eastAsia="Times New Roman" w:hAnsi="Times New Roman"/>
          <w:sz w:val="22"/>
          <w:szCs w:val="22"/>
        </w:rPr>
        <w:t xml:space="preserve">The public anchoring of the evaluated consent f050c29a in block 11,771,243 (block 11,771,581 for consent 04da25f5 in Figure 11.3)</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11.3: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11.4,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11.5,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524250"/>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47675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11.4: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4695825" cy="5334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6958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11.5: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11.6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11.6: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w:t>
      </w:r>
      <w:r>
        <w:rPr>
          <w:rFonts w:ascii="Times New Roman" w:cs="Times New Roman" w:eastAsia="Times New Roman" w:hAnsi="Times New Roman"/>
          <w:sz w:val="22"/>
          <w:szCs w:val="22"/>
        </w:rPr>
        <w:t xml:space="preserve">is refused by the doctor subsystem at the consent-state check, because the consent is no longer ACTIVE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11.7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11.7: </w:t>
      </w:r>
      <w:r>
        <w:rPr>
          <w:rFonts w:ascii="Times New Roman" w:cs="Times New Roman" w:eastAsia="Times New Roman" w:hAnsi="Times New Roman"/>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highlight w:val="magenta"/>
        </w:rPr>
        <w:t xml:space="preserve">An auditor can examine whether access occurred, whether the requester possessed a valid identity</w:t>
      </w:r>
      <w:r>
        <w:rPr>
          <w:rFonts w:ascii="Times New Roman" w:cs="Times New Roman" w:eastAsia="Times New Roman" w:hAnsi="Times New Roman"/>
          <w:sz w:val="22"/>
          <w:szCs w:val="22"/>
        </w:rPr>
        <w:t xml:space="preserve">, whether the required authorisation threshold was satisfied, whether the requested data complied with the authorised scope, and which conditions produced the final decision. As shown in Figure 11.8,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sz w:val="22"/>
          <w:szCs w:val="22"/>
        </w:rPr>
        <w:t xml:space="preserve">compares the on-chain record and revocation state of tokens #1 and #2 on the current contract with the local state, with the result shown in Figure 11.9.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11.8: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11.9: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11.1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w:t>
      </w:r>
      <w:r>
        <w:rPr>
          <w:rFonts w:ascii="Times New Roman" w:cs="Times New Roman" w:eastAsia="Times New Roman" w:hAnsi="Times New Roman"/>
          <w:sz w:val="22"/>
          <w:szCs w:val="22"/>
          <w:highlight w:val="magenta"/>
        </w:rPr>
        <w:t xml:space="preserve">The subsystems have different responsibilities, and none of them decides on its own whether access should be granted.</w:t>
      </w:r>
    </w:p>
    <w:p>
      <w:pPr>
        <w:keepNext/>
        <w:spacing w:after="80" w:before="200"/>
        <w:jc w:val="center"/>
      </w:pPr>
      <w:r>
        <w:rPr>
          <w:rFonts w:ascii="Times New Roman" w:cs="Times New Roman" w:eastAsia="Times New Roman" w:hAnsi="Times New Roman"/>
          <w:b/>
          <w:bCs/>
          <w:sz w:val="18"/>
          <w:szCs w:val="18"/>
        </w:rPr>
        <w:t xml:space="preserve">Table 11.1: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11.2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11.2: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11.10,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11.10: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11.3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proof mode itself is written only on granted rows, which is why Table 11.3 shows it as not logged for that row</w:t>
      </w:r>
      <w:r>
        <w:rPr>
          <w:rFonts w:ascii="Times New Roman" w:cs="Times New Roman" w:eastAsia="Times New Roman" w:hAnsi="Times New Roman"/>
          <w:sz w:val="22"/>
          <w:szCs w:val="22"/>
        </w:rPr>
        <w:t xml:space="preserve">. In each of the six logged evaluations, the recorded audit evidence is consistent with the actual authorisation decision. </w:t>
      </w:r>
      <w:r>
        <w:rPr>
          <w:rFonts w:ascii="Times New Roman" w:cs="Times New Roman" w:eastAsia="Times New Roman" w:hAnsi="Times New Roman"/>
          <w:sz w:val="22"/>
          <w:szCs w:val="22"/>
          <w:highlight w:val="magenta"/>
        </w:rPr>
        <w:t xml:space="preserve">Validation therefore checks the evidence behind each decision as well as the final ALLOW or DENY.</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11.3: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11.4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11.4: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11.2</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11.11,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1.4 is not plotted, as its values are close to those of the checkValidAt read" title="Processing time of the decision components on a logarithmic axis (median and minimum to maximum). The checkValid read of Table 11.4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11.11: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11.4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z w:val="22"/>
          <w:szCs w:val="22"/>
          <w:highlight w:val="magenta"/>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w:t>
      </w:r>
      <w:r>
        <w:rPr>
          <w:rFonts w:ascii="Times New Roman" w:cs="Times New Roman" w:eastAsia="Times New Roman" w:hAnsi="Times New Roman"/>
          <w:sz w:val="22"/>
          <w:szCs w:val="22"/>
        </w:rPr>
        <w:t xml:space="preserve">the component of C that it targets, as listed in Table 11.5</w:t>
      </w:r>
      <w:r>
        <w:rPr>
          <w:rFonts w:ascii="Times New Roman" w:cs="Times New Roman" w:eastAsia="Times New Roman" w:hAnsi="Times New Roman"/>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11.5 and Figure 11.12 record whether each scenario has passed or failed. Before the hardening, three attacks, A1, A3, and A5, were accepted when the service functions were called directly. </w:t>
      </w:r>
      <w:r>
        <w:rPr>
          <w:rFonts w:ascii="Times New Roman" w:cs="Times New Roman" w:eastAsia="Times New Roman" w:hAnsi="Times New Roman"/>
          <w:sz w:val="22"/>
          <w:szCs w:val="22"/>
          <w:highlight w:val="magenta"/>
        </w:rPr>
        <w:t xml:space="preserve">A design can be correct while its implementation is not, and functional tests alone do not show this.</w:t>
      </w:r>
      <w:r>
        <w:rPr>
          <w:rFonts w:ascii="Times New Roman" w:cs="Times New Roman" w:eastAsia="Times New Roman" w:hAnsi="Times New Roman"/>
          <w:sz w:val="22"/>
          <w:szCs w:val="22"/>
        </w:rPr>
        <w:t xml:space="preserve"> Any failed scenario is analysed to determine the source and significance of the failure. </w:t>
      </w:r>
      <w:r>
        <w:rPr>
          <w:rFonts w:ascii="Times New Roman" w:cs="Times New Roman" w:eastAsia="Times New Roman" w:hAnsi="Times New Roman"/>
          <w:sz w:val="22"/>
          <w:szCs w:val="22"/>
          <w:highlight w:val="magenta"/>
        </w:rPr>
        <w:t xml:space="preserve">The analysis records the unsuccessful cases and classifies each one as a violation of an intended security property or as a limitation to be addressed in the next stage.</w:t>
      </w:r>
      <w:r>
        <w:rPr>
          <w:rFonts w:ascii="Times New Roman" w:cs="Times New Roman" w:eastAsia="Times New Roman" w:hAnsi="Times New Roman"/>
          <w:sz w:val="22"/>
          <w:szCs w:val="22"/>
        </w:rPr>
        <w:t xml:space="preserve">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11.5: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11.6</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11.12: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highlight w:val="magenta"/>
        </w:rPr>
        <w:t xml:space="preserve">The analysis separates implementation defects from incomplete security controls and from limitations of the test environment.</w:t>
      </w:r>
      <w:r>
        <w:rPr>
          <w:rFonts w:ascii="Times New Roman" w:cs="Times New Roman" w:eastAsia="Times New Roman" w:hAnsi="Times New Roman"/>
          <w:sz w:val="22"/>
          <w:szCs w:val="22"/>
        </w:rPr>
        <w:t xml:space="preserve">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11.6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t>
      </w:r>
      <w:r>
        <w:rPr>
          <w:rFonts w:ascii="Times New Roman" w:cs="Times New Roman" w:eastAsia="Times New Roman" w:hAnsi="Times New Roman"/>
          <w:sz w:val="22"/>
          <w:szCs w:val="22"/>
        </w:rPr>
        <w:t xml:space="preserve">will be conducted in the next stage and consist</w:t>
      </w:r>
      <w:r>
        <w:rPr>
          <w:rFonts w:ascii="Times New Roman" w:cs="Times New Roman" w:eastAsia="Times New Roman" w:hAnsi="Times New Roman"/>
          <w:sz w:val="22"/>
          <w:szCs w:val="22"/>
        </w:rPr>
        <w:t xml:space="preserve">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next stage will extend</w:t>
      </w:r>
      <w:r>
        <w:rPr>
          <w:rFonts w:ascii="Times New Roman" w:cs="Times New Roman" w:eastAsia="Times New Roman" w:hAnsi="Times New Roman"/>
          <w:sz w:val="22"/>
          <w:szCs w:val="22"/>
        </w:rPr>
        <w:t xml:space="preserve"> the current prototype-based evaluation to include both successful and adversarial access requests. The twelve attack scenarios will be extended to larger sets of positive, negative, and adversarial scenarios, and enforcement accuracy will be reported over this extended set. </w:t>
      </w:r>
      <w:r>
        <w:rPr>
          <w:rFonts w:ascii="Times New Roman" w:cs="Times New Roman" w:eastAsia="Times New Roman" w:hAnsi="Times New Roman"/>
          <w:sz w:val="22"/>
          <w:szCs w:val="22"/>
          <w:highlight w:val="magenta"/>
        </w:rPr>
        <w:t xml:space="preserve">The formal security model will be compared with the observed behaviour of the implemented system.</w:t>
      </w:r>
    </w:p>
    <w:p>
      <w:pPr>
        <w:spacing w:after="110" w:line="264"/>
        <w:jc w:val="both"/>
      </w:pPr>
      <w:r>
        <w:rPr>
          <w:rFonts w:ascii="Times New Roman" w:cs="Times New Roman" w:eastAsia="Times New Roman" w:hAnsi="Times New Roman"/>
          <w:sz w:val="22"/>
          <w:szCs w:val="22"/>
        </w:rPr>
        <w:t xml:space="preserve">The next stage will address</w:t>
      </w:r>
      <w:r>
        <w:rPr>
          <w:rFonts w:ascii="Times New Roman" w:cs="Times New Roman" w:eastAsia="Times New Roman" w:hAnsi="Times New Roman"/>
          <w:sz w:val="22"/>
          <w:szCs w:val="22"/>
        </w:rPr>
        <w:t xml:space="preserve"> the prototype limitations that the evaluation has exposed, which include the N-of-N approval rule, the server-derived guardian keys, the unauthenticated requester role, the absence of cryptographic DID resolution and VC validation, </w:t>
      </w:r>
      <w:r>
        <w:rPr>
          <w:rFonts w:ascii="Times New Roman" w:cs="Times New Roman" w:eastAsia="Times New Roman" w:hAnsi="Times New Roman"/>
          <w:sz w:val="22"/>
          <w:szCs w:val="22"/>
        </w:rPr>
        <w:t xml:space="preserve">the purpose check that does not yet compare a separately declared request purpose, </w:t>
      </w:r>
      <w:r>
        <w:rPr>
          <w:rFonts w:ascii="Times New Roman" w:cs="Times New Roman" w:eastAsia="Times New Roman" w:hAnsi="Times New Roman"/>
          <w:sz w:val="22"/>
          <w:szCs w:val="22"/>
        </w:rPr>
        <w:t xml:space="preserve">the missing lifecycle transition check, and the unkeyed and unchained audit digest. </w:t>
      </w:r>
      <w:r>
        <w:rPr>
          <w:rFonts w:ascii="Times New Roman" w:cs="Times New Roman" w:eastAsia="Times New Roman" w:hAnsi="Times New Roman"/>
          <w:sz w:val="22"/>
          <w:szCs w:val="22"/>
          <w:highlight w:val="magenta"/>
        </w:rPr>
        <w:t xml:space="preserve">This work establishes explicit security properties</w:t>
      </w:r>
      <w:r>
        <w:rPr>
          <w:rFonts w:ascii="Times New Roman" w:cs="Times New Roman" w:eastAsia="Times New Roman" w:hAnsi="Times New Roman"/>
          <w:sz w:val="22"/>
          <w:szCs w:val="22"/>
        </w:rPr>
        <w:t xml:space="preserve">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12.1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12.1: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w:t>
      </w:r>
      <w:r>
        <w:rPr>
          <w:rFonts w:ascii="Times New Roman" w:cs="Times New Roman" w:eastAsia="Times New Roman" w:hAnsi="Times New Roman"/>
          <w:sz w:val="22"/>
          <w:szCs w:val="22"/>
        </w:rPr>
        <w:t xml:space="preserve">identify as remaining for the next stage.</w:t>
      </w:r>
      <w:r>
        <w:rPr>
          <w:rFonts w:ascii="Times New Roman" w:cs="Times New Roman" w:eastAsia="Times New Roman" w:hAnsi="Times New Roman"/>
          <w:sz w:val="22"/>
          <w:szCs w:val="22"/>
        </w:rPr>
        <w:t xml:space="preserve"> RO5 and RO6 constitute </w:t>
      </w:r>
      <w:r>
        <w:rPr>
          <w:rFonts w:ascii="Times New Roman" w:cs="Times New Roman" w:eastAsia="Times New Roman" w:hAnsi="Times New Roman"/>
          <w:sz w:val="22"/>
          <w:szCs w:val="22"/>
        </w:rPr>
        <w:t xml:space="preserve">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13.1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13.1: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13.1,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t>
      </w:r>
      <w:r>
        <w:rPr>
          <w:rFonts w:ascii="Times New Roman" w:cs="Times New Roman" w:eastAsia="Times New Roman" w:hAnsi="Times New Roman"/>
          <w:sz w:val="22"/>
          <w:szCs w:val="22"/>
          <w:highlight w:val="magenta"/>
        </w:rPr>
        <w:t xml:space="preserve">will extend the framework of the current stage to dynamic consent governance, formal security assurance, and a fuller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lifecycle transition check, the formal lifecycle model, and c</w:t>
      </w:r>
      <w:r>
        <w:rPr>
          <w:rFonts w:ascii="Times New Roman" w:cs="Times New Roman" w:eastAsia="Times New Roman" w:hAnsi="Times New Roman"/>
          <w:sz w:val="22"/>
          <w:szCs w:val="22"/>
        </w:rPr>
        <w:t xml:space="preserve">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13.1: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13.2.</w:t>
      </w:r>
    </w:p>
    <w:p>
      <w:pPr>
        <w:keepNext/>
        <w:spacing w:after="80" w:before="200"/>
        <w:jc w:val="center"/>
      </w:pPr>
      <w:r>
        <w:rPr>
          <w:rFonts w:ascii="Times New Roman" w:cs="Times New Roman" w:eastAsia="Times New Roman" w:hAnsi="Times New Roman"/>
          <w:b/>
          <w:bCs/>
          <w:sz w:val="18"/>
          <w:szCs w:val="18"/>
        </w:rPr>
        <w:t xml:space="preserve">Table 13.2: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w:t>
            </w:r>
            <w:r>
              <w:rPr>
                <w:rFonts w:ascii="Times New Roman" w:cs="Times New Roman" w:eastAsia="Times New Roman" w:hAnsi="Times New Roman"/>
                <w:b w:val="false"/>
                <w:bCs w:val="false"/>
                <w:sz w:val="17"/>
                <w:szCs w:val="17"/>
              </w:rPr>
              <w:t xml:space="preserve">, a declared request purpose</w:t>
            </w:r>
            <w:r>
              <w:rPr>
                <w:rFonts w:ascii="Times New Roman" w:cs="Times New Roman" w:eastAsia="Times New Roman" w:hAnsi="Times New Roman"/>
                <w:b w:val="false"/>
                <w:bCs w:val="false"/>
                <w:sz w:val="17"/>
                <w:szCs w:val="17"/>
              </w:rPr>
              <w:t xml:space="preserve">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spacing w:after="80" w:line="240"/>
        <w:ind w:left="560" w:hanging="560"/>
        <w:jc w:val="left"/>
      </w:pPr>
      <w:r>
        <w:rPr>
          <w:rFonts w:ascii="Times New Roman" w:cs="Times New Roman" w:eastAsia="Times New Roman" w:hAnsi="Times New Roman"/>
          <w:sz w:val="18"/>
          <w:szCs w:val="18"/>
        </w:rPr>
        <w:t xml:space="preserve">Abbasi, A., Humeidi, M.N. &amp; Wang, Q. 2026, 'Nexa: Enabling secure, scalable, and decentralized management of electronic health records using threshold cryptography and public blockchains',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50791–50810, &lt;https://doi.org/10.1109/ACCESS.2026.3677499&gt;.</w:t>
      </w:r>
    </w:p>
    <w:p>
      <w:pPr>
        <w:spacing w:after="80" w:line="240"/>
        <w:ind w:left="560" w:hanging="560"/>
        <w:jc w:val="left"/>
      </w:pPr>
      <w:r>
        <w:rPr>
          <w:rFonts w:ascii="Times New Roman" w:cs="Times New Roman" w:eastAsia="Times New Roman" w:hAnsi="Times New Roman"/>
          <w:sz w:val="18"/>
          <w:szCs w:val="18"/>
        </w:rPr>
        <w:t xml:space="preserve">Akter, S. &amp; Sanam, T.F. 2025, 'A blockchain framework for secure healthcare data management using role-based access control and smart contracts', </w:t>
      </w:r>
      <w:r>
        <w:rPr>
          <w:rFonts w:ascii="Times New Roman" w:cs="Times New Roman" w:eastAsia="Times New Roman" w:hAnsi="Times New Roman"/>
          <w:i/>
          <w:iCs/>
          <w:sz w:val="18"/>
          <w:szCs w:val="18"/>
        </w:rPr>
        <w:t xml:space="preserve">2025 International Conference on Electrical, Computer and Communication Engineering (ECCE)</w:t>
      </w:r>
      <w:r>
        <w:rPr>
          <w:rFonts w:ascii="Times New Roman" w:cs="Times New Roman" w:eastAsia="Times New Roman" w:hAnsi="Times New Roman"/>
          <w:sz w:val="18"/>
          <w:szCs w:val="18"/>
        </w:rPr>
        <w:t xml:space="preserve">, pp. 1–6, &lt;https://doi.org/10.1109/ECCE64574.2025.11013162&gt;.</w:t>
      </w:r>
    </w:p>
    <w:p>
      <w:pPr>
        <w:spacing w:after="80" w:line="240"/>
        <w:ind w:left="560" w:hanging="560"/>
        <w:jc w:val="left"/>
      </w:pPr>
      <w:r>
        <w:rPr>
          <w:rFonts w:ascii="Times New Roman" w:cs="Times New Roman" w:eastAsia="Times New Roman" w:hAnsi="Times New Roman"/>
          <w:sz w:val="18"/>
          <w:szCs w:val="18"/>
        </w:rPr>
        <w:t xml:space="preserve">Al Amin, M., Altarawneh, A. &amp; Ray, I. 2023, 'Informed consent as patient driven policy for clinical diagnosis and treatment: A smart contract based approach', </w:t>
      </w:r>
      <w:r>
        <w:rPr>
          <w:rFonts w:ascii="Times New Roman" w:cs="Times New Roman" w:eastAsia="Times New Roman" w:hAnsi="Times New Roman"/>
          <w:i/>
          <w:iCs/>
          <w:sz w:val="18"/>
          <w:szCs w:val="18"/>
        </w:rPr>
        <w:t xml:space="preserve">Proceedings of the 20th International Conference on Security and Cryptography (SECRYPT 2023)</w:t>
      </w:r>
      <w:r>
        <w:rPr>
          <w:rFonts w:ascii="Times New Roman" w:cs="Times New Roman" w:eastAsia="Times New Roman" w:hAnsi="Times New Roman"/>
          <w:sz w:val="18"/>
          <w:szCs w:val="18"/>
        </w:rPr>
        <w:t xml:space="preserve">, pp. 159–170, SciTePress, &lt;https://doi.org/10.5220/0012090600003555&gt;.</w:t>
      </w:r>
    </w:p>
    <w:p>
      <w:pPr>
        <w:spacing w:after="80" w:line="240"/>
        <w:ind w:left="560" w:hanging="560"/>
        <w:jc w:val="left"/>
      </w:pPr>
      <w:r>
        <w:rPr>
          <w:rFonts w:ascii="Times New Roman" w:cs="Times New Roman" w:eastAsia="Times New Roman" w:hAnsi="Times New Roman"/>
          <w:sz w:val="18"/>
          <w:szCs w:val="18"/>
        </w:rPr>
        <w:t xml:space="preserve">Al Mamun, A., Azam, S. &amp; Gritti, C. 2022, 'Blockchain-based electronic health records management: A comprehensive review and future research direction',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5768–5789, &lt;https://doi.org/10.1109/ACCESS.2022.3141079&gt;.</w:t>
      </w:r>
    </w:p>
    <w:p>
      <w:pPr>
        <w:spacing w:after="80" w:line="240"/>
        <w:ind w:left="560" w:hanging="560"/>
        <w:jc w:val="left"/>
      </w:pPr>
      <w:r>
        <w:rPr>
          <w:rFonts w:ascii="Times New Roman" w:cs="Times New Roman" w:eastAsia="Times New Roman" w:hAnsi="Times New Roman"/>
          <w:sz w:val="18"/>
          <w:szCs w:val="18"/>
        </w:rPr>
        <w:t xml:space="preserve">Albalwy, F., Brass, A. &amp; Davies, A. 2021, 'A blockchain-based dynamic consent architecture to support clinical genomic data sharing (ConsentChain): Proof-of-concept study', </w:t>
      </w:r>
      <w:r>
        <w:rPr>
          <w:rFonts w:ascii="Times New Roman" w:cs="Times New Roman" w:eastAsia="Times New Roman" w:hAnsi="Times New Roman"/>
          <w:i/>
          <w:iCs/>
          <w:sz w:val="18"/>
          <w:szCs w:val="18"/>
        </w:rPr>
        <w:t xml:space="preserve">JMIR Medical Informatics</w:t>
      </w:r>
      <w:r>
        <w:rPr>
          <w:rFonts w:ascii="Times New Roman" w:cs="Times New Roman" w:eastAsia="Times New Roman" w:hAnsi="Times New Roman"/>
          <w:sz w:val="18"/>
          <w:szCs w:val="18"/>
        </w:rPr>
        <w:t xml:space="preserve">, vol. 9, no. 11, p. e27816, &lt;https://doi.org/10.2196/27816&gt;.</w:t>
      </w:r>
    </w:p>
    <w:p>
      <w:pPr>
        <w:spacing w:after="80" w:line="240"/>
        <w:ind w:left="560" w:hanging="560"/>
        <w:jc w:val="left"/>
      </w:pPr>
      <w:r>
        <w:rPr>
          <w:rFonts w:ascii="Times New Roman" w:cs="Times New Roman" w:eastAsia="Times New Roman" w:hAnsi="Times New Roman"/>
          <w:sz w:val="18"/>
          <w:szCs w:val="18"/>
        </w:rPr>
        <w:t xml:space="preserve">Andrew, J., Isravel, D.P., Sagayam, K.M., Bhushan, B., Sei, Y. &amp; Eunice, J. 2023, 'Blockchain for healthcare systems: Architecture, security challenges, trends and future directions', </w:t>
      </w:r>
      <w:r>
        <w:rPr>
          <w:rFonts w:ascii="Times New Roman" w:cs="Times New Roman" w:eastAsia="Times New Roman" w:hAnsi="Times New Roman"/>
          <w:i/>
          <w:iCs/>
          <w:sz w:val="18"/>
          <w:szCs w:val="18"/>
        </w:rPr>
        <w:t xml:space="preserve">Journal of Network and Computer Applications</w:t>
      </w:r>
      <w:r>
        <w:rPr>
          <w:rFonts w:ascii="Times New Roman" w:cs="Times New Roman" w:eastAsia="Times New Roman" w:hAnsi="Times New Roman"/>
          <w:sz w:val="18"/>
          <w:szCs w:val="18"/>
        </w:rPr>
        <w:t xml:space="preserve">, vol. 215, p. 103633, &lt;https://doi.org/10.1016/j.jnca.2023.103633&gt;.</w:t>
      </w:r>
    </w:p>
    <w:p>
      <w:pPr>
        <w:spacing w:after="80" w:line="240"/>
        <w:ind w:left="560" w:hanging="560"/>
        <w:jc w:val="left"/>
      </w:pPr>
      <w:r>
        <w:rPr>
          <w:rFonts w:ascii="Times New Roman" w:cs="Times New Roman" w:eastAsia="Times New Roman" w:hAnsi="Times New Roman"/>
          <w:sz w:val="18"/>
          <w:szCs w:val="18"/>
        </w:rPr>
        <w:t xml:space="preserve">Arbabi, M.S., Lal, C., Veeraragavan, N.R., Marijan, D., Nygård, J.F. &amp; Vitenberg, R. 2023, 'A survey on blockchain for healthcare: Challenges, benefits, and future directions',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25, no. 1, pp. 386–424, &lt;https://doi.org/10.1109/COMST.2022.3224644&gt;.</w:t>
      </w:r>
    </w:p>
    <w:p>
      <w:pPr>
        <w:spacing w:after="80" w:line="240"/>
        <w:ind w:left="560" w:hanging="560"/>
        <w:jc w:val="left"/>
      </w:pPr>
      <w:r>
        <w:rPr>
          <w:rFonts w:ascii="Times New Roman" w:cs="Times New Roman" w:eastAsia="Times New Roman" w:hAnsi="Times New Roman"/>
          <w:sz w:val="18"/>
          <w:szCs w:val="18"/>
        </w:rPr>
        <w:t xml:space="preserve">Bloemen, R., Logvinov, L. &amp; Evans, J. 2017, </w:t>
      </w:r>
      <w:r>
        <w:rPr>
          <w:rFonts w:ascii="Times New Roman" w:cs="Times New Roman" w:eastAsia="Times New Roman" w:hAnsi="Times New Roman"/>
          <w:i/>
          <w:iCs/>
          <w:sz w:val="18"/>
          <w:szCs w:val="18"/>
        </w:rPr>
        <w:t xml:space="preserve">EIP-712: Typed structured data hashing and signing</w:t>
      </w:r>
      <w:r>
        <w:rPr>
          <w:rFonts w:ascii="Times New Roman" w:cs="Times New Roman" w:eastAsia="Times New Roman" w:hAnsi="Times New Roman"/>
          <w:sz w:val="18"/>
          <w:szCs w:val="18"/>
        </w:rPr>
        <w:t xml:space="preserve">, Ethereum Improvement Proposals, no. 712, viewed 6 October 2026, &lt;https://eips.ethereum.org/EIPS/eip-712&gt;.</w:t>
      </w:r>
    </w:p>
    <w:p>
      <w:pPr>
        <w:spacing w:after="80" w:line="240"/>
        <w:ind w:left="560" w:hanging="560"/>
        <w:jc w:val="left"/>
      </w:pPr>
      <w:r>
        <w:rPr>
          <w:rFonts w:ascii="Times New Roman" w:cs="Times New Roman" w:eastAsia="Times New Roman" w:hAnsi="Times New Roman"/>
          <w:sz w:val="18"/>
          <w:szCs w:val="18"/>
        </w:rPr>
        <w:t xml:space="preserve">Cai, B. 2022, </w:t>
      </w:r>
      <w:r>
        <w:rPr>
          <w:rFonts w:ascii="Times New Roman" w:cs="Times New Roman" w:eastAsia="Times New Roman" w:hAnsi="Times New Roman"/>
          <w:i/>
          <w:iCs/>
          <w:sz w:val="18"/>
          <w:szCs w:val="18"/>
        </w:rPr>
        <w:t xml:space="preserve">ERC-5484: Consensual soulbound tokens</w:t>
      </w:r>
      <w:r>
        <w:rPr>
          <w:rFonts w:ascii="Times New Roman" w:cs="Times New Roman" w:eastAsia="Times New Roman" w:hAnsi="Times New Roman"/>
          <w:sz w:val="18"/>
          <w:szCs w:val="18"/>
        </w:rPr>
        <w:t xml:space="preserve">, Ethereum Improvement Proposals, no. 5484, viewed 6 October 2026, &lt;https://eips.ethereum.org/EIPS/eip-5484&gt;.</w:t>
      </w:r>
    </w:p>
    <w:p>
      <w:pPr>
        <w:spacing w:after="80" w:line="240"/>
        <w:ind w:left="560" w:hanging="560"/>
        <w:jc w:val="left"/>
      </w:pPr>
      <w:r>
        <w:rPr>
          <w:rFonts w:ascii="Times New Roman" w:cs="Times New Roman" w:eastAsia="Times New Roman" w:hAnsi="Times New Roman"/>
          <w:sz w:val="18"/>
          <w:szCs w:val="18"/>
        </w:rPr>
        <w:t xml:space="preserve">Consensys 2026, </w:t>
      </w:r>
      <w:r>
        <w:rPr>
          <w:rFonts w:ascii="Times New Roman" w:cs="Times New Roman" w:eastAsia="Times New Roman" w:hAnsi="Times New Roman"/>
          <w:i/>
          <w:iCs/>
          <w:sz w:val="18"/>
          <w:szCs w:val="18"/>
        </w:rPr>
        <w:t xml:space="preserve">MetaMask developer documentation</w:t>
      </w:r>
      <w:r>
        <w:rPr>
          <w:rFonts w:ascii="Times New Roman" w:cs="Times New Roman" w:eastAsia="Times New Roman" w:hAnsi="Times New Roman"/>
          <w:sz w:val="18"/>
          <w:szCs w:val="18"/>
        </w:rPr>
        <w:t xml:space="preserve">, viewed 7 October 2026, &lt;https://docs.metamask.io/&gt;.</w:t>
      </w:r>
    </w:p>
    <w:p>
      <w:pPr>
        <w:spacing w:after="80" w:line="240"/>
        <w:ind w:left="560" w:hanging="560"/>
        <w:jc w:val="left"/>
      </w:pPr>
      <w:r>
        <w:rPr>
          <w:rFonts w:ascii="Times New Roman" w:cs="Times New Roman" w:eastAsia="Times New Roman" w:hAnsi="Times New Roman"/>
          <w:sz w:val="18"/>
          <w:szCs w:val="18"/>
        </w:rPr>
        <w:t xml:space="preserve">Deng, H., Liang, J., Zhang, C., Liu, X., Zhu, L. &amp; Guo, S. 2024, 'FutureDID: A fully decentralized identity system with multi-party verification', </w:t>
      </w:r>
      <w:r>
        <w:rPr>
          <w:rFonts w:ascii="Times New Roman" w:cs="Times New Roman" w:eastAsia="Times New Roman" w:hAnsi="Times New Roman"/>
          <w:i/>
          <w:iCs/>
          <w:sz w:val="18"/>
          <w:szCs w:val="18"/>
        </w:rPr>
        <w:t xml:space="preserve">IEEE Transactions on Computers</w:t>
      </w:r>
      <w:r>
        <w:rPr>
          <w:rFonts w:ascii="Times New Roman" w:cs="Times New Roman" w:eastAsia="Times New Roman" w:hAnsi="Times New Roman"/>
          <w:sz w:val="18"/>
          <w:szCs w:val="18"/>
        </w:rPr>
        <w:t xml:space="preserve">, vol. 73, no. 8, pp. 2051–2065, &lt;https://doi.org/10.1109/TC.2024.3398509&gt;.</w:t>
      </w:r>
    </w:p>
    <w:p>
      <w:pPr>
        <w:spacing w:after="80" w:line="240"/>
        <w:ind w:left="560" w:hanging="560"/>
        <w:jc w:val="left"/>
      </w:pPr>
      <w:r>
        <w:rPr>
          <w:rFonts w:ascii="Times New Roman" w:cs="Times New Roman" w:eastAsia="Times New Roman" w:hAnsi="Times New Roman"/>
          <w:sz w:val="18"/>
          <w:szCs w:val="18"/>
        </w:rPr>
        <w:t xml:space="preserve">Ekholm, K., Augustinsson, A., Sundström, J., Johansen, C., Storgärds, M., Ljöstad, L. et al. 2025, 'Implementing electronic informed consent in rare disease genomics', </w:t>
      </w:r>
      <w:r>
        <w:rPr>
          <w:rFonts w:ascii="Times New Roman" w:cs="Times New Roman" w:eastAsia="Times New Roman" w:hAnsi="Times New Roman"/>
          <w:i/>
          <w:iCs/>
          <w:sz w:val="18"/>
          <w:szCs w:val="18"/>
        </w:rPr>
        <w:t xml:space="preserve">Scientific Reports</w:t>
      </w:r>
      <w:r>
        <w:rPr>
          <w:rFonts w:ascii="Times New Roman" w:cs="Times New Roman" w:eastAsia="Times New Roman" w:hAnsi="Times New Roman"/>
          <w:sz w:val="18"/>
          <w:szCs w:val="18"/>
        </w:rPr>
        <w:t xml:space="preserve">, vol. 15, no. 1, p. 44419, &lt;https://doi.org/10.1038/s41598-025-32740-1&gt;.</w:t>
      </w:r>
    </w:p>
    <w:p>
      <w:pPr>
        <w:spacing w:after="80" w:line="240"/>
        <w:ind w:left="560" w:hanging="560"/>
        <w:jc w:val="left"/>
      </w:pPr>
      <w:r>
        <w:rPr>
          <w:rFonts w:ascii="Times New Roman" w:cs="Times New Roman" w:eastAsia="Times New Roman" w:hAnsi="Times New Roman"/>
          <w:sz w:val="18"/>
          <w:szCs w:val="18"/>
        </w:rPr>
        <w:t xml:space="preserve">Eneh, A.U., Ahakonye, L.A.C., Lee, J.M. &amp; Kim, D.-S. 2026, 'Demo: EdgeConsent: On-chain attribute-based access control for data consent management', </w:t>
      </w:r>
      <w:r>
        <w:rPr>
          <w:rFonts w:ascii="Times New Roman" w:cs="Times New Roman" w:eastAsia="Times New Roman" w:hAnsi="Times New Roman"/>
          <w:i/>
          <w:iCs/>
          <w:sz w:val="18"/>
          <w:szCs w:val="18"/>
        </w:rPr>
        <w:t xml:space="preserve">2026 IEEE International Conference on Blockchain and Cryptocurrency (ICBC)</w:t>
      </w:r>
      <w:r>
        <w:rPr>
          <w:rFonts w:ascii="Times New Roman" w:cs="Times New Roman" w:eastAsia="Times New Roman" w:hAnsi="Times New Roman"/>
          <w:sz w:val="18"/>
          <w:szCs w:val="18"/>
        </w:rPr>
        <w:t xml:space="preserve">, pp. 1–2, &lt;https://doi.org/10.1109/ICBC67748.2026.11575534&gt;.</w:t>
      </w:r>
    </w:p>
    <w:p>
      <w:pPr>
        <w:spacing w:after="80" w:line="240"/>
        <w:ind w:left="560" w:hanging="560"/>
        <w:jc w:val="left"/>
      </w:pPr>
      <w:r>
        <w:rPr>
          <w:rFonts w:ascii="Times New Roman" w:cs="Times New Roman" w:eastAsia="Times New Roman" w:hAnsi="Times New Roman"/>
          <w:sz w:val="18"/>
          <w:szCs w:val="18"/>
        </w:rPr>
        <w:t xml:space="preserve">Entriken, W., Shirley, D., Evans, J. &amp; Sachs, N. 2018, </w:t>
      </w:r>
      <w:r>
        <w:rPr>
          <w:rFonts w:ascii="Times New Roman" w:cs="Times New Roman" w:eastAsia="Times New Roman" w:hAnsi="Times New Roman"/>
          <w:i/>
          <w:iCs/>
          <w:sz w:val="18"/>
          <w:szCs w:val="18"/>
        </w:rPr>
        <w:t xml:space="preserve">ERC-721: Non-fungible token standard</w:t>
      </w:r>
      <w:r>
        <w:rPr>
          <w:rFonts w:ascii="Times New Roman" w:cs="Times New Roman" w:eastAsia="Times New Roman" w:hAnsi="Times New Roman"/>
          <w:sz w:val="18"/>
          <w:szCs w:val="18"/>
        </w:rPr>
        <w:t xml:space="preserve">, Ethereum Improvement Proposals, no. 721, viewed 6 October 2026, &lt;https://eips.ethereum.org/EIPS/eip-721&gt;.</w:t>
      </w:r>
    </w:p>
    <w:p>
      <w:pPr>
        <w:spacing w:after="80" w:line="240"/>
        <w:ind w:left="560" w:hanging="560"/>
        <w:jc w:val="left"/>
      </w:pPr>
      <w:r>
        <w:rPr>
          <w:rFonts w:ascii="Times New Roman" w:cs="Times New Roman" w:eastAsia="Times New Roman" w:hAnsi="Times New Roman"/>
          <w:sz w:val="18"/>
          <w:szCs w:val="18"/>
        </w:rPr>
        <w:t xml:space="preserve">Ethereum Foundation 2026a, </w:t>
      </w:r>
      <w:r>
        <w:rPr>
          <w:rFonts w:ascii="Times New Roman" w:cs="Times New Roman" w:eastAsia="Times New Roman" w:hAnsi="Times New Roman"/>
          <w:i/>
          <w:iCs/>
          <w:sz w:val="18"/>
          <w:szCs w:val="18"/>
        </w:rPr>
        <w:t xml:space="preserve">Solidity documentation</w:t>
      </w:r>
      <w:r>
        <w:rPr>
          <w:rFonts w:ascii="Times New Roman" w:cs="Times New Roman" w:eastAsia="Times New Roman" w:hAnsi="Times New Roman"/>
          <w:sz w:val="18"/>
          <w:szCs w:val="18"/>
        </w:rPr>
        <w:t xml:space="preserve">, viewed 7 October 2026, &lt;https://docs.soliditylang.org/&gt;.</w:t>
      </w:r>
    </w:p>
    <w:p>
      <w:pPr>
        <w:spacing w:after="80" w:line="240"/>
        <w:ind w:left="560" w:hanging="560"/>
        <w:jc w:val="left"/>
      </w:pPr>
      <w:r>
        <w:rPr>
          <w:rFonts w:ascii="Times New Roman" w:cs="Times New Roman" w:eastAsia="Times New Roman" w:hAnsi="Times New Roman"/>
          <w:sz w:val="18"/>
          <w:szCs w:val="18"/>
        </w:rPr>
        <w:t xml:space="preserve">Ethereum Foundation 2026b, </w:t>
      </w:r>
      <w:r>
        <w:rPr>
          <w:rFonts w:ascii="Times New Roman" w:cs="Times New Roman" w:eastAsia="Times New Roman" w:hAnsi="Times New Roman"/>
          <w:i/>
          <w:iCs/>
          <w:sz w:val="18"/>
          <w:szCs w:val="18"/>
        </w:rPr>
        <w:t xml:space="preserve">Networks</w:t>
      </w:r>
      <w:r>
        <w:rPr>
          <w:rFonts w:ascii="Times New Roman" w:cs="Times New Roman" w:eastAsia="Times New Roman" w:hAnsi="Times New Roman"/>
          <w:sz w:val="18"/>
          <w:szCs w:val="18"/>
        </w:rPr>
        <w:t xml:space="preserve">, ethereum.org developer documentation, viewed 7 October 2026, &lt;https://ethereum.org/en/developers/docs/networks/&gt;.</w:t>
      </w:r>
    </w:p>
    <w:p>
      <w:pPr>
        <w:spacing w:after="80" w:line="240"/>
        <w:ind w:left="560" w:hanging="560"/>
        <w:jc w:val="left"/>
      </w:pPr>
      <w:r>
        <w:rPr>
          <w:rFonts w:ascii="Times New Roman" w:cs="Times New Roman" w:eastAsia="Times New Roman" w:hAnsi="Times New Roman"/>
          <w:sz w:val="18"/>
          <w:szCs w:val="18"/>
        </w:rPr>
        <w:t xml:space="preserve">Ethereum Foundation 2026c, </w:t>
      </w:r>
      <w:r>
        <w:rPr>
          <w:rFonts w:ascii="Times New Roman" w:cs="Times New Roman" w:eastAsia="Times New Roman" w:hAnsi="Times New Roman"/>
          <w:i/>
          <w:iCs/>
          <w:sz w:val="18"/>
          <w:szCs w:val="18"/>
        </w:rPr>
        <w:t xml:space="preserve">Remix IDE documentation</w:t>
      </w:r>
      <w:r>
        <w:rPr>
          <w:rFonts w:ascii="Times New Roman" w:cs="Times New Roman" w:eastAsia="Times New Roman" w:hAnsi="Times New Roman"/>
          <w:sz w:val="18"/>
          <w:szCs w:val="18"/>
        </w:rPr>
        <w:t xml:space="preserve">, viewed 7 October 2026, &lt;https://remix-ide.readthedocs.io/&gt;.</w:t>
      </w:r>
    </w:p>
    <w:p>
      <w:pPr>
        <w:spacing w:after="80" w:line="240"/>
        <w:ind w:left="560" w:hanging="560"/>
        <w:jc w:val="left"/>
      </w:pPr>
      <w:r>
        <w:rPr>
          <w:rFonts w:ascii="Times New Roman" w:cs="Times New Roman" w:eastAsia="Times New Roman" w:hAnsi="Times New Roman"/>
          <w:sz w:val="18"/>
          <w:szCs w:val="18"/>
        </w:rPr>
        <w:t xml:space="preserve">Ferreira, J.C., Correia, R., Rosário, L. &amp; Vila, A. 2025, 'Blockchain integration for trust and consent management in MCP-enabled FHIR systems', </w:t>
      </w:r>
      <w:r>
        <w:rPr>
          <w:rFonts w:ascii="Times New Roman" w:cs="Times New Roman" w:eastAsia="Times New Roman" w:hAnsi="Times New Roman"/>
          <w:i/>
          <w:iCs/>
          <w:sz w:val="18"/>
          <w:szCs w:val="18"/>
        </w:rPr>
        <w:t xml:space="preserve">2025 IEEE International Conference on Distributed Ledger Technologies (ICDLT)</w:t>
      </w:r>
      <w:r>
        <w:rPr>
          <w:rFonts w:ascii="Times New Roman" w:cs="Times New Roman" w:eastAsia="Times New Roman" w:hAnsi="Times New Roman"/>
          <w:sz w:val="18"/>
          <w:szCs w:val="18"/>
        </w:rPr>
        <w:t xml:space="preserve">, pp. 1–10, &lt;https://doi.org/10.1109/ICDLT66400.2025.11466653&gt;.</w:t>
      </w:r>
    </w:p>
    <w:p>
      <w:pPr>
        <w:spacing w:after="80" w:line="240"/>
        <w:ind w:left="560" w:hanging="560"/>
        <w:jc w:val="left"/>
      </w:pPr>
      <w:r>
        <w:rPr>
          <w:rFonts w:ascii="Times New Roman" w:cs="Times New Roman" w:eastAsia="Times New Roman" w:hAnsi="Times New Roman"/>
          <w:sz w:val="18"/>
          <w:szCs w:val="18"/>
        </w:rPr>
        <w:t xml:space="preserve">Flamini, A., Sciarretta, G., Scuro, M., Sharif, A., Tomasi, A. &amp; Ranise, S. 2024, 'On cryptographic mechanisms for the selective disclosure of verifiable credentials', </w:t>
      </w:r>
      <w:r>
        <w:rPr>
          <w:rFonts w:ascii="Times New Roman" w:cs="Times New Roman" w:eastAsia="Times New Roman" w:hAnsi="Times New Roman"/>
          <w:i/>
          <w:iCs/>
          <w:sz w:val="18"/>
          <w:szCs w:val="18"/>
        </w:rPr>
        <w:t xml:space="preserve">Journal of Information Security and Applications</w:t>
      </w:r>
      <w:r>
        <w:rPr>
          <w:rFonts w:ascii="Times New Roman" w:cs="Times New Roman" w:eastAsia="Times New Roman" w:hAnsi="Times New Roman"/>
          <w:sz w:val="18"/>
          <w:szCs w:val="18"/>
        </w:rPr>
        <w:t xml:space="preserve">, vol. 83, p. 103789, &lt;https://doi.org/10.1016/j.jisa.2024.103789&gt;.</w:t>
      </w:r>
    </w:p>
    <w:p>
      <w:pPr>
        <w:spacing w:after="80" w:line="240"/>
        <w:ind w:left="560" w:hanging="560"/>
        <w:jc w:val="left"/>
      </w:pPr>
      <w:r>
        <w:rPr>
          <w:rFonts w:ascii="Times New Roman" w:cs="Times New Roman" w:eastAsia="Times New Roman" w:hAnsi="Times New Roman"/>
          <w:sz w:val="18"/>
          <w:szCs w:val="18"/>
        </w:rPr>
        <w:t xml:space="preserve">Ghafoor, A., Symeonidis, I., Rydberg, A., Lindahl, C. &amp; Abbasi, A.Q. 2025, 'Towards empowering stakeholders through decentralized trust and secure livestock data sharing', </w:t>
      </w:r>
      <w:r>
        <w:rPr>
          <w:rFonts w:ascii="Times New Roman" w:cs="Times New Roman" w:eastAsia="Times New Roman" w:hAnsi="Times New Roman"/>
          <w:i/>
          <w:iCs/>
          <w:sz w:val="18"/>
          <w:szCs w:val="18"/>
        </w:rPr>
        <w:t xml:space="preserve">Cryptography</w:t>
      </w:r>
      <w:r>
        <w:rPr>
          <w:rFonts w:ascii="Times New Roman" w:cs="Times New Roman" w:eastAsia="Times New Roman" w:hAnsi="Times New Roman"/>
          <w:sz w:val="18"/>
          <w:szCs w:val="18"/>
        </w:rPr>
        <w:t xml:space="preserve">, vol. 9, no. 3, p. 52, &lt;https://doi.org/10.3390/cryptography9030052&gt;.</w:t>
      </w:r>
    </w:p>
    <w:p>
      <w:pPr>
        <w:spacing w:after="80" w:line="240"/>
        <w:ind w:left="560" w:hanging="560"/>
        <w:jc w:val="left"/>
      </w:pPr>
      <w:r>
        <w:rPr>
          <w:rFonts w:ascii="Times New Roman" w:cs="Times New Roman" w:eastAsia="Times New Roman" w:hAnsi="Times New Roman"/>
          <w:sz w:val="18"/>
          <w:szCs w:val="18"/>
        </w:rPr>
        <w:t xml:space="preserve">Ghosh, P.K., Chakraborty, A., Hasan, M., Rashid, K. &amp; Siddique, A.H. 2023, 'Blockchain application in healthcare systems: A review', </w:t>
      </w:r>
      <w:r>
        <w:rPr>
          <w:rFonts w:ascii="Times New Roman" w:cs="Times New Roman" w:eastAsia="Times New Roman" w:hAnsi="Times New Roman"/>
          <w:i/>
          <w:iCs/>
          <w:sz w:val="18"/>
          <w:szCs w:val="18"/>
        </w:rPr>
        <w:t xml:space="preserve">Systems</w:t>
      </w:r>
      <w:r>
        <w:rPr>
          <w:rFonts w:ascii="Times New Roman" w:cs="Times New Roman" w:eastAsia="Times New Roman" w:hAnsi="Times New Roman"/>
          <w:sz w:val="18"/>
          <w:szCs w:val="18"/>
        </w:rPr>
        <w:t xml:space="preserve">, vol. 11, no. 1, p. 38, &lt;https://doi.org/10.3390/systems11010038&gt;.</w:t>
      </w:r>
    </w:p>
    <w:p>
      <w:pPr>
        <w:spacing w:after="80" w:line="240"/>
        <w:ind w:left="560" w:hanging="560"/>
        <w:jc w:val="left"/>
      </w:pPr>
      <w:r>
        <w:rPr>
          <w:rFonts w:ascii="Times New Roman" w:cs="Times New Roman" w:eastAsia="Times New Roman" w:hAnsi="Times New Roman"/>
          <w:sz w:val="18"/>
          <w:szCs w:val="18"/>
        </w:rPr>
        <w:t xml:space="preserve">Grassi, L., Khovratovich, D., Rechberger, C., Roy, A. &amp; Schofnegger, M. 2021, 'Poseidon: A new hash function for zero-knowledge proof systems', </w:t>
      </w:r>
      <w:r>
        <w:rPr>
          <w:rFonts w:ascii="Times New Roman" w:cs="Times New Roman" w:eastAsia="Times New Roman" w:hAnsi="Times New Roman"/>
          <w:i/>
          <w:iCs/>
          <w:sz w:val="18"/>
          <w:szCs w:val="18"/>
        </w:rPr>
        <w:t xml:space="preserve">Proceedings of the 30th USENIX Security Symposium</w:t>
      </w:r>
      <w:r>
        <w:rPr>
          <w:rFonts w:ascii="Times New Roman" w:cs="Times New Roman" w:eastAsia="Times New Roman" w:hAnsi="Times New Roman"/>
          <w:sz w:val="18"/>
          <w:szCs w:val="18"/>
        </w:rPr>
        <w:t xml:space="preserve">, pp. 519–535.</w:t>
      </w:r>
    </w:p>
    <w:p>
      <w:pPr>
        <w:spacing w:after="80" w:line="240"/>
        <w:ind w:left="560" w:hanging="560"/>
        <w:jc w:val="left"/>
      </w:pPr>
      <w:r>
        <w:rPr>
          <w:rFonts w:ascii="Times New Roman" w:cs="Times New Roman" w:eastAsia="Times New Roman" w:hAnsi="Times New Roman"/>
          <w:sz w:val="18"/>
          <w:szCs w:val="18"/>
        </w:rPr>
        <w:t xml:space="preserve">Groth, J. 2016, 'On the size of pairing-based non-interactive arguments', </w:t>
      </w:r>
      <w:r>
        <w:rPr>
          <w:rFonts w:ascii="Times New Roman" w:cs="Times New Roman" w:eastAsia="Times New Roman" w:hAnsi="Times New Roman"/>
          <w:i/>
          <w:iCs/>
          <w:sz w:val="18"/>
          <w:szCs w:val="18"/>
        </w:rPr>
        <w:t xml:space="preserve">Advances in Cryptology – EUROCRYPT 2016, LNCS</w:t>
      </w:r>
      <w:r>
        <w:rPr>
          <w:rFonts w:ascii="Times New Roman" w:cs="Times New Roman" w:eastAsia="Times New Roman" w:hAnsi="Times New Roman"/>
          <w:sz w:val="18"/>
          <w:szCs w:val="18"/>
        </w:rPr>
        <w:t xml:space="preserve">, vol. 9666, pp. 305–326, Springer, &lt;https://doi.org/10.1007/978-3-662-49896-5_11&gt;.</w:t>
      </w:r>
    </w:p>
    <w:p>
      <w:pPr>
        <w:spacing w:after="80" w:line="240"/>
        <w:ind w:left="560" w:hanging="560"/>
        <w:jc w:val="left"/>
      </w:pPr>
      <w:r>
        <w:rPr>
          <w:rFonts w:ascii="Times New Roman" w:cs="Times New Roman" w:eastAsia="Times New Roman" w:hAnsi="Times New Roman"/>
          <w:sz w:val="18"/>
          <w:szCs w:val="18"/>
        </w:rPr>
        <w:t xml:space="preserve">Hagström, J., Hägglund, M., Holmroos, M., Lähteenmäki, P. &amp; Hörhammer, I. 2024, 'Minors’ and guardian access to and use of a national patient portal: A retrospective comparative case study of Sweden and Finland', </w:t>
      </w:r>
      <w:r>
        <w:rPr>
          <w:rFonts w:ascii="Times New Roman" w:cs="Times New Roman" w:eastAsia="Times New Roman" w:hAnsi="Times New Roman"/>
          <w:i/>
          <w:iCs/>
          <w:sz w:val="18"/>
          <w:szCs w:val="18"/>
        </w:rPr>
        <w:t xml:space="preserve">International Journal of Medical Informatics</w:t>
      </w:r>
      <w:r>
        <w:rPr>
          <w:rFonts w:ascii="Times New Roman" w:cs="Times New Roman" w:eastAsia="Times New Roman" w:hAnsi="Times New Roman"/>
          <w:sz w:val="18"/>
          <w:szCs w:val="18"/>
        </w:rPr>
        <w:t xml:space="preserve">, vol. 187, p. 105465, &lt;https://doi.org/10.1016/j.ijmedinf.2024.105465&gt;.</w:t>
      </w:r>
    </w:p>
    <w:p>
      <w:pPr>
        <w:spacing w:after="80" w:line="240"/>
        <w:ind w:left="560" w:hanging="560"/>
        <w:jc w:val="left"/>
      </w:pPr>
      <w:r>
        <w:rPr>
          <w:rFonts w:ascii="Times New Roman" w:cs="Times New Roman" w:eastAsia="Times New Roman" w:hAnsi="Times New Roman"/>
          <w:sz w:val="18"/>
          <w:szCs w:val="18"/>
        </w:rPr>
        <w:t xml:space="preserve">Hellstern, R., Park, D.C., Lemieux, V. &amp; Salimjan, G. 2022, 'Leveraging blockchain-based archival solutions for sensitive documentation: A Xinjiang case study', </w:t>
      </w:r>
      <w:r>
        <w:rPr>
          <w:rFonts w:ascii="Times New Roman" w:cs="Times New Roman" w:eastAsia="Times New Roman" w:hAnsi="Times New Roman"/>
          <w:i/>
          <w:iCs/>
          <w:sz w:val="18"/>
          <w:szCs w:val="18"/>
        </w:rPr>
        <w:t xml:space="preserve">Digital Society</w:t>
      </w:r>
      <w:r>
        <w:rPr>
          <w:rFonts w:ascii="Times New Roman" w:cs="Times New Roman" w:eastAsia="Times New Roman" w:hAnsi="Times New Roman"/>
          <w:sz w:val="18"/>
          <w:szCs w:val="18"/>
        </w:rPr>
        <w:t xml:space="preserve">, vol. 1, no. 1, p. 4, &lt;https://doi.org/10.1007/s44206-022-00007-1&gt;.</w:t>
      </w:r>
    </w:p>
    <w:p>
      <w:pPr>
        <w:spacing w:after="80" w:line="240"/>
        <w:ind w:left="560" w:hanging="560"/>
        <w:jc w:val="left"/>
      </w:pPr>
      <w:r>
        <w:rPr>
          <w:rFonts w:ascii="Times New Roman" w:cs="Times New Roman" w:eastAsia="Times New Roman" w:hAnsi="Times New Roman"/>
          <w:sz w:val="18"/>
          <w:szCs w:val="18"/>
        </w:rPr>
        <w:t xml:space="preserve">Hema, S., Reddy, G.B.S. &amp; Shalini, R. 2026, 'Patient centric cryptographic protection of cloud electronic health records', </w:t>
      </w:r>
      <w:r>
        <w:rPr>
          <w:rFonts w:ascii="Times New Roman" w:cs="Times New Roman" w:eastAsia="Times New Roman" w:hAnsi="Times New Roman"/>
          <w:i/>
          <w:iCs/>
          <w:sz w:val="18"/>
          <w:szCs w:val="18"/>
        </w:rPr>
        <w:t xml:space="preserve">2026 6th International Conference on Expert Clouds and Applications (ICOECA)</w:t>
      </w:r>
      <w:r>
        <w:rPr>
          <w:rFonts w:ascii="Times New Roman" w:cs="Times New Roman" w:eastAsia="Times New Roman" w:hAnsi="Times New Roman"/>
          <w:sz w:val="18"/>
          <w:szCs w:val="18"/>
        </w:rPr>
        <w:t xml:space="preserve">, pp. 293–300, &lt;https://doi.org/10.1109/ICOECA68095.2026.11485301&gt;.</w:t>
      </w:r>
    </w:p>
    <w:p>
      <w:pPr>
        <w:spacing w:after="80" w:line="240"/>
        <w:ind w:left="560" w:hanging="560"/>
        <w:jc w:val="left"/>
      </w:pPr>
      <w:r>
        <w:rPr>
          <w:rFonts w:ascii="Times New Roman" w:cs="Times New Roman" w:eastAsia="Times New Roman" w:hAnsi="Times New Roman"/>
          <w:sz w:val="18"/>
          <w:szCs w:val="18"/>
        </w:rPr>
        <w:t xml:space="preserve">HL7 International 2019, </w:t>
      </w:r>
      <w:r>
        <w:rPr>
          <w:rFonts w:ascii="Times New Roman" w:cs="Times New Roman" w:eastAsia="Times New Roman" w:hAnsi="Times New Roman"/>
          <w:i/>
          <w:iCs/>
          <w:sz w:val="18"/>
          <w:szCs w:val="18"/>
        </w:rPr>
        <w:t xml:space="preserve">HL7 FHIR Release 4 (R4)</w:t>
      </w:r>
      <w:r>
        <w:rPr>
          <w:rFonts w:ascii="Times New Roman" w:cs="Times New Roman" w:eastAsia="Times New Roman" w:hAnsi="Times New Roman"/>
          <w:sz w:val="18"/>
          <w:szCs w:val="18"/>
        </w:rPr>
        <w:t xml:space="preserve">, viewed 7 October 2026, &lt;https://hl7.org/fhir/R4/&gt;.</w:t>
      </w:r>
    </w:p>
    <w:p>
      <w:pPr>
        <w:spacing w:after="80" w:line="240"/>
        <w:ind w:left="560" w:hanging="560"/>
        <w:jc w:val="left"/>
      </w:pPr>
      <w:r>
        <w:rPr>
          <w:rFonts w:ascii="Times New Roman" w:cs="Times New Roman" w:eastAsia="Times New Roman" w:hAnsi="Times New Roman"/>
          <w:sz w:val="18"/>
          <w:szCs w:val="18"/>
        </w:rPr>
        <w:t xml:space="preserve">Ibrahim, A.M., Abdel-Aziz, H.R., Mohamed, H.A.H., Zaghamir, D.E.F., Wahba, N.M.I., Hassan, G.A. et al. 2024, 'Balancing confidentiality and care coordination: Challenges in patient privacy', </w:t>
      </w:r>
      <w:r>
        <w:rPr>
          <w:rFonts w:ascii="Times New Roman" w:cs="Times New Roman" w:eastAsia="Times New Roman" w:hAnsi="Times New Roman"/>
          <w:i/>
          <w:iCs/>
          <w:sz w:val="18"/>
          <w:szCs w:val="18"/>
        </w:rPr>
        <w:t xml:space="preserve">BMC Nursing</w:t>
      </w:r>
      <w:r>
        <w:rPr>
          <w:rFonts w:ascii="Times New Roman" w:cs="Times New Roman" w:eastAsia="Times New Roman" w:hAnsi="Times New Roman"/>
          <w:sz w:val="18"/>
          <w:szCs w:val="18"/>
        </w:rPr>
        <w:t xml:space="preserve">, vol. 23, no. 1, p. 564, &lt;https://doi.org/10.1186/s12912-024-02231-1&gt;.</w:t>
      </w:r>
    </w:p>
    <w:p>
      <w:pPr>
        <w:spacing w:after="80" w:line="240"/>
        <w:ind w:left="560" w:hanging="560"/>
        <w:jc w:val="left"/>
      </w:pPr>
      <w:r>
        <w:rPr>
          <w:rFonts w:ascii="Times New Roman" w:cs="Times New Roman" w:eastAsia="Times New Roman" w:hAnsi="Times New Roman"/>
          <w:sz w:val="18"/>
          <w:szCs w:val="18"/>
        </w:rPr>
        <w:t xml:space="preserve">iden3 2026a, </w:t>
      </w:r>
      <w:r>
        <w:rPr>
          <w:rFonts w:ascii="Times New Roman" w:cs="Times New Roman" w:eastAsia="Times New Roman" w:hAnsi="Times New Roman"/>
          <w:i/>
          <w:iCs/>
          <w:sz w:val="18"/>
          <w:szCs w:val="18"/>
        </w:rPr>
        <w:t xml:space="preserve">snarkjs: zkSNARK implementation in JavaScript and WASM</w:t>
      </w:r>
      <w:r>
        <w:rPr>
          <w:rFonts w:ascii="Times New Roman" w:cs="Times New Roman" w:eastAsia="Times New Roman" w:hAnsi="Times New Roman"/>
          <w:sz w:val="18"/>
          <w:szCs w:val="18"/>
        </w:rPr>
        <w:t xml:space="preserve">, viewed 7 October 2026, &lt;https://github.com/iden3/snarkjs&gt;.</w:t>
      </w:r>
    </w:p>
    <w:p>
      <w:pPr>
        <w:spacing w:after="80" w:line="240"/>
        <w:ind w:left="560" w:hanging="560"/>
        <w:jc w:val="left"/>
      </w:pPr>
      <w:r>
        <w:rPr>
          <w:rFonts w:ascii="Times New Roman" w:cs="Times New Roman" w:eastAsia="Times New Roman" w:hAnsi="Times New Roman"/>
          <w:sz w:val="18"/>
          <w:szCs w:val="18"/>
        </w:rPr>
        <w:t xml:space="preserve">iden3 2026b, </w:t>
      </w:r>
      <w:r>
        <w:rPr>
          <w:rFonts w:ascii="Times New Roman" w:cs="Times New Roman" w:eastAsia="Times New Roman" w:hAnsi="Times New Roman"/>
          <w:i/>
          <w:iCs/>
          <w:sz w:val="18"/>
          <w:szCs w:val="18"/>
        </w:rPr>
        <w:t xml:space="preserve">circom: circuit compiler for zero-knowledge proofs</w:t>
      </w:r>
      <w:r>
        <w:rPr>
          <w:rFonts w:ascii="Times New Roman" w:cs="Times New Roman" w:eastAsia="Times New Roman" w:hAnsi="Times New Roman"/>
          <w:sz w:val="18"/>
          <w:szCs w:val="18"/>
        </w:rPr>
        <w:t xml:space="preserve">, viewed 7 October 2026, &lt;https://docs.circom.io/&gt;.</w:t>
      </w:r>
    </w:p>
    <w:p>
      <w:pPr>
        <w:spacing w:after="80" w:line="240"/>
        <w:ind w:left="560" w:hanging="560"/>
        <w:jc w:val="left"/>
      </w:pPr>
      <w:r>
        <w:rPr>
          <w:rFonts w:ascii="Times New Roman" w:cs="Times New Roman" w:eastAsia="Times New Roman" w:hAnsi="Times New Roman"/>
          <w:sz w:val="18"/>
          <w:szCs w:val="18"/>
        </w:rPr>
        <w:t xml:space="preserve">Jaiman, V. &amp; Urovi, V. 2020, 'A consent model for blockchain-based health data sharing platforms',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143734–143745, &lt;https://doi.org/10.1109/ACCESS.2020.3014565&gt;.</w:t>
      </w:r>
    </w:p>
    <w:p>
      <w:pPr>
        <w:spacing w:after="80" w:line="240"/>
        <w:ind w:left="560" w:hanging="560"/>
        <w:jc w:val="left"/>
      </w:pPr>
      <w:r>
        <w:rPr>
          <w:rFonts w:ascii="Times New Roman" w:cs="Times New Roman" w:eastAsia="Times New Roman" w:hAnsi="Times New Roman"/>
          <w:sz w:val="18"/>
          <w:szCs w:val="18"/>
        </w:rPr>
        <w:t xml:space="preserve">Jesus, V. &amp; Pandit, H.J. 2022, 'Consent receipts for a usable and auditable web of personal data',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28545–28563, &lt;https://doi.org/10.1109/ACCESS.2022.3157850&gt;.</w:t>
      </w:r>
    </w:p>
    <w:p>
      <w:pPr>
        <w:spacing w:after="80" w:line="240"/>
        <w:ind w:left="560" w:hanging="560"/>
        <w:jc w:val="left"/>
      </w:pPr>
      <w:r>
        <w:rPr>
          <w:rFonts w:ascii="Times New Roman" w:cs="Times New Roman" w:eastAsia="Times New Roman" w:hAnsi="Times New Roman"/>
          <w:sz w:val="18"/>
          <w:szCs w:val="18"/>
        </w:rPr>
        <w:t xml:space="preserve">Jiang, R., Chen, X., Yu, Y., Zhang, Y. &amp; Ding, W. 2023, 'Risk and UCON-based access control model for healthcare big data', </w:t>
      </w:r>
      <w:r>
        <w:rPr>
          <w:rFonts w:ascii="Times New Roman" w:cs="Times New Roman" w:eastAsia="Times New Roman" w:hAnsi="Times New Roman"/>
          <w:i/>
          <w:iCs/>
          <w:sz w:val="18"/>
          <w:szCs w:val="18"/>
        </w:rPr>
        <w:t xml:space="preserve">Journal of Big Data</w:t>
      </w:r>
      <w:r>
        <w:rPr>
          <w:rFonts w:ascii="Times New Roman" w:cs="Times New Roman" w:eastAsia="Times New Roman" w:hAnsi="Times New Roman"/>
          <w:sz w:val="18"/>
          <w:szCs w:val="18"/>
        </w:rPr>
        <w:t xml:space="preserve">, vol. 10, no. 1, p. 104, &lt;https://doi.org/10.1186/s40537-023-00783-8&gt;.</w:t>
      </w:r>
    </w:p>
    <w:p>
      <w:pPr>
        <w:spacing w:after="80" w:line="240"/>
        <w:ind w:left="560" w:hanging="560"/>
        <w:jc w:val="left"/>
      </w:pPr>
      <w:r>
        <w:rPr>
          <w:rFonts w:ascii="Times New Roman" w:cs="Times New Roman" w:eastAsia="Times New Roman" w:hAnsi="Times New Roman"/>
          <w:sz w:val="18"/>
          <w:szCs w:val="18"/>
        </w:rPr>
        <w:t xml:space="preserve">Kaplow, K., Downey, M., Stewart, D., Massie, A.B., Motter, J.D., Taylor, L. et al. 2024, 'Data professionals’ attitudes on data privacy, sharing, and consent in healthcare and research', </w:t>
      </w:r>
      <w:r>
        <w:rPr>
          <w:rFonts w:ascii="Times New Roman" w:cs="Times New Roman" w:eastAsia="Times New Roman" w:hAnsi="Times New Roman"/>
          <w:i/>
          <w:iCs/>
          <w:sz w:val="18"/>
          <w:szCs w:val="18"/>
        </w:rPr>
        <w:t xml:space="preserve">Digital Health</w:t>
      </w:r>
      <w:r>
        <w:rPr>
          <w:rFonts w:ascii="Times New Roman" w:cs="Times New Roman" w:eastAsia="Times New Roman" w:hAnsi="Times New Roman"/>
          <w:sz w:val="18"/>
          <w:szCs w:val="18"/>
        </w:rPr>
        <w:t xml:space="preserve">, vol. 10, p. 20552076241290964, &lt;https://doi.org/10.1177/20552076241290964&gt;.</w:t>
      </w:r>
    </w:p>
    <w:p>
      <w:pPr>
        <w:spacing w:after="80" w:line="240"/>
        <w:ind w:left="560" w:hanging="560"/>
        <w:jc w:val="left"/>
      </w:pPr>
      <w:r>
        <w:rPr>
          <w:rFonts w:ascii="Times New Roman" w:cs="Times New Roman" w:eastAsia="Times New Roman" w:hAnsi="Times New Roman"/>
          <w:sz w:val="18"/>
          <w:szCs w:val="18"/>
        </w:rPr>
        <w:t xml:space="preserve">Khalid, M.I., Ahmed, M., Helfert, M. &amp; Kim, J. 2023, 'Privacy-first paradigm for dynamic consent management systems: Empowering data subjects through decentralized data controllers and privacy-preserving techniques',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12, no. 24, p. 4973, &lt;https://doi.org/10.3390/electronics12244973&gt;.</w:t>
      </w:r>
    </w:p>
    <w:p>
      <w:pPr>
        <w:spacing w:after="80" w:line="240"/>
        <w:ind w:left="560" w:hanging="560"/>
        <w:jc w:val="left"/>
      </w:pPr>
      <w:r>
        <w:rPr>
          <w:rFonts w:ascii="Times New Roman" w:cs="Times New Roman" w:eastAsia="Times New Roman" w:hAnsi="Times New Roman"/>
          <w:sz w:val="18"/>
          <w:szCs w:val="18"/>
        </w:rPr>
        <w:t xml:space="preserve">Kharlamov, A., Hohmann, R. &amp; Parry, G. 2023, 'Data sharing decisions: Perceptions and intentions in healthcare', </w:t>
      </w:r>
      <w:r>
        <w:rPr>
          <w:rFonts w:ascii="Times New Roman" w:cs="Times New Roman" w:eastAsia="Times New Roman" w:hAnsi="Times New Roman"/>
          <w:i/>
          <w:iCs/>
          <w:sz w:val="18"/>
          <w:szCs w:val="18"/>
        </w:rPr>
        <w:t xml:space="preserve">Strategic Change</w:t>
      </w:r>
      <w:r>
        <w:rPr>
          <w:rFonts w:ascii="Times New Roman" w:cs="Times New Roman" w:eastAsia="Times New Roman" w:hAnsi="Times New Roman"/>
          <w:sz w:val="18"/>
          <w:szCs w:val="18"/>
        </w:rPr>
        <w:t xml:space="preserve">, vol. 32, no. 6, pp. 223–237, &lt;https://doi.org/10.1002/jsc.2558&gt;.</w:t>
      </w:r>
    </w:p>
    <w:p>
      <w:pPr>
        <w:spacing w:after="80" w:line="240"/>
        <w:ind w:left="560" w:hanging="560"/>
        <w:jc w:val="left"/>
      </w:pPr>
      <w:r>
        <w:rPr>
          <w:rFonts w:ascii="Times New Roman" w:cs="Times New Roman" w:eastAsia="Times New Roman" w:hAnsi="Times New Roman"/>
          <w:sz w:val="18"/>
          <w:szCs w:val="18"/>
        </w:rPr>
        <w:t xml:space="preserve">Khayer, B., Mirzaei, S., Alavizadeh, H. &amp; Salehi Shahraki, A. 2025, 'Blockchain for secure IoT: A review of identity management, access control, and trust mechanisms', </w:t>
      </w:r>
      <w:r>
        <w:rPr>
          <w:rFonts w:ascii="Times New Roman" w:cs="Times New Roman" w:eastAsia="Times New Roman" w:hAnsi="Times New Roman"/>
          <w:i/>
          <w:iCs/>
          <w:sz w:val="18"/>
          <w:szCs w:val="18"/>
        </w:rPr>
        <w:t xml:space="preserve">IoT</w:t>
      </w:r>
      <w:r>
        <w:rPr>
          <w:rFonts w:ascii="Times New Roman" w:cs="Times New Roman" w:eastAsia="Times New Roman" w:hAnsi="Times New Roman"/>
          <w:sz w:val="18"/>
          <w:szCs w:val="18"/>
        </w:rPr>
        <w:t xml:space="preserve">, vol. 6, no. 4, p. 65, &lt;https://doi.org/10.3390/iot6040065&gt;.</w:t>
      </w:r>
    </w:p>
    <w:p>
      <w:pPr>
        <w:spacing w:after="80" w:line="240"/>
        <w:ind w:left="560" w:hanging="560"/>
        <w:jc w:val="left"/>
      </w:pPr>
      <w:r>
        <w:rPr>
          <w:rFonts w:ascii="Times New Roman" w:cs="Times New Roman" w:eastAsia="Times New Roman" w:hAnsi="Times New Roman"/>
          <w:sz w:val="18"/>
          <w:szCs w:val="18"/>
        </w:rPr>
        <w:t xml:space="preserve">Li, L., Liu, C.Z. &amp; Shrestha, S. 2026, 'Analytical entropy approach for measuring blockchain immutability and tamper-resilient trust', </w:t>
      </w:r>
      <w:r>
        <w:rPr>
          <w:rFonts w:ascii="Times New Roman" w:cs="Times New Roman" w:eastAsia="Times New Roman" w:hAnsi="Times New Roman"/>
          <w:i/>
          <w:iCs/>
          <w:sz w:val="18"/>
          <w:szCs w:val="18"/>
        </w:rPr>
        <w:t xml:space="preserve">Entropy</w:t>
      </w:r>
      <w:r>
        <w:rPr>
          <w:rFonts w:ascii="Times New Roman" w:cs="Times New Roman" w:eastAsia="Times New Roman" w:hAnsi="Times New Roman"/>
          <w:sz w:val="18"/>
          <w:szCs w:val="18"/>
        </w:rPr>
        <w:t xml:space="preserve">, vol. 28, no. 6, p. 690, &lt;https://doi.org/10.3390/e28060690&gt;.</w:t>
      </w:r>
    </w:p>
    <w:p>
      <w:pPr>
        <w:spacing w:after="80" w:line="240"/>
        <w:ind w:left="560" w:hanging="560"/>
        <w:jc w:val="left"/>
      </w:pPr>
      <w:r>
        <w:rPr>
          <w:rFonts w:ascii="Times New Roman" w:cs="Times New Roman" w:eastAsia="Times New Roman" w:hAnsi="Times New Roman"/>
          <w:sz w:val="18"/>
          <w:szCs w:val="18"/>
        </w:rPr>
        <w:t xml:space="preserve">Li, H., Li, D., Lv, G., Crespi, N., Minerva, R., Shao, W. et al. 2026a, 'Privacy-preserving fine-grained EMR access control for IoMT: A hybrid RBAC-smart contract scheme with attribute-based authorization',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2, pp. 2970–2987, &lt;https://doi.org/10.1109/JIOT.2025.3633504&gt;.</w:t>
      </w:r>
    </w:p>
    <w:p>
      <w:pPr>
        <w:spacing w:after="80" w:line="240"/>
        <w:ind w:left="560" w:hanging="560"/>
        <w:jc w:val="left"/>
      </w:pPr>
      <w:r>
        <w:rPr>
          <w:rFonts w:ascii="Times New Roman" w:cs="Times New Roman" w:eastAsia="Times New Roman" w:hAnsi="Times New Roman"/>
          <w:sz w:val="18"/>
          <w:szCs w:val="18"/>
        </w:rPr>
        <w:t xml:space="preserve">Li, L., Liu, C.Z., Huang, K., Deng, R., Alrowaily, M.A., Alghamdi, M. et al. 2026b, 'Trust-aware environmental state consensus for smart agriculture with TEE-enabled sensing and Byzantine-resilient blockchain coordination', </w:t>
      </w:r>
      <w:r>
        <w:rPr>
          <w:rFonts w:ascii="Times New Roman" w:cs="Times New Roman" w:eastAsia="Times New Roman" w:hAnsi="Times New Roman"/>
          <w:i/>
          <w:iCs/>
          <w:sz w:val="18"/>
          <w:szCs w:val="18"/>
        </w:rPr>
        <w:t xml:space="preserve">Sensors</w:t>
      </w:r>
      <w:r>
        <w:rPr>
          <w:rFonts w:ascii="Times New Roman" w:cs="Times New Roman" w:eastAsia="Times New Roman" w:hAnsi="Times New Roman"/>
          <w:sz w:val="18"/>
          <w:szCs w:val="18"/>
        </w:rPr>
        <w:t xml:space="preserve">, vol. 26, no. 14, p. 4577, &lt;https://doi.org/10.3390/s26144577&gt;.</w:t>
      </w:r>
    </w:p>
    <w:p>
      <w:pPr>
        <w:spacing w:after="80" w:line="240"/>
        <w:ind w:left="560" w:hanging="560"/>
        <w:jc w:val="left"/>
      </w:pPr>
      <w:r>
        <w:rPr>
          <w:rFonts w:ascii="Times New Roman" w:cs="Times New Roman" w:eastAsia="Times New Roman" w:hAnsi="Times New Roman"/>
          <w:sz w:val="18"/>
          <w:szCs w:val="18"/>
        </w:rPr>
        <w:t xml:space="preserve">Lomotey, R.K., Kumi, S. &amp; Deters, R. 2022, 'Data trusts as a service: Providing a platform for multi-party data sharing', </w:t>
      </w:r>
      <w:r>
        <w:rPr>
          <w:rFonts w:ascii="Times New Roman" w:cs="Times New Roman" w:eastAsia="Times New Roman" w:hAnsi="Times New Roman"/>
          <w:i/>
          <w:iCs/>
          <w:sz w:val="18"/>
          <w:szCs w:val="18"/>
        </w:rPr>
        <w:t xml:space="preserve">International Journal of Information Management Data Insights</w:t>
      </w:r>
      <w:r>
        <w:rPr>
          <w:rFonts w:ascii="Times New Roman" w:cs="Times New Roman" w:eastAsia="Times New Roman" w:hAnsi="Times New Roman"/>
          <w:sz w:val="18"/>
          <w:szCs w:val="18"/>
        </w:rPr>
        <w:t xml:space="preserve">, vol. 2, no. 1, p. 100075, &lt;https://doi.org/10.1016/j.jjimei.2022.100075&gt;.</w:t>
      </w:r>
    </w:p>
    <w:p>
      <w:pPr>
        <w:spacing w:after="80" w:line="240"/>
        <w:ind w:left="560" w:hanging="560"/>
        <w:jc w:val="left"/>
      </w:pPr>
      <w:r>
        <w:rPr>
          <w:rFonts w:ascii="Times New Roman" w:cs="Times New Roman" w:eastAsia="Times New Roman" w:hAnsi="Times New Roman"/>
          <w:sz w:val="18"/>
          <w:szCs w:val="18"/>
        </w:rPr>
        <w:t xml:space="preserve">Madine, M.M., Salah, K., Jayaraman, R., Yaqoob, I., Al-Hammadi, Y., Ellahham, S. et al. 2020, 'Fully decentralized multi-party consent management for secure sharing of patient health records',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225777–225791, &lt;https://doi.org/10.1109/ACCESS.2020.3045048&gt;.</w:t>
      </w:r>
    </w:p>
    <w:p>
      <w:pPr>
        <w:spacing w:after="80" w:line="240"/>
        <w:ind w:left="560" w:hanging="560"/>
        <w:jc w:val="left"/>
      </w:pPr>
      <w:r>
        <w:rPr>
          <w:rFonts w:ascii="Times New Roman" w:cs="Times New Roman" w:eastAsia="Times New Roman" w:hAnsi="Times New Roman"/>
          <w:sz w:val="18"/>
          <w:szCs w:val="18"/>
        </w:rPr>
        <w:t xml:space="preserve">Maruthi, V. &amp; Singh, K. 2025, 'Enhancing security and privacy of IoMT data for unconscious patient with blockchain', </w:t>
      </w:r>
      <w:r>
        <w:rPr>
          <w:rFonts w:ascii="Times New Roman" w:cs="Times New Roman" w:eastAsia="Times New Roman" w:hAnsi="Times New Roman"/>
          <w:i/>
          <w:iCs/>
          <w:sz w:val="18"/>
          <w:szCs w:val="18"/>
        </w:rPr>
        <w:t xml:space="preserve">IEEE Transactions on Network and Service Management</w:t>
      </w:r>
      <w:r>
        <w:rPr>
          <w:rFonts w:ascii="Times New Roman" w:cs="Times New Roman" w:eastAsia="Times New Roman" w:hAnsi="Times New Roman"/>
          <w:sz w:val="18"/>
          <w:szCs w:val="18"/>
        </w:rPr>
        <w:t xml:space="preserve">, vol. 22, no. 6, pp. 5223–5238, &lt;https://doi.org/10.1109/TNSM.2025.3602117&gt;.</w:t>
      </w:r>
    </w:p>
    <w:p>
      <w:pPr>
        <w:spacing w:after="80" w:line="240"/>
        <w:ind w:left="560" w:hanging="560"/>
        <w:jc w:val="left"/>
      </w:pPr>
      <w:r>
        <w:rPr>
          <w:rFonts w:ascii="Times New Roman" w:cs="Times New Roman" w:eastAsia="Times New Roman" w:hAnsi="Times New Roman"/>
          <w:sz w:val="18"/>
          <w:szCs w:val="18"/>
        </w:rPr>
        <w:t xml:space="preserve">Mazzocca, C., Acar, A., Uluagac, A.S., Montanari, R., Bellavista, P. &amp; Conti, M. 2025, 'A survey on decentralized identifiers and verifiable credentials',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27, no. 6, pp. 3641–3671, &lt;https://doi.org/10.1109/COMST.2025.3543197&gt;.</w:t>
      </w:r>
    </w:p>
    <w:p>
      <w:pPr>
        <w:spacing w:after="80" w:line="240"/>
        <w:ind w:left="560" w:hanging="560"/>
        <w:jc w:val="left"/>
      </w:pPr>
      <w:r>
        <w:rPr>
          <w:rFonts w:ascii="Times New Roman" w:cs="Times New Roman" w:eastAsia="Times New Roman" w:hAnsi="Times New Roman"/>
          <w:sz w:val="18"/>
          <w:szCs w:val="18"/>
        </w:rPr>
        <w:t xml:space="preserve">McClelland, R. &amp; Harper, C.M. 2023, 'Information privacy in healthcare — the vital role of informed consent', </w:t>
      </w:r>
      <w:r>
        <w:rPr>
          <w:rFonts w:ascii="Times New Roman" w:cs="Times New Roman" w:eastAsia="Times New Roman" w:hAnsi="Times New Roman"/>
          <w:i/>
          <w:iCs/>
          <w:sz w:val="18"/>
          <w:szCs w:val="18"/>
        </w:rPr>
        <w:t xml:space="preserve">European Journal of Health Law</w:t>
      </w:r>
      <w:r>
        <w:rPr>
          <w:rFonts w:ascii="Times New Roman" w:cs="Times New Roman" w:eastAsia="Times New Roman" w:hAnsi="Times New Roman"/>
          <w:sz w:val="18"/>
          <w:szCs w:val="18"/>
        </w:rPr>
        <w:t xml:space="preserve">, vol. 30, no. 4, pp. 469–480, &lt;https://doi.org/10.1163/15718093-bja10097&gt;.</w:t>
      </w:r>
    </w:p>
    <w:p>
      <w:pPr>
        <w:spacing w:after="80" w:line="240"/>
        <w:ind w:left="560" w:hanging="560"/>
        <w:jc w:val="left"/>
      </w:pPr>
      <w:r>
        <w:rPr>
          <w:rFonts w:ascii="Times New Roman" w:cs="Times New Roman" w:eastAsia="Times New Roman" w:hAnsi="Times New Roman"/>
          <w:sz w:val="18"/>
          <w:szCs w:val="18"/>
        </w:rPr>
        <w:t xml:space="preserve">Mei, L., Huang, K., Li, X., Wang, H. &amp; Zhang, X. 2026, 'Efficient dual-revocation CP-ABE for secure and fine-grained data sharing in IoMT',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14, pp. 30933–30940, &lt;https://doi.org/10.1109/JIOT.2026.3685269&gt;.</w:t>
      </w:r>
    </w:p>
    <w:p>
      <w:pPr>
        <w:spacing w:after="80" w:line="240"/>
        <w:ind w:left="560" w:hanging="560"/>
        <w:jc w:val="left"/>
      </w:pPr>
      <w:r>
        <w:rPr>
          <w:rFonts w:ascii="Times New Roman" w:cs="Times New Roman" w:eastAsia="Times New Roman" w:hAnsi="Times New Roman"/>
          <w:sz w:val="18"/>
          <w:szCs w:val="18"/>
        </w:rPr>
        <w:t xml:space="preserve">Ménétrey, J., Göttel, C., Khurshid, A., Pasin, M., Felber, P., Schiavoni, V. et al. 2022, 'Attestation mechanisms for trusted execution environments demystified', </w:t>
      </w:r>
      <w:r>
        <w:rPr>
          <w:rFonts w:ascii="Times New Roman" w:cs="Times New Roman" w:eastAsia="Times New Roman" w:hAnsi="Times New Roman"/>
          <w:i/>
          <w:iCs/>
          <w:sz w:val="18"/>
          <w:szCs w:val="18"/>
        </w:rPr>
        <w:t xml:space="preserve">IFIP International Conference on Distributed Applications and Interoperable Systems (DAIS 2022), LNCS</w:t>
      </w:r>
      <w:r>
        <w:rPr>
          <w:rFonts w:ascii="Times New Roman" w:cs="Times New Roman" w:eastAsia="Times New Roman" w:hAnsi="Times New Roman"/>
          <w:sz w:val="18"/>
          <w:szCs w:val="18"/>
        </w:rPr>
        <w:t xml:space="preserve">, vol. 13272, pp. 95–113, Springer, &lt;https://doi.org/10.1007/978-3-031-16092-9_7&gt;.</w:t>
      </w:r>
    </w:p>
    <w:p>
      <w:pPr>
        <w:spacing w:after="80" w:line="240"/>
        <w:ind w:left="560" w:hanging="560"/>
        <w:jc w:val="left"/>
      </w:pPr>
      <w:r>
        <w:rPr>
          <w:rFonts w:ascii="Times New Roman" w:cs="Times New Roman" w:eastAsia="Times New Roman" w:hAnsi="Times New Roman"/>
          <w:sz w:val="18"/>
          <w:szCs w:val="18"/>
        </w:rPr>
        <w:t xml:space="preserve">Narkhede, M.R., Wankhede, N.I. &amp; Kamble, A.M. 2025, 'Enhancing patient autonomy in data ownership: Privacy models and consent frameworks for healthcare', </w:t>
      </w:r>
      <w:r>
        <w:rPr>
          <w:rFonts w:ascii="Times New Roman" w:cs="Times New Roman" w:eastAsia="Times New Roman" w:hAnsi="Times New Roman"/>
          <w:i/>
          <w:iCs/>
          <w:sz w:val="18"/>
          <w:szCs w:val="18"/>
        </w:rPr>
        <w:t xml:space="preserve">Journal of Digital Health</w:t>
      </w:r>
      <w:r>
        <w:rPr>
          <w:rFonts w:ascii="Times New Roman" w:cs="Times New Roman" w:eastAsia="Times New Roman" w:hAnsi="Times New Roman"/>
          <w:sz w:val="18"/>
          <w:szCs w:val="18"/>
        </w:rPr>
        <w:t xml:space="preserve">, vol. 4, no. 1, pp. 1–23, &lt;https://doi.org/10.55976/jdh.4202513361-23&gt;.</w:t>
      </w:r>
    </w:p>
    <w:p>
      <w:pPr>
        <w:spacing w:after="80" w:line="240"/>
        <w:ind w:left="560" w:hanging="560"/>
        <w:jc w:val="left"/>
      </w:pPr>
      <w:r>
        <w:rPr>
          <w:rFonts w:ascii="Times New Roman" w:cs="Times New Roman" w:eastAsia="Times New Roman" w:hAnsi="Times New Roman"/>
          <w:sz w:val="18"/>
          <w:szCs w:val="18"/>
        </w:rPr>
        <w:t xml:space="preserve">Nassar Kyriakidou, C.D., Papathanasiou, A.M. &amp; Polyzos, G.C. 2023, 'Decentralized identity with applications to security and privacy for the internet of things', </w:t>
      </w:r>
      <w:r>
        <w:rPr>
          <w:rFonts w:ascii="Times New Roman" w:cs="Times New Roman" w:eastAsia="Times New Roman" w:hAnsi="Times New Roman"/>
          <w:i/>
          <w:iCs/>
          <w:sz w:val="18"/>
          <w:szCs w:val="18"/>
        </w:rPr>
        <w:t xml:space="preserve">Computer Networks and Communications</w:t>
      </w:r>
      <w:r>
        <w:rPr>
          <w:rFonts w:ascii="Times New Roman" w:cs="Times New Roman" w:eastAsia="Times New Roman" w:hAnsi="Times New Roman"/>
          <w:sz w:val="18"/>
          <w:szCs w:val="18"/>
        </w:rPr>
        <w:t xml:space="preserve">, vol. 1, no. 2, pp. 244–271, &lt;https://doi.org/10.37256/cnc.1220233048&gt;.</w:t>
      </w:r>
    </w:p>
    <w:p>
      <w:pPr>
        <w:spacing w:after="80" w:line="240"/>
        <w:ind w:left="560" w:hanging="560"/>
        <w:jc w:val="left"/>
      </w:pPr>
      <w:r>
        <w:rPr>
          <w:rFonts w:ascii="Times New Roman" w:cs="Times New Roman" w:eastAsia="Times New Roman" w:hAnsi="Times New Roman"/>
          <w:sz w:val="18"/>
          <w:szCs w:val="18"/>
        </w:rPr>
        <w:t xml:space="preserve">Nazir, A., Rehmani, M.H., Butler, B. &amp; O’Shea, D. 2026, 'Access control in healthcare IoT: A comprehensive survey', </w:t>
      </w:r>
      <w:r>
        <w:rPr>
          <w:rFonts w:ascii="Times New Roman" w:cs="Times New Roman" w:eastAsia="Times New Roman" w:hAnsi="Times New Roman"/>
          <w:i/>
          <w:iCs/>
          <w:sz w:val="18"/>
          <w:szCs w:val="18"/>
        </w:rPr>
        <w:t xml:space="preserve">Engineering Reports</w:t>
      </w:r>
      <w:r>
        <w:rPr>
          <w:rFonts w:ascii="Times New Roman" w:cs="Times New Roman" w:eastAsia="Times New Roman" w:hAnsi="Times New Roman"/>
          <w:sz w:val="18"/>
          <w:szCs w:val="18"/>
        </w:rPr>
        <w:t xml:space="preserve">, vol. 8, no. 4, p. e70766, &lt;https://doi.org/10.1002/eng2.70766&gt;.</w:t>
      </w:r>
    </w:p>
    <w:p>
      <w:pPr>
        <w:spacing w:after="80" w:line="240"/>
        <w:ind w:left="560" w:hanging="560"/>
        <w:jc w:val="left"/>
      </w:pPr>
      <w:r>
        <w:rPr>
          <w:rFonts w:ascii="Times New Roman" w:cs="Times New Roman" w:eastAsia="Times New Roman" w:hAnsi="Times New Roman"/>
          <w:sz w:val="18"/>
          <w:szCs w:val="18"/>
        </w:rPr>
        <w:t xml:space="preserve">Nguyen, T.L., Nguyen, L., Hoang, T., Bandara, D., Wang, Q., Lu, Q. et al. 2025, 'Blockchain-empowered trustworthy data sharing: Fundamentals, applications, and challenges', </w:t>
      </w:r>
      <w:r>
        <w:rPr>
          <w:rFonts w:ascii="Times New Roman" w:cs="Times New Roman" w:eastAsia="Times New Roman" w:hAnsi="Times New Roman"/>
          <w:i/>
          <w:iCs/>
          <w:sz w:val="18"/>
          <w:szCs w:val="18"/>
        </w:rPr>
        <w:t xml:space="preserve">ACM Computing Surveys</w:t>
      </w:r>
      <w:r>
        <w:rPr>
          <w:rFonts w:ascii="Times New Roman" w:cs="Times New Roman" w:eastAsia="Times New Roman" w:hAnsi="Times New Roman"/>
          <w:sz w:val="18"/>
          <w:szCs w:val="18"/>
        </w:rPr>
        <w:t xml:space="preserve">, vol. 57, no. 8, p. 195, &lt;https://doi.org/10.1145/3718082&gt;.</w:t>
      </w:r>
    </w:p>
    <w:p>
      <w:pPr>
        <w:spacing w:after="80" w:line="240"/>
        <w:ind w:left="560" w:hanging="560"/>
        <w:jc w:val="left"/>
      </w:pPr>
      <w:r>
        <w:rPr>
          <w:rFonts w:ascii="Times New Roman" w:cs="Times New Roman" w:eastAsia="Times New Roman" w:hAnsi="Times New Roman"/>
          <w:sz w:val="18"/>
          <w:szCs w:val="18"/>
        </w:rPr>
        <w:t xml:space="preserve">Page, M.J., McKenzie, J.E., Bossuyt, P.M., Boutron, I., Hoffmann, T.C., Mulrow, C.D. et al. 2021, 'The PRISMA 2020 statement: An updated guideline for reporting systematic reviews', </w:t>
      </w:r>
      <w:r>
        <w:rPr>
          <w:rFonts w:ascii="Times New Roman" w:cs="Times New Roman" w:eastAsia="Times New Roman" w:hAnsi="Times New Roman"/>
          <w:i/>
          <w:iCs/>
          <w:sz w:val="18"/>
          <w:szCs w:val="18"/>
        </w:rPr>
        <w:t xml:space="preserve">BMJ</w:t>
      </w:r>
      <w:r>
        <w:rPr>
          <w:rFonts w:ascii="Times New Roman" w:cs="Times New Roman" w:eastAsia="Times New Roman" w:hAnsi="Times New Roman"/>
          <w:sz w:val="18"/>
          <w:szCs w:val="18"/>
        </w:rPr>
        <w:t xml:space="preserve">, vol. 372, p. n71, &lt;https://doi.org/10.1136/bmj.n71&gt;.</w:t>
      </w:r>
    </w:p>
    <w:p>
      <w:pPr>
        <w:spacing w:after="80" w:line="240"/>
        <w:ind w:left="560" w:hanging="560"/>
        <w:jc w:val="left"/>
      </w:pPr>
      <w:r>
        <w:rPr>
          <w:rFonts w:ascii="Times New Roman" w:cs="Times New Roman" w:eastAsia="Times New Roman" w:hAnsi="Times New Roman"/>
          <w:sz w:val="18"/>
          <w:szCs w:val="18"/>
        </w:rPr>
        <w:t xml:space="preserve">Panagoulias, D.P., Damian, A.I., Stamate, C., Toderian, V., Butusina, P., De Franceschi, A. et al. 2026, 'Blockchain-enabled trust and compliance for clinical AI: Decentralized governance without decentralized data storage',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15, no. 14, p. 3046, &lt;https://doi.org/10.3390/electronics15143046&gt;.</w:t>
      </w:r>
    </w:p>
    <w:p>
      <w:pPr>
        <w:spacing w:after="80" w:line="240"/>
        <w:ind w:left="560" w:hanging="560"/>
        <w:jc w:val="left"/>
      </w:pPr>
      <w:r>
        <w:rPr>
          <w:rFonts w:ascii="Times New Roman" w:cs="Times New Roman" w:eastAsia="Times New Roman" w:hAnsi="Times New Roman"/>
          <w:sz w:val="18"/>
          <w:szCs w:val="18"/>
        </w:rPr>
        <w:t xml:space="preserve">Parameswarath, R.P., Gope, P. &amp; Sikdar, B. 2022, 'User-empowered privacy-preserving authentication protocol for electric vehicle charging based on decentralized identity and verifiable credential', </w:t>
      </w:r>
      <w:r>
        <w:rPr>
          <w:rFonts w:ascii="Times New Roman" w:cs="Times New Roman" w:eastAsia="Times New Roman" w:hAnsi="Times New Roman"/>
          <w:i/>
          <w:iCs/>
          <w:sz w:val="18"/>
          <w:szCs w:val="18"/>
        </w:rPr>
        <w:t xml:space="preserve">ACM Transactions on Management Information Systems</w:t>
      </w:r>
      <w:r>
        <w:rPr>
          <w:rFonts w:ascii="Times New Roman" w:cs="Times New Roman" w:eastAsia="Times New Roman" w:hAnsi="Times New Roman"/>
          <w:sz w:val="18"/>
          <w:szCs w:val="18"/>
        </w:rPr>
        <w:t xml:space="preserve">, vol. 13, no. 4, p. 44, &lt;https://doi.org/10.1145/3532869&gt;.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2026a, 'A blockchain-based architecture for dynamic and auditable patient consent in secondary use of health data', </w:t>
      </w:r>
      <w:r>
        <w:rPr>
          <w:rFonts w:ascii="Times New Roman" w:cs="Times New Roman" w:eastAsia="Times New Roman" w:hAnsi="Times New Roman"/>
          <w:i/>
          <w:iCs/>
          <w:sz w:val="18"/>
          <w:szCs w:val="18"/>
        </w:rPr>
        <w:t xml:space="preserve">Blockchain in Healthcare Today</w:t>
      </w:r>
      <w:r>
        <w:rPr>
          <w:rFonts w:ascii="Times New Roman" w:cs="Times New Roman" w:eastAsia="Times New Roman" w:hAnsi="Times New Roman"/>
          <w:sz w:val="18"/>
          <w:szCs w:val="18"/>
        </w:rPr>
        <w:t xml:space="preserve">, vol. 9, no. 1, p. 491, &lt;https://doi.org/10.30953/bhty.v9.491&gt;.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2026b, 'Enabling cross-institution health data sharing in Norway: EUDI wallets, on-chain consent, and openEHR↔FHIR translation',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20309–20327, &lt;https://doi.org/10.1109/ACCESS.2026.3661642&gt;.</w:t>
      </w:r>
    </w:p>
    <w:p>
      <w:pPr>
        <w:spacing w:after="80" w:line="240"/>
        <w:ind w:left="560" w:hanging="560"/>
        <w:jc w:val="left"/>
      </w:pPr>
      <w:r>
        <w:rPr>
          <w:rFonts w:ascii="Times New Roman" w:cs="Times New Roman" w:eastAsia="Times New Roman" w:hAnsi="Times New Roman"/>
          <w:sz w:val="18"/>
          <w:szCs w:val="18"/>
        </w:rPr>
        <w:t xml:space="preserve">Prashanth, M.S., Karnati, R., Velpuru, M.S. &amp; Venkateshwara Reddy, H. 2024, 'Enhancing health record security and privacy with blockchain-based access management', </w:t>
      </w:r>
      <w:r>
        <w:rPr>
          <w:rFonts w:ascii="Times New Roman" w:cs="Times New Roman" w:eastAsia="Times New Roman" w:hAnsi="Times New Roman"/>
          <w:i/>
          <w:iCs/>
          <w:sz w:val="18"/>
          <w:szCs w:val="18"/>
        </w:rPr>
        <w:t xml:space="preserve">Pervasive Knowledge and Collective Intelligence on Web and Social Media (PerSOM 2023), LNICST</w:t>
      </w:r>
      <w:r>
        <w:rPr>
          <w:rFonts w:ascii="Times New Roman" w:cs="Times New Roman" w:eastAsia="Times New Roman" w:hAnsi="Times New Roman"/>
          <w:sz w:val="18"/>
          <w:szCs w:val="18"/>
        </w:rPr>
        <w:t xml:space="preserve">, vol. 517, pp. 182–202, Springer, &lt;https://doi.org/10.1007/978-3-031-66044-3_13&gt;.</w:t>
      </w:r>
    </w:p>
    <w:p>
      <w:pPr>
        <w:spacing w:after="80" w:line="240"/>
        <w:ind w:left="560" w:hanging="560"/>
        <w:jc w:val="left"/>
      </w:pPr>
      <w:r>
        <w:rPr>
          <w:rFonts w:ascii="Times New Roman" w:cs="Times New Roman" w:eastAsia="Times New Roman" w:hAnsi="Times New Roman"/>
          <w:sz w:val="18"/>
          <w:szCs w:val="18"/>
        </w:rPr>
        <w:t xml:space="preserve">Punia, A., Gulia, P., Gill, N.S., Kaushik, D., Alduaiji, N., Shukla, P.K. et al. 2025, 'An access control system for cloud-based healthcare systems driven by blockchain', </w:t>
      </w:r>
      <w:r>
        <w:rPr>
          <w:rFonts w:ascii="Times New Roman" w:cs="Times New Roman" w:eastAsia="Times New Roman" w:hAnsi="Times New Roman"/>
          <w:i/>
          <w:iCs/>
          <w:sz w:val="18"/>
          <w:szCs w:val="18"/>
        </w:rPr>
        <w:t xml:space="preserve">Journal of Cloud Computing</w:t>
      </w:r>
      <w:r>
        <w:rPr>
          <w:rFonts w:ascii="Times New Roman" w:cs="Times New Roman" w:eastAsia="Times New Roman" w:hAnsi="Times New Roman"/>
          <w:sz w:val="18"/>
          <w:szCs w:val="18"/>
        </w:rPr>
        <w:t xml:space="preserve">, vol. 14, no. 1, p. 78, &lt;https://doi.org/10.1186/s13677-025-00831-z&gt;.</w:t>
      </w:r>
    </w:p>
    <w:p>
      <w:pPr>
        <w:spacing w:after="80" w:line="240"/>
        <w:ind w:left="560" w:hanging="560"/>
        <w:jc w:val="left"/>
      </w:pPr>
      <w:r>
        <w:rPr>
          <w:rFonts w:ascii="Times New Roman" w:cs="Times New Roman" w:eastAsia="Times New Roman" w:hAnsi="Times New Roman"/>
          <w:sz w:val="18"/>
          <w:szCs w:val="18"/>
        </w:rPr>
        <w:t xml:space="preserve">Román-Martínez, I., Calvillo-Arbizu, J., Mayor-Gallego, V.J., Madinabeitia-Luque, G., Estepa-Alonso, A.J. &amp; Estepa-Alonso, R.M. 2023, 'Blockchain-based service-oriented architecture for consent management, access control, and auditing',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11, pp. 12727–12741, &lt;https://doi.org/10.1109/ACCESS.2023.3242605&gt;.</w:t>
      </w:r>
    </w:p>
    <w:p>
      <w:pPr>
        <w:spacing w:after="80" w:line="240"/>
        <w:ind w:left="560" w:hanging="560"/>
        <w:jc w:val="left"/>
      </w:pPr>
      <w:r>
        <w:rPr>
          <w:rFonts w:ascii="Times New Roman" w:cs="Times New Roman" w:eastAsia="Times New Roman" w:hAnsi="Times New Roman"/>
          <w:sz w:val="18"/>
          <w:szCs w:val="18"/>
        </w:rPr>
        <w:t xml:space="preserve">Sawant, N.M. &amp; Gomes, J. 2026, 'A decentralized solution for smarter and safer healthcare systems with FabricMedChain', </w:t>
      </w:r>
      <w:r>
        <w:rPr>
          <w:rFonts w:ascii="Times New Roman" w:cs="Times New Roman" w:eastAsia="Times New Roman" w:hAnsi="Times New Roman"/>
          <w:i/>
          <w:iCs/>
          <w:sz w:val="18"/>
          <w:szCs w:val="18"/>
        </w:rPr>
        <w:t xml:space="preserve">Iranian Journal of Science and Technology, Transactions of Electrical Engineering</w:t>
      </w:r>
      <w:r>
        <w:rPr>
          <w:rFonts w:ascii="Times New Roman" w:cs="Times New Roman" w:eastAsia="Times New Roman" w:hAnsi="Times New Roman"/>
          <w:sz w:val="18"/>
          <w:szCs w:val="18"/>
        </w:rPr>
        <w:t xml:space="preserve">, vol. 50, pp. 2843–2869, &lt;https://doi.org/10.1007/s40998-025-00994-0&gt;.</w:t>
      </w:r>
    </w:p>
    <w:p>
      <w:pPr>
        <w:spacing w:after="80" w:line="240"/>
        <w:ind w:left="560" w:hanging="560"/>
        <w:jc w:val="left"/>
      </w:pPr>
      <w:r>
        <w:rPr>
          <w:rFonts w:ascii="Times New Roman" w:cs="Times New Roman" w:eastAsia="Times New Roman" w:hAnsi="Times New Roman"/>
          <w:sz w:val="18"/>
          <w:szCs w:val="18"/>
        </w:rPr>
        <w:t xml:space="preserve">Shanmugham, M. &amp; Senthilkumar, C. 2026, 'Blockchain enabled self-sovereign identity and consent framework for secure healthcare data access', </w:t>
      </w:r>
      <w:r>
        <w:rPr>
          <w:rFonts w:ascii="Times New Roman" w:cs="Times New Roman" w:eastAsia="Times New Roman" w:hAnsi="Times New Roman"/>
          <w:i/>
          <w:iCs/>
          <w:sz w:val="18"/>
          <w:szCs w:val="18"/>
        </w:rPr>
        <w:t xml:space="preserve">2026 3rd International Conference on Emerging Trends in Engineering and Medical Sciences (ICETEMS)</w:t>
      </w:r>
      <w:r>
        <w:rPr>
          <w:rFonts w:ascii="Times New Roman" w:cs="Times New Roman" w:eastAsia="Times New Roman" w:hAnsi="Times New Roman"/>
          <w:sz w:val="18"/>
          <w:szCs w:val="18"/>
        </w:rPr>
        <w:t xml:space="preserve">, pp. 1–6, &lt;https://doi.org/10.1109/ICETEMS66917.2026.11469586&gt;.</w:t>
      </w:r>
    </w:p>
    <w:p>
      <w:pPr>
        <w:spacing w:after="80" w:line="240"/>
        <w:ind w:left="560" w:hanging="560"/>
        <w:jc w:val="left"/>
      </w:pPr>
      <w:r>
        <w:rPr>
          <w:rFonts w:ascii="Times New Roman" w:cs="Times New Roman" w:eastAsia="Times New Roman" w:hAnsi="Times New Roman"/>
          <w:sz w:val="18"/>
          <w:szCs w:val="18"/>
        </w:rPr>
        <w:t xml:space="preserve">SooHoo, S.L., Keller, M.S., Chen, Y., Hu, D., Huang, S.-C., Kuo, T.-T. et al. 2026, 'Development of the authentication and authorization processes for the iAgree portal, a platform for patient-controlled data sharing across health systems', </w:t>
      </w:r>
      <w:r>
        <w:rPr>
          <w:rFonts w:ascii="Times New Roman" w:cs="Times New Roman" w:eastAsia="Times New Roman" w:hAnsi="Times New Roman"/>
          <w:i/>
          <w:iCs/>
          <w:sz w:val="18"/>
          <w:szCs w:val="18"/>
        </w:rPr>
        <w:t xml:space="preserve">JAMIA Open</w:t>
      </w:r>
      <w:r>
        <w:rPr>
          <w:rFonts w:ascii="Times New Roman" w:cs="Times New Roman" w:eastAsia="Times New Roman" w:hAnsi="Times New Roman"/>
          <w:sz w:val="18"/>
          <w:szCs w:val="18"/>
        </w:rPr>
        <w:t xml:space="preserve">, vol. 9, no. 3, p. ooag111, &lt;https://doi.org/10.1093/jamiaopen/ooag111&gt;.</w:t>
      </w:r>
    </w:p>
    <w:p>
      <w:pPr>
        <w:spacing w:after="80" w:line="240"/>
        <w:ind w:left="560" w:hanging="560"/>
        <w:jc w:val="left"/>
      </w:pPr>
      <w:r>
        <w:rPr>
          <w:rFonts w:ascii="Times New Roman" w:cs="Times New Roman" w:eastAsia="Times New Roman" w:hAnsi="Times New Roman"/>
          <w:sz w:val="18"/>
          <w:szCs w:val="18"/>
        </w:rPr>
        <w:t xml:space="preserve">Tan, K.-L., Chi, C.-H. &amp; Lam, K.-Y. 2024, 'Secure and privacy-preserving sharing of personal health records with multi-party pre-authorization verification', </w:t>
      </w:r>
      <w:r>
        <w:rPr>
          <w:rFonts w:ascii="Times New Roman" w:cs="Times New Roman" w:eastAsia="Times New Roman" w:hAnsi="Times New Roman"/>
          <w:i/>
          <w:iCs/>
          <w:sz w:val="18"/>
          <w:szCs w:val="18"/>
        </w:rPr>
        <w:t xml:space="preserve">Wireless Networks</w:t>
      </w:r>
      <w:r>
        <w:rPr>
          <w:rFonts w:ascii="Times New Roman" w:cs="Times New Roman" w:eastAsia="Times New Roman" w:hAnsi="Times New Roman"/>
          <w:sz w:val="18"/>
          <w:szCs w:val="18"/>
        </w:rPr>
        <w:t xml:space="preserve">, vol. 30, no. 4, pp. 4773–4795, &lt;https://doi.org/10.1007/s11276-022-03114-6&gt;.</w:t>
      </w:r>
    </w:p>
    <w:p>
      <w:pPr>
        <w:spacing w:after="80" w:line="240"/>
        <w:ind w:left="560" w:hanging="560"/>
        <w:jc w:val="left"/>
      </w:pPr>
      <w:r>
        <w:rPr>
          <w:rFonts w:ascii="Times New Roman" w:cs="Times New Roman" w:eastAsia="Times New Roman" w:hAnsi="Times New Roman"/>
          <w:sz w:val="18"/>
          <w:szCs w:val="18"/>
        </w:rPr>
        <w:t xml:space="preserve">Tawfik, A.M., Al-Ahwal, A., Tag Eldien, A.S. &amp; Zayed, H.H. 2025, 'Blockchain-based access control and privacy preservation in healthcare: A comprehensive survey', </w:t>
      </w:r>
      <w:r>
        <w:rPr>
          <w:rFonts w:ascii="Times New Roman" w:cs="Times New Roman" w:eastAsia="Times New Roman" w:hAnsi="Times New Roman"/>
          <w:i/>
          <w:iCs/>
          <w:sz w:val="18"/>
          <w:szCs w:val="18"/>
        </w:rPr>
        <w:t xml:space="preserve">Cluster Computing</w:t>
      </w:r>
      <w:r>
        <w:rPr>
          <w:rFonts w:ascii="Times New Roman" w:cs="Times New Roman" w:eastAsia="Times New Roman" w:hAnsi="Times New Roman"/>
          <w:sz w:val="18"/>
          <w:szCs w:val="18"/>
        </w:rPr>
        <w:t xml:space="preserve">, vol. 28, p. 529, &lt;https://doi.org/10.1007/s10586-025-05308-x&gt;.</w:t>
      </w:r>
    </w:p>
    <w:p>
      <w:pPr>
        <w:spacing w:after="80" w:line="240"/>
        <w:ind w:left="560" w:hanging="560"/>
        <w:jc w:val="left"/>
      </w:pPr>
      <w:r>
        <w:rPr>
          <w:rFonts w:ascii="Times New Roman" w:cs="Times New Roman" w:eastAsia="Times New Roman" w:hAnsi="Times New Roman"/>
          <w:sz w:val="18"/>
          <w:szCs w:val="18"/>
        </w:rPr>
        <w:t xml:space="preserve">Teeda, A. &amp; Subba Rao, Y.V. 2026, 'A patient-centric blockchain based electronic health records for data privacy and confidentiality', </w:t>
      </w:r>
      <w:r>
        <w:rPr>
          <w:rFonts w:ascii="Times New Roman" w:cs="Times New Roman" w:eastAsia="Times New Roman" w:hAnsi="Times New Roman"/>
          <w:i/>
          <w:iCs/>
          <w:sz w:val="18"/>
          <w:szCs w:val="18"/>
        </w:rPr>
        <w:t xml:space="preserve">International Conference on Smart Computing and Informatics, LNNS</w:t>
      </w:r>
      <w:r>
        <w:rPr>
          <w:rFonts w:ascii="Times New Roman" w:cs="Times New Roman" w:eastAsia="Times New Roman" w:hAnsi="Times New Roman"/>
          <w:sz w:val="18"/>
          <w:szCs w:val="18"/>
        </w:rPr>
        <w:t xml:space="preserve">, vol. 1684, pp. 179–192, Springer, &lt;https://doi.org/10.1007/978-3-032-08246-6_15&gt;.</w:t>
      </w:r>
    </w:p>
    <w:p>
      <w:pPr>
        <w:spacing w:after="80" w:line="240"/>
        <w:ind w:left="560" w:hanging="560"/>
        <w:jc w:val="left"/>
      </w:pPr>
      <w:r>
        <w:rPr>
          <w:rFonts w:ascii="Times New Roman" w:cs="Times New Roman" w:eastAsia="Times New Roman" w:hAnsi="Times New Roman"/>
          <w:sz w:val="18"/>
          <w:szCs w:val="18"/>
        </w:rPr>
        <w:t xml:space="preserve">Theodorakopoulos, L., Theodoropoulou, A. &amp; Halkiopoulos, C. 2024, 'Enhancing decentralized decision-making with big data and blockchain technology: A comprehensive review', </w:t>
      </w:r>
      <w:r>
        <w:rPr>
          <w:rFonts w:ascii="Times New Roman" w:cs="Times New Roman" w:eastAsia="Times New Roman" w:hAnsi="Times New Roman"/>
          <w:i/>
          <w:iCs/>
          <w:sz w:val="18"/>
          <w:szCs w:val="18"/>
        </w:rPr>
        <w:t xml:space="preserve">Applied Sciences</w:t>
      </w:r>
      <w:r>
        <w:rPr>
          <w:rFonts w:ascii="Times New Roman" w:cs="Times New Roman" w:eastAsia="Times New Roman" w:hAnsi="Times New Roman"/>
          <w:sz w:val="18"/>
          <w:szCs w:val="18"/>
        </w:rPr>
        <w:t xml:space="preserve">, vol. 14, no. 16, p. 7007, &lt;https://doi.org/10.3390/app14167007&gt;.</w:t>
      </w:r>
    </w:p>
    <w:p>
      <w:pPr>
        <w:spacing w:after="80" w:line="240"/>
        <w:ind w:left="560" w:hanging="560"/>
        <w:jc w:val="left"/>
      </w:pPr>
      <w:r>
        <w:rPr>
          <w:rFonts w:ascii="Times New Roman" w:cs="Times New Roman" w:eastAsia="Times New Roman" w:hAnsi="Times New Roman"/>
          <w:sz w:val="18"/>
          <w:szCs w:val="18"/>
        </w:rPr>
        <w:t xml:space="preserve">Tith, D., Lee, J.-S., Suzuki, H., Wijesundara, W.M.A.B., Taira, N., Obi, T. et al. 2020, 'Patient consent management by a purpose-based consent model for electronic health record based on blockchain technology', </w:t>
      </w:r>
      <w:r>
        <w:rPr>
          <w:rFonts w:ascii="Times New Roman" w:cs="Times New Roman" w:eastAsia="Times New Roman" w:hAnsi="Times New Roman"/>
          <w:i/>
          <w:iCs/>
          <w:sz w:val="18"/>
          <w:szCs w:val="18"/>
        </w:rPr>
        <w:t xml:space="preserve">Healthcare Informatics Research</w:t>
      </w:r>
      <w:r>
        <w:rPr>
          <w:rFonts w:ascii="Times New Roman" w:cs="Times New Roman" w:eastAsia="Times New Roman" w:hAnsi="Times New Roman"/>
          <w:sz w:val="18"/>
          <w:szCs w:val="18"/>
        </w:rPr>
        <w:t xml:space="preserve">, vol. 26, no. 4, pp. 265–273, &lt;https://doi.org/10.4258/hir.2020.26.4.265&gt;.</w:t>
      </w:r>
    </w:p>
    <w:p>
      <w:pPr>
        <w:spacing w:after="80" w:line="240"/>
        <w:ind w:left="560" w:hanging="560"/>
        <w:jc w:val="left"/>
      </w:pPr>
      <w:r>
        <w:rPr>
          <w:rFonts w:ascii="Times New Roman" w:cs="Times New Roman" w:eastAsia="Times New Roman" w:hAnsi="Times New Roman"/>
          <w:sz w:val="18"/>
          <w:szCs w:val="18"/>
        </w:rPr>
        <w:t xml:space="preserve">Tremper, G., Brenner, T., Ben Amor, M., Kussel, T. &amp; Lablans, M. 2026, 'Mainzelliste: Ten years of pseudonymization, record linkage, and informed consent management', </w:t>
      </w:r>
      <w:r>
        <w:rPr>
          <w:rFonts w:ascii="Times New Roman" w:cs="Times New Roman" w:eastAsia="Times New Roman" w:hAnsi="Times New Roman"/>
          <w:i/>
          <w:iCs/>
          <w:sz w:val="18"/>
          <w:szCs w:val="18"/>
        </w:rPr>
        <w:t xml:space="preserve">Patterns</w:t>
      </w:r>
      <w:r>
        <w:rPr>
          <w:rFonts w:ascii="Times New Roman" w:cs="Times New Roman" w:eastAsia="Times New Roman" w:hAnsi="Times New Roman"/>
          <w:sz w:val="18"/>
          <w:szCs w:val="18"/>
        </w:rPr>
        <w:t xml:space="preserve">, vol. 7, no. 1, p. 101432, &lt;https://doi.org/10.1016/j.patter.2025.101432&gt;.</w:t>
      </w:r>
    </w:p>
    <w:p>
      <w:pPr>
        <w:spacing w:after="80" w:line="240"/>
        <w:ind w:left="560" w:hanging="560"/>
        <w:jc w:val="left"/>
      </w:pPr>
      <w:r>
        <w:rPr>
          <w:rFonts w:ascii="Times New Roman" w:cs="Times New Roman" w:eastAsia="Times New Roman" w:hAnsi="Times New Roman"/>
          <w:sz w:val="18"/>
          <w:szCs w:val="18"/>
        </w:rPr>
        <w:t xml:space="preserve">Tseng, C.-H., Hsieh, Y.-H., Lin, H.-Y. &amp; Yuan, S.-M. 2025, 'EMR-Chain: Decentralized electronic medical record exchange system', </w:t>
      </w:r>
      <w:r>
        <w:rPr>
          <w:rFonts w:ascii="Times New Roman" w:cs="Times New Roman" w:eastAsia="Times New Roman" w:hAnsi="Times New Roman"/>
          <w:i/>
          <w:iCs/>
          <w:sz w:val="18"/>
          <w:szCs w:val="18"/>
        </w:rPr>
        <w:t xml:space="preserve">Technologies</w:t>
      </w:r>
      <w:r>
        <w:rPr>
          <w:rFonts w:ascii="Times New Roman" w:cs="Times New Roman" w:eastAsia="Times New Roman" w:hAnsi="Times New Roman"/>
          <w:sz w:val="18"/>
          <w:szCs w:val="18"/>
        </w:rPr>
        <w:t xml:space="preserve">, vol. 13, no. 10, p. 446, &lt;https://doi.org/10.3390/technologies13100446&gt;.</w:t>
      </w:r>
    </w:p>
    <w:p>
      <w:pPr>
        <w:spacing w:after="80" w:line="240"/>
        <w:ind w:left="560" w:hanging="560"/>
        <w:jc w:val="left"/>
      </w:pPr>
      <w:r>
        <w:rPr>
          <w:rFonts w:ascii="Times New Roman" w:cs="Times New Roman" w:eastAsia="Times New Roman" w:hAnsi="Times New Roman"/>
          <w:sz w:val="18"/>
          <w:szCs w:val="18"/>
        </w:rPr>
        <w:t xml:space="preserve">Turan, M.N., Hashimzai, I.A. &amp; Qiam, M.Q. 2025, 'A blockchain-based framework for secure and transparent environmental data sharing in smart cities: Enhancing trust, integrity, and interoperability in urban sustainability systems', </w:t>
      </w:r>
      <w:r>
        <w:rPr>
          <w:rFonts w:ascii="Times New Roman" w:cs="Times New Roman" w:eastAsia="Times New Roman" w:hAnsi="Times New Roman"/>
          <w:i/>
          <w:iCs/>
          <w:sz w:val="18"/>
          <w:szCs w:val="18"/>
        </w:rPr>
        <w:t xml:space="preserve">Nata Palemahan: Journal of Environmental Engineering Innovations</w:t>
      </w:r>
      <w:r>
        <w:rPr>
          <w:rFonts w:ascii="Times New Roman" w:cs="Times New Roman" w:eastAsia="Times New Roman" w:hAnsi="Times New Roman"/>
          <w:sz w:val="18"/>
          <w:szCs w:val="18"/>
        </w:rPr>
        <w:t xml:space="preserve">, vol. 2, no. 2, pp. 70–79, &lt;https://doi.org/10.38043/natapalemahan.v2i2.6996&gt;.</w:t>
      </w:r>
    </w:p>
    <w:p>
      <w:pPr>
        <w:spacing w:after="80" w:line="240"/>
        <w:ind w:left="560" w:hanging="560"/>
        <w:jc w:val="left"/>
      </w:pPr>
      <w:r>
        <w:rPr>
          <w:rFonts w:ascii="Times New Roman" w:cs="Times New Roman" w:eastAsia="Times New Roman" w:hAnsi="Times New Roman"/>
          <w:sz w:val="18"/>
          <w:szCs w:val="18"/>
        </w:rPr>
        <w:t xml:space="preserve">Walonoski, J., Kramer, M., Nichols, J., Quina, A., Moesel, C., Hall, D. et al. 2018, 'Synthea: An approach, method, and software mechanism for generating synthetic patients and the synthetic electronic health care record', </w:t>
      </w:r>
      <w:r>
        <w:rPr>
          <w:rFonts w:ascii="Times New Roman" w:cs="Times New Roman" w:eastAsia="Times New Roman" w:hAnsi="Times New Roman"/>
          <w:i/>
          <w:iCs/>
          <w:sz w:val="18"/>
          <w:szCs w:val="18"/>
        </w:rPr>
        <w:t xml:space="preserve">Journal of the American Medical Informatics Association</w:t>
      </w:r>
      <w:r>
        <w:rPr>
          <w:rFonts w:ascii="Times New Roman" w:cs="Times New Roman" w:eastAsia="Times New Roman" w:hAnsi="Times New Roman"/>
          <w:sz w:val="18"/>
          <w:szCs w:val="18"/>
        </w:rPr>
        <w:t xml:space="preserve">, vol. 25, no. 3, pp. 230–238, &lt;https://doi.org/10.1093/jamia/ocx079&gt;.</w:t>
      </w:r>
    </w:p>
    <w:p>
      <w:pPr>
        <w:spacing w:after="80" w:line="240"/>
        <w:ind w:left="560" w:hanging="560"/>
        <w:jc w:val="left"/>
      </w:pPr>
      <w:r>
        <w:rPr>
          <w:rFonts w:ascii="Times New Roman" w:cs="Times New Roman" w:eastAsia="Times New Roman" w:hAnsi="Times New Roman"/>
          <w:sz w:val="18"/>
          <w:szCs w:val="18"/>
        </w:rPr>
        <w:t xml:space="preserve">Webber, E.C., Brick, D., Scibilia, J.P., Dehnel, P., Council on Clinical Information Technology et al. 2019, 'Electronic communication of the health record and information with pediatric patients and their guardians', </w:t>
      </w:r>
      <w:r>
        <w:rPr>
          <w:rFonts w:ascii="Times New Roman" w:cs="Times New Roman" w:eastAsia="Times New Roman" w:hAnsi="Times New Roman"/>
          <w:i/>
          <w:iCs/>
          <w:sz w:val="18"/>
          <w:szCs w:val="18"/>
        </w:rPr>
        <w:t xml:space="preserve">Pediatrics</w:t>
      </w:r>
      <w:r>
        <w:rPr>
          <w:rFonts w:ascii="Times New Roman" w:cs="Times New Roman" w:eastAsia="Times New Roman" w:hAnsi="Times New Roman"/>
          <w:sz w:val="18"/>
          <w:szCs w:val="18"/>
        </w:rPr>
        <w:t xml:space="preserve">, vol. 144, no. 1, p. e20191359, &lt;https://doi.org/10.1542/peds.2019-1359&gt;.</w:t>
      </w:r>
    </w:p>
    <w:p>
      <w:pPr>
        <w:spacing w:after="80" w:line="240"/>
        <w:ind w:left="560" w:hanging="560"/>
        <w:jc w:val="left"/>
      </w:pPr>
      <w:r>
        <w:rPr>
          <w:rFonts w:ascii="Times New Roman" w:cs="Times New Roman" w:eastAsia="Times New Roman" w:hAnsi="Times New Roman"/>
          <w:sz w:val="18"/>
          <w:szCs w:val="18"/>
        </w:rPr>
        <w:t xml:space="preserve">Welzel, C., Ostermann, M., Smith, H.L., Minssen, T., Kirsten, T. &amp; Gilbert, S. 2025, 'Enabling secure and self determined health data sharing and consent management', </w:t>
      </w:r>
      <w:r>
        <w:rPr>
          <w:rFonts w:ascii="Times New Roman" w:cs="Times New Roman" w:eastAsia="Times New Roman" w:hAnsi="Times New Roman"/>
          <w:i/>
          <w:iCs/>
          <w:sz w:val="18"/>
          <w:szCs w:val="18"/>
        </w:rPr>
        <w:t xml:space="preserve">npj Digital Medicine</w:t>
      </w:r>
      <w:r>
        <w:rPr>
          <w:rFonts w:ascii="Times New Roman" w:cs="Times New Roman" w:eastAsia="Times New Roman" w:hAnsi="Times New Roman"/>
          <w:sz w:val="18"/>
          <w:szCs w:val="18"/>
        </w:rPr>
        <w:t xml:space="preserve">, vol. 8, no. 1, p. 560, &lt;https://doi.org/10.1038/s41746-025-01945-z&gt;.</w:t>
      </w:r>
    </w:p>
    <w:p>
      <w:pPr>
        <w:spacing w:after="80" w:line="240"/>
        <w:ind w:left="560" w:hanging="560"/>
        <w:jc w:val="left"/>
      </w:pPr>
      <w:r>
        <w:rPr>
          <w:rFonts w:ascii="Times New Roman" w:cs="Times New Roman" w:eastAsia="Times New Roman" w:hAnsi="Times New Roman"/>
          <w:sz w:val="18"/>
          <w:szCs w:val="18"/>
        </w:rPr>
        <w:t xml:space="preserve">Wood, G. 2014, </w:t>
      </w:r>
      <w:r>
        <w:rPr>
          <w:rFonts w:ascii="Times New Roman" w:cs="Times New Roman" w:eastAsia="Times New Roman" w:hAnsi="Times New Roman"/>
          <w:i/>
          <w:iCs/>
          <w:sz w:val="18"/>
          <w:szCs w:val="18"/>
        </w:rPr>
        <w:t xml:space="preserve">Ethereum: A secure decentralised generalised transaction ledger</w:t>
      </w:r>
      <w:r>
        <w:rPr>
          <w:rFonts w:ascii="Times New Roman" w:cs="Times New Roman" w:eastAsia="Times New Roman" w:hAnsi="Times New Roman"/>
          <w:sz w:val="18"/>
          <w:szCs w:val="18"/>
        </w:rPr>
        <w:t xml:space="preserve">, Ethereum Project Yellow Paper, viewed 7 October 2026, &lt;https://ethereum.github.io/yellowpaper/paper.pdf&gt;.</w:t>
      </w:r>
    </w:p>
    <w:p>
      <w:pPr>
        <w:spacing w:after="80" w:line="240"/>
        <w:ind w:left="560" w:hanging="560"/>
        <w:jc w:val="left"/>
      </w:pPr>
      <w:r>
        <w:rPr>
          <w:rFonts w:ascii="Times New Roman" w:cs="Times New Roman" w:eastAsia="Times New Roman" w:hAnsi="Times New Roman"/>
          <w:sz w:val="18"/>
          <w:szCs w:val="18"/>
        </w:rPr>
        <w:t xml:space="preserve">Wu, Y., Liu, C., Sebald, L., Nguyen, P. &amp; Yesha, Y. 2022, 'Apply trust computing and privacy preserving smart contracts to manage, share, and analyze multi-site clinical trial data', </w:t>
      </w:r>
      <w:r>
        <w:rPr>
          <w:rFonts w:ascii="Times New Roman" w:cs="Times New Roman" w:eastAsia="Times New Roman" w:hAnsi="Times New Roman"/>
          <w:i/>
          <w:iCs/>
          <w:sz w:val="18"/>
          <w:szCs w:val="18"/>
        </w:rPr>
        <w:t xml:space="preserve">Proceedings of the International Conference on Deep Learning, Big Data and Blockchain (DBB 2022), LNNS</w:t>
      </w:r>
      <w:r>
        <w:rPr>
          <w:rFonts w:ascii="Times New Roman" w:cs="Times New Roman" w:eastAsia="Times New Roman" w:hAnsi="Times New Roman"/>
          <w:sz w:val="18"/>
          <w:szCs w:val="18"/>
        </w:rPr>
        <w:t xml:space="preserve">, vol. 541, pp. 3–14, Springer, &lt;https://doi.org/10.1007/978-3-031-16035-6_1&gt;.</w:t>
      </w:r>
    </w:p>
    <w:p>
      <w:pPr>
        <w:spacing w:after="80" w:line="240"/>
        <w:ind w:left="560" w:hanging="560"/>
        <w:jc w:val="left"/>
      </w:pPr>
      <w:r>
        <w:rPr>
          <w:rFonts w:ascii="Times New Roman" w:cs="Times New Roman" w:eastAsia="Times New Roman" w:hAnsi="Times New Roman"/>
          <w:sz w:val="18"/>
          <w:szCs w:val="18"/>
        </w:rPr>
        <w:t xml:space="preserve">Wu, Z. &amp; Zhang, D. 2025, 'HealthDID: An efficient and authorizable multi-party privacy-preserving EMR sharing system based on DID', </w:t>
      </w:r>
      <w:r>
        <w:rPr>
          <w:rFonts w:ascii="Times New Roman" w:cs="Times New Roman" w:eastAsia="Times New Roman" w:hAnsi="Times New Roman"/>
          <w:i/>
          <w:iCs/>
          <w:sz w:val="18"/>
          <w:szCs w:val="18"/>
        </w:rPr>
        <w:t xml:space="preserve">Computer Standards &amp; Interfaces</w:t>
      </w:r>
      <w:r>
        <w:rPr>
          <w:rFonts w:ascii="Times New Roman" w:cs="Times New Roman" w:eastAsia="Times New Roman" w:hAnsi="Times New Roman"/>
          <w:sz w:val="18"/>
          <w:szCs w:val="18"/>
        </w:rPr>
        <w:t xml:space="preserve">, vol. 93, p. 103967, &lt;https://doi.org/10.1016/j.csi.2024.103967&gt;.</w:t>
      </w:r>
    </w:p>
    <w:p>
      <w:pPr>
        <w:spacing w:after="80" w:line="240"/>
        <w:ind w:left="560" w:hanging="560"/>
        <w:jc w:val="left"/>
      </w:pPr>
      <w:r>
        <w:rPr>
          <w:rFonts w:ascii="Times New Roman" w:cs="Times New Roman" w:eastAsia="Times New Roman" w:hAnsi="Times New Roman"/>
          <w:sz w:val="18"/>
          <w:szCs w:val="18"/>
        </w:rPr>
        <w:t xml:space="preserve">Yin, H., Zhao, Y., Zhang, L., Qiao, B., Chen, W. &amp; Wang, H. 2024, 'Attribute-based searchable encryption with decentralized key management for healthcare data sharing', </w:t>
      </w:r>
      <w:r>
        <w:rPr>
          <w:rFonts w:ascii="Times New Roman" w:cs="Times New Roman" w:eastAsia="Times New Roman" w:hAnsi="Times New Roman"/>
          <w:i/>
          <w:iCs/>
          <w:sz w:val="18"/>
          <w:szCs w:val="18"/>
        </w:rPr>
        <w:t xml:space="preserve">Journal of Systems Architecture</w:t>
      </w:r>
      <w:r>
        <w:rPr>
          <w:rFonts w:ascii="Times New Roman" w:cs="Times New Roman" w:eastAsia="Times New Roman" w:hAnsi="Times New Roman"/>
          <w:sz w:val="18"/>
          <w:szCs w:val="18"/>
        </w:rPr>
        <w:t xml:space="preserve">, vol. 148, p. 103081, &lt;https://doi.org/10.1016/j.sysarc.2024.103081&gt;.</w:t>
      </w:r>
    </w:p>
    <w:p>
      <w:pPr>
        <w:spacing w:after="80" w:line="240"/>
        <w:ind w:left="560" w:hanging="560"/>
        <w:jc w:val="left"/>
      </w:pPr>
      <w:r>
        <w:rPr>
          <w:rFonts w:ascii="Times New Roman" w:cs="Times New Roman" w:eastAsia="Times New Roman" w:hAnsi="Times New Roman"/>
          <w:sz w:val="18"/>
          <w:szCs w:val="18"/>
        </w:rPr>
        <w:t xml:space="preserve">Yin, J., Xiao, Y., Chen, Q., Lim, Y.Z., Liu, X., Pei, Q. et al. 2025, 'DP-DID: A dynamic and proactive decentralized identity system', </w:t>
      </w:r>
      <w:r>
        <w:rPr>
          <w:rFonts w:ascii="Times New Roman" w:cs="Times New Roman" w:eastAsia="Times New Roman" w:hAnsi="Times New Roman"/>
          <w:i/>
          <w:iCs/>
          <w:sz w:val="18"/>
          <w:szCs w:val="18"/>
        </w:rPr>
        <w:t xml:space="preserve">IEEE Transactions on Information Forensics and Security</w:t>
      </w:r>
      <w:r>
        <w:rPr>
          <w:rFonts w:ascii="Times New Roman" w:cs="Times New Roman" w:eastAsia="Times New Roman" w:hAnsi="Times New Roman"/>
          <w:sz w:val="18"/>
          <w:szCs w:val="18"/>
        </w:rPr>
        <w:t xml:space="preserve">, vol. 20, pp. 4999–5014, &lt;https://doi.org/10.1109/TIFS.2025.3561662&gt;.</w:t>
      </w:r>
    </w:p>
    <w:p>
      <w:pPr>
        <w:spacing w:after="80" w:line="240"/>
        <w:ind w:left="560" w:hanging="560"/>
        <w:jc w:val="left"/>
      </w:pPr>
      <w:r>
        <w:rPr>
          <w:rFonts w:ascii="Times New Roman" w:cs="Times New Roman" w:eastAsia="Times New Roman" w:hAnsi="Times New Roman"/>
          <w:sz w:val="18"/>
          <w:szCs w:val="18"/>
        </w:rPr>
        <w:t xml:space="preserve">Zhang, L., Kan, H. &amp; Huang, H. 2022, 'Patient-centered cross-enterprise document sharing and dynamic consent framework using consortium blockchain and ciphertext-policy attribute-based encryption', </w:t>
      </w:r>
      <w:r>
        <w:rPr>
          <w:rFonts w:ascii="Times New Roman" w:cs="Times New Roman" w:eastAsia="Times New Roman" w:hAnsi="Times New Roman"/>
          <w:i/>
          <w:iCs/>
          <w:sz w:val="18"/>
          <w:szCs w:val="18"/>
        </w:rPr>
        <w:t xml:space="preserve">Proceedings of the 19th ACM International Conference on Computing Frontiers (CF ’22)</w:t>
      </w:r>
      <w:r>
        <w:rPr>
          <w:rFonts w:ascii="Times New Roman" w:cs="Times New Roman" w:eastAsia="Times New Roman" w:hAnsi="Times New Roman"/>
          <w:sz w:val="18"/>
          <w:szCs w:val="18"/>
        </w:rPr>
        <w:t xml:space="preserve">, pp. 58–66, &lt;https://doi.org/10.1145/3528416.3530228&gt;.</w:t>
      </w:r>
    </w:p>
    <w:p>
      <w:pPr>
        <w:spacing w:after="80" w:line="240"/>
        <w:ind w:left="560" w:hanging="560"/>
        <w:jc w:val="left"/>
      </w:pPr>
      <w:r>
        <w:rPr>
          <w:rFonts w:ascii="Times New Roman" w:cs="Times New Roman" w:eastAsia="Times New Roman" w:hAnsi="Times New Roman"/>
          <w:sz w:val="18"/>
          <w:szCs w:val="18"/>
        </w:rPr>
        <w:t xml:space="preserve">Zhao, J. &amp; Su, Q. 2024, 'A threshold traceable delegation authorization scheme for data sharing in healthcare', </w:t>
      </w:r>
      <w:r>
        <w:rPr>
          <w:rFonts w:ascii="Times New Roman" w:cs="Times New Roman" w:eastAsia="Times New Roman" w:hAnsi="Times New Roman"/>
          <w:i/>
          <w:iCs/>
          <w:sz w:val="18"/>
          <w:szCs w:val="18"/>
        </w:rPr>
        <w:t xml:space="preserve">Computers &amp; Security</w:t>
      </w:r>
      <w:r>
        <w:rPr>
          <w:rFonts w:ascii="Times New Roman" w:cs="Times New Roman" w:eastAsia="Times New Roman" w:hAnsi="Times New Roman"/>
          <w:sz w:val="18"/>
          <w:szCs w:val="18"/>
        </w:rPr>
        <w:t xml:space="preserve">, vol. 139, p. 103686, &lt;https://doi.org/10.1016/j.cose.2023.103686&gt;.</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8551cc39b9baaa1e71e96e9de7e72e5b7299050b.png"/><Relationship Id="rId14" Type="http://schemas.openxmlformats.org/officeDocument/2006/relationships/image" Target="media/4f75743c835265daafdcbac66f2bdd6c1034f620.png"/><Relationship Id="rId15" Type="http://schemas.openxmlformats.org/officeDocument/2006/relationships/image" Target="media/03c920405551cc59ae0ad5edcc55300e0a8ed15e.png"/><Relationship Id="rId16" Type="http://schemas.openxmlformats.org/officeDocument/2006/relationships/image" Target="media/2b20591a43c6eb19bfdab74102d4f7f1165b386f.png"/><Relationship Id="rId17" Type="http://schemas.openxmlformats.org/officeDocument/2006/relationships/image" Target="media/11081a2422bebced6d030d22f0ebf13798832173.png"/><Relationship Id="rId18" Type="http://schemas.openxmlformats.org/officeDocument/2006/relationships/image" Target="media/fc5a6be7647fd964b300798307c832eee656672b.png"/><Relationship Id="rId19" Type="http://schemas.openxmlformats.org/officeDocument/2006/relationships/image" Target="media/7ce013ee8724e8dcb1576e7f068db7f8890e5be3.png"/><Relationship Id="rId20" Type="http://schemas.openxmlformats.org/officeDocument/2006/relationships/image" Target="media/f1f163df8a47e4df987495706c8e057d78128af6.png"/><Relationship Id="rId21" Type="http://schemas.openxmlformats.org/officeDocument/2006/relationships/image" Target="media/3f71846d42f224996eb357c7ac4f2281babf68df.png"/><Relationship Id="rId22" Type="http://schemas.openxmlformats.org/officeDocument/2006/relationships/image" Target="media/2bdcc233d9d5ad41e4df5ec32cccb0f936be6fdd.png"/><Relationship Id="rId23" Type="http://schemas.openxmlformats.org/officeDocument/2006/relationships/image" Target="media/3b43f208c34e619a9b1fcd7a8da9990014f117c8.png"/><Relationship Id="rId24" Type="http://schemas.openxmlformats.org/officeDocument/2006/relationships/image" Target="media/00d6986401b6325763b2855292d411f63286ea76.png"/><Relationship Id="rId25" Type="http://schemas.openxmlformats.org/officeDocument/2006/relationships/image" Target="media/e59b5686af22a06dff9cd4bfae93b397759ea42a.png"/><Relationship Id="rId26" Type="http://schemas.openxmlformats.org/officeDocument/2006/relationships/image" Target="media/551744d4db41183fe0c9b4d913479007233462c1.png"/><Relationship Id="rId27" Type="http://schemas.openxmlformats.org/officeDocument/2006/relationships/image" Target="media/379af060121c595b8dab938b017503bf01d94543.png"/><Relationship Id="rId28" Type="http://schemas.openxmlformats.org/officeDocument/2006/relationships/image" Target="media/8b0dede8cf949138f1ca18f2a0be3b9f91a5a8b2.png"/><Relationship Id="rId29" Type="http://schemas.openxmlformats.org/officeDocument/2006/relationships/image" Target="media/f0af766d9de14575067307b6f7dccaf71ca25b88.png"/><Relationship Id="rId30" Type="http://schemas.openxmlformats.org/officeDocument/2006/relationships/image" Target="media/32a920cb8d148805391dcda55782af93c6edfd51.png"/><Relationship Id="rId31" Type="http://schemas.openxmlformats.org/officeDocument/2006/relationships/image" Target="media/06dd8d4f71199a2b46751bf3ced20974c9f60efc.png"/><Relationship Id="rId32" Type="http://schemas.openxmlformats.org/officeDocument/2006/relationships/image" Target="media/4315c9b43325fa22d4a470efde68b53ff388ded2.png"/><Relationship Id="rId33" Type="http://schemas.openxmlformats.org/officeDocument/2006/relationships/image" Target="media/9cb74c21136b6eec65353d28ee54d88601225eab.png"/><Relationship Id="rId34" Type="http://schemas.openxmlformats.org/officeDocument/2006/relationships/image" Target="media/1cde75c3ba6eefdc88f22c3d35398d022b2cb385.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2026-10-07T09:32:58.516Z</dcterms:created>
  <dcterms:modified xsi:type="dcterms:W3CDTF">2026-10-07T09:32:58.516Z</dcterms:modified>
</cp:coreProperties>
</file>

<file path=docProps/custom.xml><?xml version="1.0" encoding="utf-8"?>
<Properties xmlns="http://schemas.openxmlformats.org/officeDocument/2006/custom-properties" xmlns:vt="http://schemas.openxmlformats.org/officeDocument/2006/docPropsVTypes"/>
</file>