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Override PartName="/word/media/rId86.png" ContentType="image/png"/>
  <Override PartName="/word/media/rId93.png" ContentType="image/png"/>
  <Override PartName="/word/media/rId100.png" ContentType="image/png"/>
  <Override PartName="/word/media/rId107.png" ContentType="image/png"/>
  <Override PartName="/word/media/rId114.png" ContentType="image/png"/>
  <Override PartName="/word/media/rId121.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3419856" cy="7671897"/>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 Authorisation Workflow</w:t>
      </w:r>
    </w:p>
    <w:p>
      <w:pPr>
        <w:pStyle w:val="FirstParagraph"/>
      </w:pPr>
      <w:r>
        <w:t xml:space="preserve">Figure 6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6: End-to-End Workflow of Trust-Oriented Consent 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6: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workflow(Figure 7)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13 (Section 7.2). The implementation also collects the start and expiry time of the consent.</w:t>
      </w:r>
    </w:p>
    <w:p>
      <w:pPr>
        <w:pStyle w:val="CaptionedFigure"/>
      </w:pPr>
      <w:r>
        <w:drawing>
          <wp:inline>
            <wp:extent cx="3593592" cy="7675998"/>
            <wp:effectExtent b="0" l="0" r="0" t="0"/>
            <wp:docPr descr="Figure 7: RO1 workflow for trust-centric consent creation" title="" id="87" name="Picture"/>
            <a:graphic>
              <a:graphicData uri="http://schemas.openxmlformats.org/drawingml/2006/picture">
                <pic:pic>
                  <pic:nvPicPr>
                    <pic:cNvPr descr="media_col/fig07.png" id="88" name="Picture"/>
                    <pic:cNvPicPr>
                      <a:picLocks noChangeArrowheads="1" noChangeAspect="1"/>
                    </pic:cNvPicPr>
                  </pic:nvPicPr>
                  <pic:blipFill>
                    <a:blip r:embed="rId86"/>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6" w:name="X40f13bf52dbab2e76356a6753423f1584e794fb"/>
    <w:p>
      <w:pPr>
        <w:pStyle w:val="Heading3"/>
      </w:pPr>
      <w:r>
        <w:t xml:space="preserve">6.2.1 RO2 Identity and Authority Verification Workflow</w:t>
      </w:r>
    </w:p>
    <w:p>
      <w:pPr>
        <w:pStyle w:val="FirstParagraph"/>
      </w:pPr>
      <w:r>
        <w:t xml:space="preserve">The workflow, shown in Figure 8,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8: RO2 workflow for decentralised identity and authority verification" title="" id="94" name="Picture"/>
            <a:graphic>
              <a:graphicData uri="http://schemas.openxmlformats.org/drawingml/2006/picture">
                <pic:pic>
                  <pic:nvPicPr>
                    <pic:cNvPr descr="media_col/fig08.png" id="95" name="Picture"/>
                    <pic:cNvPicPr>
                      <a:picLocks noChangeArrowheads="1" noChangeAspect="1"/>
                    </pic:cNvPicPr>
                  </pic:nvPicPr>
                  <pic:blipFill>
                    <a:blip r:embed="rId93"/>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6"/>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3" w:name="ro3-multi-party-authorisation-workflow"/>
    <w:p>
      <w:pPr>
        <w:pStyle w:val="Heading3"/>
      </w:pPr>
      <w:r>
        <w:t xml:space="preserve">6.3.1 RO3 Multi-Party Authorisation Workflow</w:t>
      </w:r>
    </w:p>
    <w:p>
      <w:pPr>
        <w:pStyle w:val="FirstParagraph"/>
      </w:pPr>
      <w:r>
        <w:t xml:space="preserve">The workflow, shown in Figure 9,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9: RO3 workflow for threshold-based multi-party authorisation" title="" id="101" name="Picture"/>
            <a:graphic>
              <a:graphicData uri="http://schemas.openxmlformats.org/drawingml/2006/picture">
                <pic:pic>
                  <pic:nvPicPr>
                    <pic:cNvPr descr="media_col/fig09.png" id="102" name="Picture"/>
                    <pic:cNvPicPr>
                      <a:picLocks noChangeArrowheads="1" noChangeAspect="1"/>
                    </pic:cNvPicPr>
                  </pic:nvPicPr>
                  <pic:blipFill>
                    <a:blip r:embed="rId100"/>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BodyText"/>
      </w:pPr>
      <w: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3"/>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10" w:name="ro4-policy-aware-access-workflow"/>
    <w:p>
      <w:pPr>
        <w:pStyle w:val="Heading3"/>
      </w:pPr>
      <w:r>
        <w:t xml:space="preserve">6.4.1 RO4 Policy-Aware Access Workflow</w:t>
      </w:r>
    </w:p>
    <w:p>
      <w:pPr>
        <w:pStyle w:val="FirstParagraph"/>
      </w:pPr>
      <w:r>
        <w:t xml:space="preserve">The workflow, shown in Figure 10,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10: RO4 workflow for policy- and context-aware access control" title="" id="108" name="Picture"/>
            <a:graphic>
              <a:graphicData uri="http://schemas.openxmlformats.org/drawingml/2006/picture">
                <pic:pic>
                  <pic:nvPicPr>
                    <pic:cNvPr descr="media_col/fig10.png" id="109" name="Picture"/>
                    <pic:cNvPicPr>
                      <a:picLocks noChangeArrowheads="1" noChangeAspect="1"/>
                    </pic:cNvPicPr>
                  </pic:nvPicPr>
                  <pic:blipFill>
                    <a:blip r:embed="rId107"/>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15–16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bookmarkEnd w:id="110"/>
    <w:bookmarkStart w:id="111"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7" w:name="ro5-temporal-and-lifecycle-workflow"/>
    <w:p>
      <w:pPr>
        <w:pStyle w:val="Heading3"/>
      </w:pPr>
      <w:r>
        <w:t xml:space="preserve">6.5.1 RO5 Temporal and Lifecycle Workflow</w:t>
      </w:r>
    </w:p>
    <w:p>
      <w:pPr>
        <w:pStyle w:val="FirstParagraph"/>
      </w:pPr>
      <w:r>
        <w:t xml:space="preserve">The planned workflow, shown in Figure 11,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11: RO5 planned workflow for temporal and consent lifecycle trust" title="" id="115" name="Picture"/>
            <a:graphic>
              <a:graphicData uri="http://schemas.openxmlformats.org/drawingml/2006/picture">
                <pic:pic>
                  <pic:nvPicPr>
                    <pic:cNvPr descr="media_col/fig11.png" id="116" name="Picture"/>
                    <pic:cNvPicPr>
                      <a:picLocks noChangeArrowheads="1" noChangeAspect="1"/>
                    </pic:cNvPicPr>
                  </pic:nvPicPr>
                  <pic:blipFill>
                    <a:blip r:embed="rId114"/>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7"/>
    <w:bookmarkStart w:id="118"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8"/>
    <w:bookmarkStart w:id="119"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24" w:name="ro6-assurance-and-validation-workflow"/>
    <w:p>
      <w:pPr>
        <w:pStyle w:val="Heading3"/>
      </w:pPr>
      <w:r>
        <w:t xml:space="preserve">6.6.1 RO6 Assurance and Validation Workflow</w:t>
      </w:r>
    </w:p>
    <w:p>
      <w:pPr>
        <w:pStyle w:val="FirstParagraph"/>
      </w:pPr>
      <w:r>
        <w:t xml:space="preserve">The validation process, shown in Figure 12,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12: RO6 planned workflow for formal security assurance and empirical validation" title="" id="122" name="Picture"/>
            <a:graphic>
              <a:graphicData uri="http://schemas.openxmlformats.org/drawingml/2006/picture">
                <pic:pic>
                  <pic:nvPicPr>
                    <pic:cNvPr descr="media_col/fig12.png" id="123" name="Picture"/>
                    <pic:cNvPicPr>
                      <a:picLocks noChangeArrowheads="1" noChangeAspect="1"/>
                    </pic:cNvPicPr>
                  </pic:nvPicPr>
                  <pic:blipFill>
                    <a:blip r:embed="rId121"/>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24"/>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8"/>
    <w:bookmarkEnd w:id="129"/>
    <w:bookmarkStart w:id="161"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0"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13: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4"/>
    <w:bookmarkStart w:id="138"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14: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8"/>
    <w:bookmarkStart w:id="145"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15: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16: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5"/>
    <w:bookmarkStart w:id="149"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17: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9"/>
    <w:bookmarkStart w:id="150"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0"/>
    <w:bookmarkStart w:id="151"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18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18: HALAH prototype workflow from consent creation to audited access decision" title="" id="155" name="Picture"/>
            <a:graphic>
              <a:graphicData uri="http://schemas.openxmlformats.org/drawingml/2006/picture">
                <pic:pic>
                  <pic:nvPicPr>
                    <pic:cNvPr descr="media_col/fig_halah.png" id="156" name="Picture"/>
                    <pic:cNvPicPr>
                      <a:picLocks noChangeArrowheads="1" noChangeAspect="1"/>
                    </pic:cNvPicPr>
                  </pic:nvPicPr>
                  <pic:blipFill>
                    <a:blip r:embed="rId154"/>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18: HALAH prototype workflow from consent creation to audited access decision</w:t>
      </w:r>
    </w:p>
    <w:bookmarkEnd w:id="157"/>
    <w:bookmarkStart w:id="158"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9"/>
    <w:bookmarkStart w:id="160" w:name="implementation-status-and-limitations"/>
    <w:p>
      <w:pPr>
        <w:pStyle w:val="Heading2"/>
      </w:pPr>
      <w:r>
        <w:t xml:space="preserve">7.13 Implementation Status and Limitations</w:t>
      </w:r>
    </w:p>
    <w:p>
      <w:pPr>
        <w:pStyle w:val="FirstParagraph"/>
      </w:pPr>
      <w: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60"/>
    <w:bookmarkEnd w:id="161"/>
    <w:bookmarkStart w:id="168" w:name="current-progress-status"/>
    <w:p>
      <w:pPr>
        <w:pStyle w:val="Heading1"/>
      </w:pPr>
      <w:r>
        <w:t xml:space="preserve">8 Current Progress Status</w:t>
      </w:r>
    </w:p>
    <w:bookmarkStart w:id="162"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2"/>
    <w:bookmarkStart w:id="163"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14;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15–16,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65"/>
    <w:bookmarkStart w:id="166"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image" Id="rId154" Target="media/rId1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2026-09-29T05:26:42Z</dcterms:created>
  <dcterms:modified xsi:type="dcterms:W3CDTF">2026-09-29T05:26:42Z</dcterms:modified>
</cp:coreProperties>
</file>

<file path=docProps/custom.xml><?xml version="1.0" encoding="utf-8"?>
<Properties xmlns="http://schemas.openxmlformats.org/officeDocument/2006/custom-properties" xmlns:vt="http://schemas.openxmlformats.org/officeDocument/2006/docPropsVTypes"/>
</file>