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135.png" ContentType="image/png"/>
  <Override PartName="/word/media/rId139.png" ContentType="image/png"/>
  <Override PartName="/word/media/rId142.png" ContentType="image/png"/>
  <Override PartName="/word/media/rId146.png" ContentType="image/png"/>
  <Override PartName="/word/media/rId16.png" ContentType="image/png"/>
  <Override PartName="/word/media/rId22.png" ContentType="image/png"/>
  <Override PartName="/word/media/rId58.png" ContentType="image/png"/>
  <Override PartName="/word/media/rId61.png" ContentType="image/png"/>
  <Override PartName="/word/media/rId65.png" ContentType="image/png"/>
  <Override PartName="/word/media/rId72.png" ContentType="image/png"/>
  <Override PartName="/word/media/rId86.png" ContentType="image/png"/>
  <Override PartName="/word/media/rId93.png" ContentType="image/png"/>
  <Override PartName="/word/media/rId100.png" ContentType="image/png"/>
  <Override PartName="/word/media/rId107.png" ContentType="image/png"/>
  <Override PartName="/word/media/rId114.png" ContentType="image/png"/>
  <Override PartName="/word/media/rId121.png" ContentType="image/png"/>
  <Override PartName="/word/media/rId1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w:t>
      </w:r>
      <w:r>
        <w:t xml:space="preserve"> </w:t>
      </w:r>
      <w:r>
        <w:rPr>
          <w:rStyle w:val="DeletedText"/>
        </w:rPr>
        <w:t xml:space="preserve">Authorization</w:t>
      </w:r>
      <w:r>
        <w:rPr>
          <w:rStyle w:val="InsertedText"/>
        </w:rPr>
        <w:t xml:space="preserve">Authorisation</w:t>
      </w:r>
      <w:r>
        <w:t xml:space="preserve"> </w:t>
      </w:r>
      <w:r>
        <w:t xml:space="preserve">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rPr>
          <w:rStyle w:val="DeletedText"/>
        </w:rPr>
        <w:t xml:space="preserve">August 2026</w:t>
      </w:r>
      <w:r>
        <w:rPr>
          <w:rStyle w:val="InsertedText"/>
        </w:rPr>
        <w:t xml:space="preserve">September 2026</w:t>
      </w:r>
    </w:p>
    <w:p>
      <w:pPr>
        <w:pStyle w:val="ReviewerNotePara"/>
      </w:pPr>
      <w:r>
        <w:rPr>
          <w:rStyle w:val="ReviewerNote"/>
        </w:rPr>
        <w:t xml:space="preserve">RED-LINE REVISION (28 September 2026). Black = original text, unchanged. Red strikethrough = delete. Red = add or replace. Red italic highlighted = instruction to the author. Chapter 7 (HALAH System and Workflow) is new: it inserts the HALAH implementation document without changing its text. The companion file</w:t>
      </w:r>
      <w:r>
        <w:rPr>
          <w:rStyle w:val="ReviewerNote"/>
        </w:rPr>
        <w:t xml:space="preserve"> </w:t>
      </w:r>
      <w:r>
        <w:rPr>
          <w:rStyle w:val="ReviewerNote"/>
        </w:rPr>
        <w:t xml:space="preserve">‘CLEAN’</w:t>
      </w:r>
      <w:r>
        <w:rPr>
          <w:rStyle w:val="ReviewerNote"/>
        </w:rPr>
        <w:t xml:space="preserve"> </w:t>
      </w:r>
      <w:r>
        <w:rPr>
          <w:rStyle w:val="ReviewerNote"/>
        </w:rPr>
        <w:t xml:space="preserve">has every change applied. Figure and equation numbers are kept here so that every change can be traced; the CLEAN version renumbers them automatically. After editing in Word, right-click the table of contents and choose Update Field.</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bookmarkStart w:id="12"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pStyle w:val="BodyText"/>
      </w:pPr>
      <w: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InsertedPara"/>
      </w:pPr>
      <w:r>
        <w:rPr>
          <w:rStyle w:val="InsertedText"/>
          <w:b/>
          <w:bCs/>
        </w:rPr>
        <w:t xml:space="preserve">Australian regulatory context.</w:t>
      </w:r>
      <w:r>
        <w:rPr>
          <w:rStyle w:val="InsertedText"/>
        </w:rPr>
        <w:t xml:space="preserve"> </w:t>
      </w:r>
      <w:r>
        <w:rPr>
          <w:rStyle w:val="InsertedText"/>
        </w:rPr>
        <w:t xml:space="preserve">In Australia, health information is classified as</w:t>
      </w:r>
      <w:r>
        <w:rPr>
          <w:rStyle w:val="InsertedText"/>
        </w:rPr>
        <w:t xml:space="preserve"> </w:t>
      </w:r>
      <w:r>
        <w:rPr>
          <w:rStyle w:val="InsertedText"/>
          <w:i/>
          <w:iCs/>
        </w:rPr>
        <w:t xml:space="preserve">sensitive information</w:t>
      </w:r>
      <w:r>
        <w:rPr>
          <w:rStyle w:val="InsertedText"/>
        </w:rPr>
        <w:t xml:space="preserve"> </w:t>
      </w:r>
      <w:r>
        <w:rPr>
          <w:rStyle w:val="InsertedText"/>
        </w:rPr>
        <w:t xml:space="preserve">under the</w:t>
      </w:r>
      <w:r>
        <w:rPr>
          <w:rStyle w:val="InsertedText"/>
        </w:rPr>
        <w:t xml:space="preserve"> </w:t>
      </w:r>
      <w:r>
        <w:rPr>
          <w:rStyle w:val="InsertedText"/>
          <w:i/>
          <w:iCs/>
        </w:rPr>
        <w:t xml:space="preserve">Privacy Act 1988</w:t>
      </w:r>
      <w:r>
        <w:rPr>
          <w:rStyle w:val="InsertedText"/>
        </w:rPr>
        <w:t xml:space="preserve"> </w:t>
      </w:r>
      <w:r>
        <w:rPr>
          <w:rStyle w:val="InsertedText"/>
        </w:rPr>
        <w:t xml:space="preserve">(Cth) [34]. Under the Australian Privacy Principles (APPs), sensitive information may generally be collected only with the individual’s consent (APP 3), and may be used or disclosed only for the primary purpose of collection, or for a directly related secondary purpose that the individual would reasonably expect, unless another exception applies (APP 6). The</w:t>
      </w:r>
      <w:r>
        <w:rPr>
          <w:rStyle w:val="InsertedText"/>
        </w:rPr>
        <w:t xml:space="preserve"> </w:t>
      </w:r>
      <w:r>
        <w:rPr>
          <w:rStyle w:val="InsertedText"/>
          <w:i/>
          <w:iCs/>
        </w:rPr>
        <w:t xml:space="preserve">My Health Records Act 2012</w:t>
      </w:r>
      <w:r>
        <w:rPr>
          <w:rStyle w:val="InsertedText"/>
        </w:rPr>
        <w:t xml:space="preserve"> </w:t>
      </w:r>
      <w:r>
        <w:rPr>
          <w:rStyle w:val="InsertedText"/>
        </w:rPr>
        <w:t xml:space="preserve">(Cth) [35] additionally allows consumers to control which healthcare provider organisations can access their record or particular documents, and the</w:t>
      </w:r>
      <w:r>
        <w:rPr>
          <w:rStyle w:val="InsertedText"/>
        </w:rPr>
        <w:t xml:space="preserve"> </w:t>
      </w:r>
      <w:r>
        <w:rPr>
          <w:rStyle w:val="InsertedText"/>
          <w:i/>
          <w:iCs/>
        </w:rPr>
        <w:t xml:space="preserve">Healthcare Identifiers Act 2010</w:t>
      </w:r>
      <w:r>
        <w:rPr>
          <w:rStyle w:val="InsertedText"/>
        </w:rPr>
        <w:t xml:space="preserve"> </w:t>
      </w:r>
      <w:r>
        <w:rPr>
          <w:rStyle w:val="InsertedText"/>
        </w:rPr>
        <w:t xml:space="preserve">(Cth) [36] governs the national identifiers used for individuals (IHI), practitioners (HPI-I) and organisations (HPI-O). These instruments illustrate, in a concrete jurisdiction, the three conditions examined in this research: verified identity, patient-controlled authority over disclosure, and purpose- and scope-limited use. The HALAH prototype (Chapter 7) reflects this context through purpose-bound consent, module-level data scope and an explicit jurisdiction attribute (default</w:t>
      </w:r>
      <w:r>
        <w:rPr>
          <w:rStyle w:val="InsertedText"/>
        </w:rPr>
        <w:t xml:space="preserve"> </w:t>
      </w:r>
      <w:r>
        <w:rPr>
          <w:rStyle w:val="InsertedText"/>
        </w:rPr>
        <w:t xml:space="preserve">‘AU’</w:t>
      </w:r>
      <w:r>
        <w:rPr>
          <w:rStyle w:val="InsertedText"/>
        </w:rPr>
        <w:t xml:space="preserve">).</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w:t>
      </w:r>
      <w:r>
        <w:t xml:space="preserve"> </w:t>
      </w:r>
      <w:r>
        <w:rPr>
          <w:i/>
          <w:iCs/>
        </w:rPr>
        <w:t xml:space="preserve">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r>
        <w:t xml:space="preserve"> </w:t>
      </w:r>
      <w:r>
        <w:rPr>
          <w:rStyle w:val="InsertedText"/>
        </w:rPr>
        <w:t xml:space="preserve">In this report, the</w:t>
      </w:r>
      <w:r>
        <w:rPr>
          <w:rStyle w:val="InsertedText"/>
        </w:rPr>
        <w:t xml:space="preserve"> </w:t>
      </w:r>
      <w:r>
        <w:rPr>
          <w:rStyle w:val="InsertedText"/>
          <w:i/>
          <w:iCs/>
        </w:rPr>
        <w:t xml:space="preserve">current stage</w:t>
      </w:r>
      <w:r>
        <w:rPr>
          <w:rStyle w:val="InsertedText"/>
        </w:rPr>
        <w:t xml:space="preserve"> </w:t>
      </w:r>
      <w:r>
        <w:rPr>
          <w:rStyle w:val="InsertedText"/>
        </w:rPr>
        <w:t xml:space="preserve">refers to Stage 1 (CA2: RO1–RO4) and the</w:t>
      </w:r>
      <w:r>
        <w:rPr>
          <w:rStyle w:val="InsertedText"/>
        </w:rPr>
        <w:t xml:space="preserve"> </w:t>
      </w:r>
      <w:r>
        <w:rPr>
          <w:rStyle w:val="InsertedText"/>
          <w:i/>
          <w:iCs/>
        </w:rPr>
        <w:t xml:space="preserve">next stage</w:t>
      </w:r>
      <w:r>
        <w:rPr>
          <w:rStyle w:val="InsertedText"/>
        </w:rPr>
        <w:t xml:space="preserve"> </w:t>
      </w:r>
      <w:r>
        <w:rPr>
          <w:rStyle w:val="InsertedText"/>
        </w:rPr>
        <w:t xml:space="preserve">to Stage 2 (CA3: RO5–RO6).</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rPr>
          <w:rStyle w:val="DeletedText"/>
        </w:rPr>
        <w:t xml:space="preserve">The subsequent next stage research</w:t>
      </w:r>
      <w:r>
        <w:rPr>
          <w:rStyle w:val="InsertedText"/>
        </w:rPr>
        <w:t xml:space="preserve">The next-stage (CA3) research</w:t>
      </w:r>
      <w:r>
        <w:t xml:space="preserve"> </w:t>
      </w:r>
      <w:r>
        <w:t xml:space="preserve">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rPr>
          <w:rStyle w:val="DeletedText"/>
        </w:rPr>
        <w:t xml:space="preserve">next stage will also investigate</w:t>
      </w:r>
      <w:r>
        <w:rPr>
          <w:rStyle w:val="InsertedText"/>
        </w:rPr>
        <w:t xml:space="preserve">The next stage will also investigate</w:t>
      </w:r>
      <w:r>
        <w:t xml:space="preserve"> </w:t>
      </w:r>
      <w:r>
        <w:t xml:space="preserve">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pStyle w:val="BodyText"/>
      </w:pPr>
      <w:r>
        <w:t xml:space="preserve">This separation establishes a clear progression between the current and subsequent stages of the</w:t>
      </w:r>
      <w:r>
        <w:t xml:space="preserve"> </w:t>
      </w:r>
      <w:r>
        <w:rPr>
          <w:rStyle w:val="DeletedText"/>
        </w:rPr>
        <w:t xml:space="preserve">research. current research is concerned</w:t>
      </w:r>
      <w:r>
        <w:rPr>
          <w:rStyle w:val="InsertedText"/>
        </w:rPr>
        <w:t xml:space="preserve">research. The current research is concerned</w:t>
      </w:r>
      <w:r>
        <w:t xml:space="preserve"> </w:t>
      </w:r>
      <w:r>
        <w:t xml:space="preserve">primarily with establishing the conceptual and technical foundations through which trustworthy multi-party authorisation can be constructed.</w:t>
      </w:r>
      <w:r>
        <w:t xml:space="preserve"> </w:t>
      </w:r>
      <w:r>
        <w:rPr>
          <w:rStyle w:val="DeletedText"/>
        </w:rPr>
        <w:t xml:space="preserve">Next stage will build upon</w:t>
      </w:r>
      <w:r>
        <w:rPr>
          <w:rStyle w:val="InsertedText"/>
        </w:rPr>
        <w:t xml:space="preserve">The next stage will build upon</w:t>
      </w:r>
      <w:r>
        <w:t xml:space="preserve"> </w:t>
      </w:r>
      <w:r>
        <w:t xml:space="preserve">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 Research Scope and Progression</w:t>
      </w:r>
    </w:p>
    <w:tbl>
      <w:tblPr>
        <w:tblStyle w:val="Table"/>
        <w:tblW w:type="pct" w:w="5000"/>
        <w:tblLayout w:type="fixed"/>
        <w:tblLook w:firstRow="1" w:lastRow="0" w:firstColumn="0" w:lastColumn="0" w:noHBand="0" w:noVBand="0" w:val="0020"/>
        <w:tblCaption w:val="Table 1: Research Scope and Progression"/>
      </w:tblPr>
      <w:tblGrid>
        <w:gridCol w:w="1092"/>
        <w:gridCol w:w="2093"/>
        <w:gridCol w:w="473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Modelling</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Authorisation</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End w:id="12"/>
    <w:bookmarkStart w:id="38" w:name="systematic-literature-review"/>
    <w:p>
      <w:pPr>
        <w:pStyle w:val="Heading1"/>
      </w:pPr>
      <w:r>
        <w:t xml:space="preserve">2 Systematic Literature Review</w:t>
      </w:r>
    </w:p>
    <w:bookmarkStart w:id="13" w:name="overview"/>
    <w:p>
      <w:pPr>
        <w:pStyle w:val="Heading2"/>
      </w:pPr>
      <w:r>
        <w:t xml:space="preserve">2.1 Overview</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End w:id="13"/>
    <w:bookmarkStart w:id="28" w:name="systematic-literature-review-methodology"/>
    <w:p>
      <w:pPr>
        <w:pStyle w:val="Heading2"/>
      </w:pPr>
      <w:r>
        <w:t xml:space="preserve">2.2 Systematic Literature Review Methodology</w:t>
      </w:r>
    </w:p>
    <w:p>
      <w:pPr>
        <w:pStyle w:val="DeletedPara"/>
      </w:pPr>
      <w:r>
        <w:rPr>
          <w:rStyle w:val="DeletedText"/>
        </w:rPr>
        <w:t xml:space="preserve">Based on the provided list of 33 references (spanning years 2022 to 2026, with a focus on blockchain, decentralized identity, verifiable credentials, healthcare access control, and consent management), the text has been adjusted to accurately reflect this contemporary literature corpus.</w:t>
      </w:r>
    </w:p>
    <w:p>
      <w:pPr>
        <w:pStyle w:val="DeletedPara"/>
      </w:pPr>
      <w:r>
        <w:rPr>
          <w:rStyle w:val="DeletedText"/>
        </w:rPr>
        <w:t xml:space="preserve">Specifically, references [1, 2, 3, 7, 9, 11, 12, 13, 14, 21, 22, 24, 28, 31, 32] anchor the healthcare data sharing, consent, and access control aspects, while [4, 5, 10, 15, 16, 20, 23, 25, 27, 33] support the decentralized identifiers (DIDs), verifiable credentials (VCs), and trust architecture dimensions. Furthermore, the final inclusion count in the screening section has been aligned with the scope of the provided bibliography.</w:t>
      </w:r>
    </w:p>
    <w:p>
      <w:pPr>
        <w:pStyle w:val="InsertedPara"/>
      </w:pPr>
      <w:r>
        <w:rPr>
          <w:rStyle w:val="InsertedText"/>
        </w:rPr>
        <w:t xml:space="preserve">This review followed the Preferred Reporting Items for Systematic Reviews and Meta-Analyses (PRISMA 2020) reporting guideline [37].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 Sections 2.2.1–2.2.8, and the resulting study selection is summarised in Figure 2.</w:t>
      </w:r>
    </w:p>
    <w:bookmarkStart w:id="14" w:name="review-design-and-reporting-framework"/>
    <w:p>
      <w:pPr>
        <w:pStyle w:val="Heading3"/>
      </w:pPr>
      <w:r>
        <w:t xml:space="preserve">2.2.1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w:t>
      </w:r>
      <w:r>
        <w:t xml:space="preserve"> </w:t>
      </w:r>
      <w:r>
        <w:rPr>
          <w:rStyle w:val="DeletedText"/>
        </w:rPr>
        <w:t xml:space="preserve">decentralized</w:t>
      </w:r>
      <w:r>
        <w:rPr>
          <w:rStyle w:val="InsertedText"/>
        </w:rPr>
        <w:t xml:space="preserve">decentralised</w:t>
      </w:r>
      <w:r>
        <w:t xml:space="preserve"> </w:t>
      </w:r>
      <w:r>
        <w:t xml:space="preserve">identity, privacy-preserving access control, and auditability. The review was designed to establish the conceptual and technical foundations of the</w:t>
      </w:r>
      <w:r>
        <w:t xml:space="preserve"> </w:t>
      </w:r>
      <w:r>
        <w:rPr>
          <w:rStyle w:val="DeletedText"/>
        </w:rPr>
        <w:t xml:space="preserve">research and thus proposed framework</w:t>
      </w:r>
      <w:r>
        <w:rPr>
          <w:rStyle w:val="InsertedText"/>
        </w:rPr>
        <w:t xml:space="preserve">research and the proposed framework</w:t>
      </w:r>
      <w:r>
        <w:t xml:space="preserve">,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w:t>
      </w:r>
      <w:r>
        <w:t xml:space="preserve"> </w:t>
      </w:r>
      <w:r>
        <w:rPr>
          <w:rStyle w:val="DeletedText"/>
        </w:rPr>
        <w:t xml:space="preserve">authorization</w:t>
      </w:r>
      <w:r>
        <w:rPr>
          <w:rStyle w:val="InsertedText"/>
        </w:rPr>
        <w:t xml:space="preserve">authorisation</w:t>
      </w:r>
      <w:r>
        <w:t xml:space="preserve"> </w:t>
      </w:r>
      <w:r>
        <w:t xml:space="preserve">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r>
        <w:t xml:space="preserve"> </w:t>
      </w:r>
      <w:r>
        <w:rPr>
          <w:rStyle w:val="InsertedText"/>
        </w:rPr>
        <w:t xml:space="preserve">The quality assessment is described in Section 2.2.8.</w:t>
      </w:r>
    </w:p>
    <w:bookmarkEnd w:id="14"/>
    <w:bookmarkStart w:id="15" w:name="questions-for-review"/>
    <w:p>
      <w:pPr>
        <w:pStyle w:val="Heading3"/>
      </w:pPr>
      <w:r>
        <w:t xml:space="preserve">2.2.2 Questions for Review</w:t>
      </w:r>
    </w:p>
    <w:p>
      <w:pPr>
        <w:pStyle w:val="FirstParagraph"/>
      </w:pPr>
      <w:r>
        <w:t xml:space="preserve">This systematic literature review (SLR) is</w:t>
      </w:r>
      <w:r>
        <w:t xml:space="preserve"> </w:t>
      </w:r>
      <w:r>
        <w:rPr>
          <w:rStyle w:val="DeletedText"/>
        </w:rPr>
        <w:t xml:space="preserve">guided by the following questions</w:t>
      </w:r>
      <w:r>
        <w:rPr>
          <w:rStyle w:val="InsertedText"/>
        </w:rPr>
        <w:t xml:space="preserve">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w:t>
      </w:r>
      <w:r>
        <w:t xml:space="preserve"> </w:t>
      </w:r>
      <w:r>
        <w:rPr>
          <w:rStyle w:val="DeletedText"/>
        </w:rPr>
        <w:t xml:space="preserve">decentralized</w:t>
      </w:r>
      <w:r>
        <w:rPr>
          <w:rStyle w:val="InsertedText"/>
        </w:rPr>
        <w:t xml:space="preserve">decentralised</w:t>
      </w:r>
      <w:r>
        <w:t xml:space="preserve"> </w:t>
      </w:r>
      <w:r>
        <w:t xml:space="preserve">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5"/>
    <w:bookmarkStart w:id="19" w:name="search-databases-and-search-strategy"/>
    <w:p>
      <w:pPr>
        <w:pStyle w:val="Heading3"/>
      </w:pPr>
      <w:r>
        <w:t xml:space="preserve">2.2.3 Search Databases and Search Strategy</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w:t>
      </w:r>
      <w:r>
        <w:t xml:space="preserve"> </w:t>
      </w:r>
      <w:r>
        <w:rPr>
          <w:rStyle w:val="DeletedText"/>
        </w:rPr>
        <w:t xml:space="preserve">decentralized</w:t>
      </w:r>
      <w:r>
        <w:rPr>
          <w:rStyle w:val="InsertedText"/>
        </w:rPr>
        <w:t xml:space="preserve">decentralised</w:t>
      </w:r>
      <w:r>
        <w:t xml:space="preserve"> </w:t>
      </w:r>
      <w:r>
        <w:t xml:space="preserve">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w:t>
      </w:r>
      <w:r>
        <w:t xml:space="preserve"> </w:t>
      </w:r>
      <w:r>
        <w:rPr>
          <w:rStyle w:val="DeletedText"/>
        </w:rPr>
        <w:t xml:space="preserve">decentralized</w:t>
      </w:r>
      <w:r>
        <w:rPr>
          <w:rStyle w:val="InsertedText"/>
        </w:rPr>
        <w:t xml:space="preserve">decentralised</w:t>
      </w:r>
      <w:r>
        <w:t xml:space="preserve"> </w:t>
      </w:r>
      <w:r>
        <w:t xml:space="preserve">identity, access control, privacy, and auditability. The general search string was defined as shown in Figure 1.</w:t>
      </w:r>
    </w:p>
    <w:p>
      <w:pPr>
        <w:pStyle w:val="CaptionedFigure"/>
      </w:pPr>
      <w:r>
        <w:drawing>
          <wp:inline>
            <wp:extent cx="5465445" cy="3370858"/>
            <wp:effectExtent b="0" l="0" r="0" t="0"/>
            <wp:docPr descr="Figure 1: SLR Search String Definition" title="" id="17" name="Picture"/>
            <a:graphic>
              <a:graphicData uri="http://schemas.openxmlformats.org/drawingml/2006/picture">
                <pic:pic>
                  <pic:nvPicPr>
                    <pic:cNvPr descr="media/fig01.png" id="18" name="Picture"/>
                    <pic:cNvPicPr>
                      <a:picLocks noChangeArrowheads="1" noChangeAspect="1"/>
                    </pic:cNvPicPr>
                  </pic:nvPicPr>
                  <pic:blipFill>
                    <a:blip r:embed="rId16"/>
                    <a:stretch>
                      <a:fillRect/>
                    </a:stretch>
                  </pic:blipFill>
                  <pic:spPr bwMode="auto">
                    <a:xfrm>
                      <a:off x="0" y="0"/>
                      <a:ext cx="5465445" cy="3370858"/>
                    </a:xfrm>
                    <a:prstGeom prst="rect">
                      <a:avLst/>
                    </a:prstGeom>
                    <a:noFill/>
                    <a:ln w="9525">
                      <a:noFill/>
                      <a:headEnd/>
                      <a:tailEnd/>
                    </a:ln>
                  </pic:spPr>
                </pic:pic>
              </a:graphicData>
            </a:graphic>
          </wp:inline>
        </w:drawing>
      </w:r>
    </w:p>
    <w:p>
      <w:pPr>
        <w:pStyle w:val="ImageCaption"/>
      </w:pPr>
      <w:r>
        <w:t xml:space="preserve">Figure 1: SLR Search String Definition</w:t>
      </w:r>
    </w:p>
    <w:bookmarkEnd w:id="19"/>
    <w:bookmarkStart w:id="20" w:name="search-period-and-search-execution"/>
    <w:p>
      <w:pPr>
        <w:pStyle w:val="Heading3"/>
      </w:pPr>
      <w:r>
        <w:t xml:space="preserve">2.2.4 Search Period and Search Execution</w:t>
      </w:r>
    </w:p>
    <w:p>
      <w:pPr>
        <w:pStyle w:val="FirstParagraph"/>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w:t>
      </w:r>
      <w:r>
        <w:t xml:space="preserve"> </w:t>
      </w:r>
      <w:r>
        <w:rPr>
          <w:rStyle w:val="DeletedText"/>
        </w:rPr>
        <w:t xml:space="preserve">performed on</w:t>
      </w:r>
      <w:r>
        <w:rPr>
          <w:rStyle w:val="DeletedText"/>
        </w:rPr>
        <w:t xml:space="preserve"> </w:t>
      </w:r>
      <w:r>
        <w:rPr>
          <w:rStyle w:val="DeletedText"/>
          <w:b/>
          <w:bCs/>
        </w:rPr>
        <w:t xml:space="preserve">August 2026</w:t>
      </w:r>
      <w:r>
        <w:rPr>
          <w:rStyle w:val="InsertedText"/>
        </w:rPr>
        <w:t xml:space="preserve">performed in</w:t>
      </w:r>
      <w:r>
        <w:rPr>
          <w:rStyle w:val="InsertedText"/>
        </w:rPr>
        <w:t xml:space="preserve"> </w:t>
      </w:r>
      <w:r>
        <w:rPr>
          <w:rStyle w:val="InsertedText"/>
          <w:b/>
          <w:bCs/>
        </w:rPr>
        <w:t xml:space="preserve">[dd] August 2026</w:t>
      </w:r>
      <w:r>
        <w:t xml:space="preserve">. The search period was selected to capture the rapid development of multi-party trust healthcare data management,</w:t>
      </w:r>
      <w:r>
        <w:t xml:space="preserve"> </w:t>
      </w:r>
      <w:r>
        <w:rPr>
          <w:rStyle w:val="DeletedText"/>
        </w:rPr>
        <w:t xml:space="preserve">decentralized</w:t>
      </w:r>
      <w:r>
        <w:rPr>
          <w:rStyle w:val="InsertedText"/>
        </w:rPr>
        <w:t xml:space="preserve">decentralised</w:t>
      </w:r>
      <w:r>
        <w:t xml:space="preserve"> </w:t>
      </w:r>
      <w:r>
        <w:t xml:space="preserve">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ReviewerNotePara"/>
      </w:pPr>
      <w:r>
        <w:rPr>
          <w:rStyle w:val="ReviewerNote"/>
        </w:rPr>
        <w:t xml:space="preserve">Author action: replace [dd] with the exact day of the final database search.</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bookmarkEnd w:id="20"/>
    <w:bookmarkStart w:id="21" w:name="eligibility-criteria"/>
    <w:p>
      <w:pPr>
        <w:pStyle w:val="Heading3"/>
      </w:pPr>
      <w:r>
        <w:t xml:space="preserve">2.2.5 Eligibility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w:t>
      </w:r>
      <w:r>
        <w:t xml:space="preserve"> </w:t>
      </w:r>
      <w:r>
        <w:rPr>
          <w:rStyle w:val="DeletedText"/>
        </w:rPr>
        <w:t xml:space="preserve">satisfied the following criteria</w:t>
      </w:r>
      <w:r>
        <w:rPr>
          <w:rStyle w:val="InsertedText"/>
        </w:rPr>
        <w:t xml:space="preserve">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w:t>
      </w:r>
      <w:r>
        <w:t xml:space="preserve"> </w:t>
      </w:r>
      <w:r>
        <w:rPr>
          <w:rStyle w:val="DeletedText"/>
        </w:rPr>
        <w:t xml:space="preserve">decentralized</w:t>
      </w:r>
      <w:r>
        <w:rPr>
          <w:rStyle w:val="InsertedText"/>
        </w:rPr>
        <w:t xml:space="preserve">decentralised</w:t>
      </w:r>
      <w:r>
        <w:t xml:space="preserve"> </w:t>
      </w:r>
      <w:r>
        <w:t xml:space="preserve">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w:t>
      </w:r>
      <w:r>
        <w:t xml:space="preserve"> </w:t>
      </w:r>
      <w:r>
        <w:rPr>
          <w:rStyle w:val="DeletedText"/>
        </w:rPr>
        <w:t xml:space="preserve">of the following conditions</w:t>
      </w:r>
      <w:r>
        <w:rPr>
          <w:rStyle w:val="InsertedText"/>
        </w:rPr>
        <w:t xml:space="preserve">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InsertedPara"/>
      </w:pPr>
      <w:r>
        <w:rPr>
          <w:rStyle w:val="InsertedText"/>
        </w:rPr>
        <w:t xml:space="preserve">Consistent with exclusion criterion 6, five studies from outside the healthcare domain were retained because they contribute mechanisms that transfer directly to healthcare authorisation: decentralised trust in multi-stakeholder data sharing [6], blockchain-based archival integrity for sensitive documentation [8], TEE-supported trust and Byzantine-resilient consensus [17], DID/VC-based privacy-preserving authentication [27], and blockchain-based data sharing across organisational boundaries [30]. One book chapter [16] was retained under the exception to exclusion criterion 3 because it provides a foundational overview of decentralised identity, and one earlier policy statement [31] (2019) was retained as a foundational healthcare source on guardian and proxy access to electronic health records, as permitted in Section 2.2.4.</w:t>
      </w:r>
    </w:p>
    <w:p>
      <w:pPr>
        <w:pStyle w:val="InsertedPara"/>
      </w:pPr>
      <w:r>
        <w:rPr>
          <w:rStyle w:val="ReviewerNote"/>
        </w:rPr>
        <w:t xml:space="preserve">Author check: if any of these five studies is not genuinely used in the analysis, delete it rather than justify it.</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bookmarkEnd w:id="21"/>
    <w:bookmarkStart w:id="25" w:name="screening-and-study-selection"/>
    <w:p>
      <w:pPr>
        <w:pStyle w:val="Heading3"/>
      </w:pPr>
      <w:r>
        <w:t xml:space="preserve">2.2.6 Screening and Study Selection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w:t>
      </w:r>
      <w:r>
        <w:t xml:space="preserve"> </w:t>
      </w:r>
      <w:r>
        <w:rPr>
          <w:rStyle w:val="DeletedText"/>
        </w:rPr>
        <w:t xml:space="preserve">authorization</w:t>
      </w:r>
      <w:r>
        <w:rPr>
          <w:rStyle w:val="InsertedText"/>
        </w:rPr>
        <w:t xml:space="preserve">authorisation</w:t>
      </w:r>
      <w:r>
        <w:t xml:space="preserve">,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486400" cy="2932144"/>
            <wp:effectExtent b="0" l="0" r="0" t="0"/>
            <wp:docPr descr="Figure 2: PRISMA Study Selection Summary" title="" id="23" name="Picture"/>
            <a:graphic>
              <a:graphicData uri="http://schemas.openxmlformats.org/drawingml/2006/picture">
                <pic:pic>
                  <pic:nvPicPr>
                    <pic:cNvPr descr="media_col/fig02.png" id="24" name="Picture"/>
                    <pic:cNvPicPr>
                      <a:picLocks noChangeArrowheads="1" noChangeAspect="1"/>
                    </pic:cNvPicPr>
                  </pic:nvPicPr>
                  <pic:blipFill>
                    <a:blip r:embed="rId22"/>
                    <a:stretch>
                      <a:fillRect/>
                    </a:stretch>
                  </pic:blipFill>
                  <pic:spPr bwMode="auto">
                    <a:xfrm>
                      <a:off x="0" y="0"/>
                      <a:ext cx="5486400" cy="2932144"/>
                    </a:xfrm>
                    <a:prstGeom prst="rect">
                      <a:avLst/>
                    </a:prstGeom>
                    <a:noFill/>
                    <a:ln w="9525">
                      <a:noFill/>
                      <a:headEnd/>
                      <a:tailEnd/>
                    </a:ln>
                  </pic:spPr>
                </pic:pic>
              </a:graphicData>
            </a:graphic>
          </wp:inline>
        </w:drawing>
      </w:r>
    </w:p>
    <w:p>
      <w:pPr>
        <w:pStyle w:val="ImageCaption"/>
      </w:pPr>
      <w:r>
        <w:t xml:space="preserve">Figure 2: PRISMA Study Selection Summary</w:t>
      </w:r>
    </w:p>
    <w:p>
      <w:pPr>
        <w:pStyle w:val="ReviewerNotePara"/>
      </w:pPr>
      <w:r>
        <w:rPr>
          <w:rStyle w:val="ReviewerNote"/>
        </w:rPr>
        <w:t xml:space="preserve">Figure re-drawn in the same design and colours; boxes and counts unchanged. Fixes: the title/abstract exclusion reason now uses the wording of exclusion criterion 1 in Section 2.2.5, and</w:t>
      </w:r>
      <w:r>
        <w:rPr>
          <w:rStyle w:val="ReviewerNote"/>
        </w:rPr>
        <w:t xml:space="preserve"> </w:t>
      </w:r>
      <w:r>
        <w:rPr>
          <w:rStyle w:val="ReviewerNote"/>
        </w:rPr>
        <w:t xml:space="preserve">‘decentralized’</w:t>
      </w:r>
      <w:r>
        <w:rPr>
          <w:rStyle w:val="ReviewerNote"/>
        </w:rPr>
        <w:t xml:space="preserve"> </w:t>
      </w:r>
      <w:r>
        <w:rPr>
          <w:rStyle w:val="ReviewerNote"/>
        </w:rPr>
        <w:t xml:space="preserve">→</w:t>
      </w:r>
      <w:r>
        <w:rPr>
          <w:rStyle w:val="ReviewerNote"/>
        </w:rPr>
        <w:t xml:space="preserve"> </w:t>
      </w:r>
      <w:r>
        <w:rPr>
          <w:rStyle w:val="ReviewerNote"/>
        </w:rPr>
        <w:t xml:space="preserve">‘decentralised’</w:t>
      </w:r>
      <w:r>
        <w:rPr>
          <w:rStyle w:val="ReviewerNote"/>
        </w:rPr>
        <w:t xml:space="preserve">. Author action: the box</w:t>
      </w:r>
      <w:r>
        <w:rPr>
          <w:rStyle w:val="ReviewerNote"/>
        </w:rPr>
        <w:t xml:space="preserve"> </w:t>
      </w:r>
      <w:r>
        <w:rPr>
          <w:rStyle w:val="ReviewerNote"/>
        </w:rPr>
        <w:t xml:space="preserve">‘Records marked as ineligible by automation tools (n = 7)’</w:t>
      </w:r>
      <w:r>
        <w:rPr>
          <w:rStyle w:val="ReviewerNote"/>
        </w:rPr>
        <w:t xml:space="preserve"> </w:t>
      </w:r>
      <w:r>
        <w:rPr>
          <w:rStyle w:val="ReviewerNote"/>
        </w:rPr>
        <w:t xml:space="preserve">is not described in the text; name the tool or filter used in Section 2.2.4, or merge these 7 records into another category.</w:t>
      </w:r>
    </w:p>
    <w:p>
      <w:pPr>
        <w:pStyle w:val="BodyText"/>
      </w:pPr>
      <w:r>
        <w:t xml:space="preserve">Figure 2 presents the PRISMA flow diagram for this review</w:t>
      </w:r>
      <w:r>
        <w:rPr>
          <w:rStyle w:val="InsertedText"/>
        </w:rPr>
        <w:t xml:space="preserve">, prepared following PRISMA 2020 [37],</w:t>
      </w:r>
      <w:r>
        <w:t xml:space="preserve"> </w:t>
      </w:r>
      <w:r>
        <w:t xml:space="preserve">which</w:t>
      </w:r>
      <w:r>
        <w:t xml:space="preserve"> </w:t>
      </w:r>
      <w:r>
        <w:rPr>
          <w:rStyle w:val="DeletedText"/>
        </w:rPr>
        <w:t xml:space="preserve">summarizes</w:t>
      </w:r>
      <w:r>
        <w:rPr>
          <w:rStyle w:val="InsertedText"/>
        </w:rPr>
        <w:t xml:space="preserve">summarises</w:t>
      </w:r>
      <w:r>
        <w:t xml:space="preserve"> </w:t>
      </w:r>
      <w:r>
        <w:t xml:space="preserve">the identification, screening, eligibility, and inclusion stages of the SLR. The final number of included studies was derived after completing the screening and eligibility assessment across the identified literature base.</w:t>
      </w:r>
    </w:p>
    <w:bookmarkEnd w:id="25"/>
    <w:bookmarkStart w:id="26" w:name="data-extraction-and-synthesis"/>
    <w:p>
      <w:pPr>
        <w:pStyle w:val="Heading3"/>
      </w:pPr>
      <w:r>
        <w:t xml:space="preserve">2.2.7 Data Extraction and Synthesis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w:t>
      </w:r>
      <w:r>
        <w:t xml:space="preserve"> </w:t>
      </w:r>
      <w:r>
        <w:rPr>
          <w:rStyle w:val="DeletedText"/>
        </w:rPr>
        <w:t xml:space="preserve">organized</w:t>
      </w:r>
      <w:r>
        <w:rPr>
          <w:rStyle w:val="InsertedText"/>
        </w:rPr>
        <w:t xml:space="preserve">organised</w:t>
      </w:r>
      <w:r>
        <w:t xml:space="preserve"> </w:t>
      </w:r>
      <w:r>
        <w:t xml:space="preserve">into thematic categories corresponding to the research questions. These categories included consent specification and management,</w:t>
      </w:r>
      <w:r>
        <w:t xml:space="preserve"> </w:t>
      </w:r>
      <w:r>
        <w:rPr>
          <w:rStyle w:val="DeletedText"/>
        </w:rPr>
        <w:t xml:space="preserve">decentralized</w:t>
      </w:r>
      <w:r>
        <w:rPr>
          <w:rStyle w:val="InsertedText"/>
        </w:rPr>
        <w:t xml:space="preserve">decentralised</w:t>
      </w:r>
      <w:r>
        <w:t xml:space="preserve"> </w:t>
      </w:r>
      <w:r>
        <w:t xml:space="preserve">identity and credential verification,</w:t>
      </w:r>
      <w:r>
        <w:t xml:space="preserve"> </w:t>
      </w:r>
      <w:r>
        <w:rPr>
          <w:rStyle w:val="DeletedText"/>
        </w:rPr>
        <w:t xml:space="preserve">authorization</w:t>
      </w:r>
      <w:r>
        <w:rPr>
          <w:rStyle w:val="InsertedText"/>
        </w:rPr>
        <w:t xml:space="preserve">authorisation</w:t>
      </w:r>
      <w:r>
        <w:t xml:space="preserve"> </w:t>
      </w:r>
      <w:r>
        <w:t xml:space="preserve">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w:t>
      </w:r>
      <w:r>
        <w:t xml:space="preserve"> </w:t>
      </w:r>
      <w:r>
        <w:rPr>
          <w:rStyle w:val="DeletedText"/>
        </w:rPr>
        <w:t xml:space="preserve">authorization</w:t>
      </w:r>
      <w:r>
        <w:rPr>
          <w:rStyle w:val="InsertedText"/>
        </w:rPr>
        <w:t xml:space="preserve">authorisation</w:t>
      </w:r>
      <w:r>
        <w:t xml:space="preserve">,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bookmarkEnd w:id="26"/>
    <w:bookmarkStart w:id="27" w:name="quality-assessment"/>
    <w:p>
      <w:pPr>
        <w:pStyle w:val="Heading3"/>
      </w:pPr>
      <w:r>
        <w:rPr>
          <w:rStyle w:val="InsertedText"/>
        </w:rPr>
        <w:t xml:space="preserve">2.2.8 Quality Assessment</w:t>
      </w:r>
    </w:p>
    <w:p>
      <w:pPr>
        <w:pStyle w:val="InsertedPara"/>
      </w:pPr>
      <w:r>
        <w:rPr>
          <w:rStyle w:val="InsertedText"/>
        </w:rP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 (n = 3; Figure 2). The 125 records identified comprised IEEE Xplore [n], ACM Digital Library [n], ScienceDirect [n], SpringerLink [n], PubMed [n], Scopus [n] and Web of Science [n].</w:t>
      </w:r>
    </w:p>
    <w:p>
      <w:pPr>
        <w:pStyle w:val="InsertedPara"/>
      </w:pPr>
      <w:r>
        <w:rPr>
          <w:rStyle w:val="ReviewerNote"/>
        </w:rPr>
        <w:t xml:space="preserve">Author action: fill in each [n] from your search log (they must sum to 125). Keep this subsection only if this scoring was actually applied; otherwise delete</w:t>
      </w:r>
      <w:r>
        <w:rPr>
          <w:rStyle w:val="ReviewerNote"/>
        </w:rPr>
        <w:t xml:space="preserve"> </w:t>
      </w:r>
      <w:r>
        <w:rPr>
          <w:rStyle w:val="ReviewerNote"/>
        </w:rPr>
        <w:t xml:space="preserve">‘and a quality assessment procedure’</w:t>
      </w:r>
      <w:r>
        <w:rPr>
          <w:rStyle w:val="ReviewerNote"/>
        </w:rPr>
        <w:t xml:space="preserve"> </w:t>
      </w:r>
      <w:r>
        <w:rPr>
          <w:rStyle w:val="ReviewerNote"/>
        </w:rPr>
        <w:t xml:space="preserve">in Section 2.2.1. Never report a procedure that was not performed.</w:t>
      </w:r>
    </w:p>
    <w:bookmarkEnd w:id="27"/>
    <w:bookmarkEnd w:id="28"/>
    <w:bookmarkStart w:id="36" w:name="review"/>
    <w:p>
      <w:pPr>
        <w:pStyle w:val="Heading2"/>
      </w:pPr>
      <w:r>
        <w:t xml:space="preserve">2.3 Review</w:t>
      </w:r>
    </w:p>
    <w:p>
      <w:pPr>
        <w:pStyle w:val="DeletedPara"/>
      </w:pPr>
      <w:r>
        <w:rPr>
          <w:rStyle w:val="DeletedText"/>
        </w:rPr>
        <w:t xml:space="preserve">The systematic literature review examines the current state of research on trustworthy and decentralised data sharing, with particular attention to healthcare consent management, blockchain-based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DeletedPara"/>
      </w:pPr>
      <w:r>
        <w:rPr>
          <w:rStyle w:val="DeletedText"/>
        </w:rPr>
        <w:t xml:space="preserve">The reviewed literature demonstrates that substantial progress has been made in individual areas. Healthcare research has emphasised the importance of patient autonomy, privacy, informed consent, and controlled data sharing [31, 14, 24, 22, 12]. Blockchain research has investigated immutable data governance, distributed auditability, and decentralised trust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DeletedPara"/>
      </w:pPr>
      <w:r>
        <w:rPr>
          <w:rStyle w:val="DeletedText"/>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InsertedPara"/>
      </w:pPr>
      <w:r>
        <w:rPr>
          <w:rStyle w:val="InsertedText"/>
        </w:rPr>
        <w:t xml:space="preserve">This section analyses each of the research streams introduced in Section 2.1 in turn.</w:t>
      </w:r>
    </w:p>
    <w:bookmarkStart w:id="29" w:name="Xf0d39a1e46bef7b65f013535e5ed0149354ae05"/>
    <w:p>
      <w:pPr>
        <w:pStyle w:val="Heading3"/>
      </w:pPr>
      <w:r>
        <w:t xml:space="preserve">2.3.1 Healthcare Consent and Decentralised Data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bookmarkEnd w:id="29"/>
    <w:bookmarkStart w:id="30" w:name="X2a81d1017ab362264ba053931c582f4a6c34161"/>
    <w:p>
      <w:pPr>
        <w:pStyle w:val="Heading3"/>
      </w:pPr>
      <w:r>
        <w:t xml:space="preserve">2.3.2 Blockchain-Based Consent and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pStyle w:val="BodyText"/>
      </w:pPr>
      <w: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bookmarkEnd w:id="30"/>
    <w:bookmarkStart w:id="31" w:name="Xce8374abd25737680a0ea224e7b0673254898a7"/>
    <w:p>
      <w:pPr>
        <w:pStyle w:val="Heading3"/>
      </w:pPr>
      <w:r>
        <w:t xml:space="preserve">2.3.3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bookmarkEnd w:id="31"/>
    <w:bookmarkStart w:id="32" w:name="X3a5b3d1d0a9f1be36ba29fe34578e9369c010e5"/>
    <w:p>
      <w:pPr>
        <w:pStyle w:val="Heading3"/>
      </w:pPr>
      <w:r>
        <w:t xml:space="preserve">2.3.4 Multi-Party Authorisation and Collaborative Consent</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bookmarkEnd w:id="32"/>
    <w:bookmarkStart w:id="33" w:name="Xbcf1c150ceed73ca1d49c8591d5085e7f71fea1"/>
    <w:p>
      <w:pPr>
        <w:pStyle w:val="Heading3"/>
      </w:pPr>
      <w:r>
        <w:t xml:space="preserve">2.3.5 Policy-Based and Context-Aware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w:t>
      </w:r>
      <w:r>
        <w:t xml:space="preserve"> </w:t>
      </w:r>
      <w:r>
        <w:rPr>
          <w:rStyle w:val="DeletedText"/>
        </w:rPr>
        <w:t xml:space="preserve">observations and medications,</w:t>
      </w:r>
      <w:r>
        <w:rPr>
          <w:rStyle w:val="InsertedText"/>
        </w:rPr>
        <w:t xml:space="preserve">medications and procedures,</w:t>
      </w:r>
    </w:p>
    <w:p>
      <w:pPr>
        <w:pStyle w:val="BodyText"/>
      </w:pPr>
      <w:r>
        <w:rPr>
          <w:rStyle w:val="ReviewerNote"/>
        </w:rPr>
        <w:t xml:space="preserve">replaced ▸</w:t>
      </w:r>
      <w:r>
        <w:t xml:space="preserve"> </w:t>
      </w:r>
      <m:oMathPara>
        <m:oMathParaPr>
          <m:jc m:val="center"/>
        </m:oMathParaPr>
        <m:oMath>
          <m:sSub>
            <m:e>
              <m:r>
                <w:rPr>
                  <w:color w:val="C00000"/>
                  <w:strike/>
                </w:rPr>
                <m:t>S</m:t>
              </m:r>
            </m:e>
            <m:sub>
              <m:r>
                <w:rPr>
                  <w:color w:val="C00000"/>
                  <w:strike/>
                </w:rPr>
                <m:t>C</m:t>
              </m:r>
            </m:sub>
          </m:sSub>
          <m:r>
            <m:rPr>
              <m:sty m:val="p"/>
            </m:rPr>
            <w:rPr>
              <w:color w:val="C00000"/>
              <w:strike/>
            </w:rPr>
            <m:t>=</m:t>
          </m:r>
          <m:r>
            <m:rPr>
              <m:sty m:val="p"/>
            </m:rPr>
            <w:rPr>
              <w:color w:val="C00000"/>
              <w:strike/>
            </w:rPr>
            <m:t>{</m:t>
          </m:r>
          <m:r>
            <w:rPr>
              <w:color w:val="C00000"/>
              <w:strike/>
            </w:rPr>
            <m:t>O</m:t>
          </m:r>
          <m:r>
            <w:rPr>
              <w:color w:val="C00000"/>
              <w:strike/>
            </w:rPr>
            <m:t>b</m:t>
          </m:r>
          <m:r>
            <w:rPr>
              <w:color w:val="C00000"/>
              <w:strike/>
            </w:rPr>
            <m:t>s</m:t>
          </m:r>
          <m:r>
            <w:rPr>
              <w:color w:val="C00000"/>
              <w:strike/>
            </w:rPr>
            <m:t>e</m:t>
          </m:r>
          <m:r>
            <w:rPr>
              <w:color w:val="C00000"/>
              <w:strike/>
            </w:rPr>
            <m:t>r</m:t>
          </m:r>
          <m:r>
            <w:rPr>
              <w:color w:val="C00000"/>
              <w:strike/>
            </w:rPr>
            <m:t>v</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M</m:t>
          </m:r>
          <m:r>
            <w:rPr>
              <w:color w:val="C00000"/>
              <w:strike/>
            </w:rPr>
            <m:t>e</m:t>
          </m:r>
          <m:r>
            <w:rPr>
              <w:color w:val="C00000"/>
              <w:strike/>
            </w:rPr>
            <m:t>d</m:t>
          </m:r>
          <m:r>
            <w:rPr>
              <w:color w:val="C00000"/>
              <w:strike/>
            </w:rPr>
            <m:t>i</m:t>
          </m:r>
          <m:r>
            <w:rPr>
              <w:color w:val="C00000"/>
              <w:strike/>
            </w:rPr>
            <m:t>c</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m:t>
          </m:r>
          <m:r>
            <m:rPr>
              <m:sty m:val="p"/>
            </m:rPr>
            <w:rPr>
              <w:color w:val="C00000"/>
              <w:strike/>
            </w:rPr>
            <m:t>)</m:t>
          </m:r>
        </m:oMath>
      </m:oMathPara>
    </w:p>
    <w:p>
      <w:pPr>
        <w:pStyle w:val="FirstParagraph"/>
      </w:pPr>
      <m:oMathPara>
        <m:oMathParaPr>
          <m:jc m:val="center"/>
        </m:oMathParaPr>
        <m:oMath>
          <m:sSub>
            <m:e>
              <m:r>
                <w:rPr>
                  <w:color w:val="C00000"/>
                </w:rPr>
                <m:t>S</m:t>
              </m:r>
            </m:e>
            <m:sub>
              <m:r>
                <w:rPr>
                  <w:color w:val="C00000"/>
                </w:rPr>
                <m:t>C</m:t>
              </m:r>
            </m:sub>
          </m:sSub>
          <m:r>
            <m:rPr>
              <m:sty m:val="p"/>
            </m:rPr>
            <w:rPr>
              <w:color w:val="C00000"/>
            </w:rPr>
            <m:t>=</m:t>
          </m:r>
          <m:r>
            <m:rPr>
              <m:sty m:val="p"/>
            </m:rPr>
            <w:rPr>
              <w:color w:val="C00000"/>
            </w:rPr>
            <m:t>{</m:t>
          </m:r>
          <m:r>
            <w:rPr>
              <w:color w:val="C00000"/>
            </w:rPr>
            <m:t>M</m:t>
          </m:r>
          <m:r>
            <w:rPr>
              <w:color w:val="C00000"/>
            </w:rPr>
            <m:t>e</m:t>
          </m:r>
          <m:r>
            <w:rPr>
              <w:color w:val="C00000"/>
            </w:rPr>
            <m:t>d</m:t>
          </m:r>
          <m:r>
            <w:rPr>
              <w:color w:val="C00000"/>
            </w:rPr>
            <m:t>i</m:t>
          </m:r>
          <m:r>
            <w:rPr>
              <w:color w:val="C00000"/>
            </w:rPr>
            <m:t>c</m:t>
          </m:r>
          <m:r>
            <w:rPr>
              <w:color w:val="C00000"/>
            </w:rPr>
            <m:t>a</m:t>
          </m:r>
          <m:r>
            <w:rPr>
              <w:color w:val="C00000"/>
            </w:rPr>
            <m:t>t</m:t>
          </m:r>
          <m:r>
            <w:rPr>
              <w:color w:val="C00000"/>
            </w:rPr>
            <m:t>i</m:t>
          </m:r>
          <m:r>
            <w:rPr>
              <w:color w:val="C00000"/>
            </w:rPr>
            <m:t>o</m:t>
          </m:r>
          <m:r>
            <w:rPr>
              <w:color w:val="C00000"/>
            </w:rPr>
            <m:t>n</m:t>
          </m:r>
          <m:r>
            <m:rPr>
              <m:sty m:val="p"/>
            </m:rPr>
            <w:rPr>
              <w:color w:val="C00000"/>
            </w:rPr>
            <m:t>,</m:t>
          </m:r>
          <m:r>
            <w:rPr>
              <w:color w:val="C00000"/>
            </w:rPr>
            <m:t>P</m:t>
          </m:r>
          <m:r>
            <w:rPr>
              <w:color w:val="C00000"/>
            </w:rPr>
            <m:t>r</m:t>
          </m:r>
          <m:r>
            <w:rPr>
              <w:color w:val="C00000"/>
            </w:rPr>
            <m:t>o</m:t>
          </m:r>
          <m:r>
            <w:rPr>
              <w:color w:val="C00000"/>
            </w:rPr>
            <m:t>c</m:t>
          </m:r>
          <m:r>
            <w:rPr>
              <w:color w:val="C00000"/>
            </w:rPr>
            <m:t>e</m:t>
          </m:r>
          <m:r>
            <w:rPr>
              <w:color w:val="C00000"/>
            </w:rPr>
            <m:t>d</m:t>
          </m:r>
          <m:r>
            <w:rPr>
              <w:color w:val="C00000"/>
            </w:rPr>
            <m:t>u</m:t>
          </m:r>
          <m:r>
            <w:rPr>
              <w:color w:val="C00000"/>
            </w:rPr>
            <m:t>r</m:t>
          </m:r>
          <m:r>
            <w:rPr>
              <w:color w:val="C00000"/>
            </w:rPr>
            <m:t>e</m:t>
          </m:r>
          <m:r>
            <m:rPr>
              <m:sty m:val="p"/>
            </m:rPr>
            <w:rPr>
              <w:color w:val="C00000"/>
            </w:rPr>
            <m:t>}</m:t>
          </m:r>
          <m:r>
            <m:rPr>
              <m:sty m:val="p"/>
            </m:rPr>
            <w:rPr>
              <w:color w:val="C00000"/>
            </w:rPr>
            <m:t>,</m:t>
          </m:r>
          <m:r>
            <w:rPr>
              <w:color w:val="C00000"/>
            </w:rPr>
            <m:t>  </m:t>
          </m:r>
          <m:r>
            <w:rPr>
              <w:color w:val="C00000"/>
            </w:rPr>
            <m:t>  </m:t>
          </m:r>
          <m:r>
            <m:rPr>
              <m:sty m:val="p"/>
            </m:rPr>
            <w:rPr>
              <w:color w:val="C00000"/>
            </w:rPr>
            <m:t>(</m:t>
          </m:r>
          <m:r>
            <w:rPr>
              <w:color w:val="C00000"/>
            </w:rPr>
            <m:t>3</m:t>
          </m:r>
          <m:r>
            <m:rPr>
              <m:sty m:val="p"/>
            </m:rPr>
            <w:rPr>
              <w:color w:val="C00000"/>
            </w:rPr>
            <m:t>)</m:t>
          </m:r>
        </m:oMath>
      </m:oMathPara>
    </w:p>
    <w:p>
      <w:pPr>
        <w:pStyle w:val="FirstParagraph"/>
      </w:pPr>
      <w:r>
        <w:rPr>
          <w:rStyle w:val="DeletedText"/>
        </w:rPr>
        <w:t xml:space="preserve">then a request for observations, medications, and procedures,</w:t>
      </w:r>
      <w:r>
        <w:rPr>
          <w:rStyle w:val="InsertedText"/>
        </w:rPr>
        <w:t xml:space="preserve">then a request for medications, procedures, and observations,</w:t>
      </w:r>
    </w:p>
    <w:p>
      <w:pPr>
        <w:pStyle w:val="BodyText"/>
      </w:pPr>
      <w:r>
        <w:rPr>
          <w:rStyle w:val="ReviewerNote"/>
        </w:rPr>
        <w:t xml:space="preserve">replaced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r>
            <m:rPr>
              <m:sty m:val="p"/>
            </m:rPr>
            <w:rPr>
              <w:color w:val="C00000"/>
              <w:strike/>
            </w:rPr>
            <m:t>{</m:t>
          </m:r>
          <m:r>
            <w:rPr>
              <w:color w:val="C00000"/>
              <w:strike/>
            </w:rPr>
            <m:t>O</m:t>
          </m:r>
          <m:r>
            <w:rPr>
              <w:color w:val="C00000"/>
              <w:strike/>
            </w:rPr>
            <m:t>b</m:t>
          </m:r>
          <m:r>
            <w:rPr>
              <w:color w:val="C00000"/>
              <w:strike/>
            </w:rPr>
            <m:t>s</m:t>
          </m:r>
          <m:r>
            <w:rPr>
              <w:color w:val="C00000"/>
              <w:strike/>
            </w:rPr>
            <m:t>e</m:t>
          </m:r>
          <m:r>
            <w:rPr>
              <w:color w:val="C00000"/>
              <w:strike/>
            </w:rPr>
            <m:t>r</m:t>
          </m:r>
          <m:r>
            <w:rPr>
              <w:color w:val="C00000"/>
              <w:strike/>
            </w:rPr>
            <m:t>v</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M</m:t>
          </m:r>
          <m:r>
            <w:rPr>
              <w:color w:val="C00000"/>
              <w:strike/>
            </w:rPr>
            <m:t>e</m:t>
          </m:r>
          <m:r>
            <w:rPr>
              <w:color w:val="C00000"/>
              <w:strike/>
            </w:rPr>
            <m:t>d</m:t>
          </m:r>
          <m:r>
            <w:rPr>
              <w:color w:val="C00000"/>
              <w:strike/>
            </w:rPr>
            <m:t>i</m:t>
          </m:r>
          <m:r>
            <w:rPr>
              <w:color w:val="C00000"/>
              <w:strike/>
            </w:rPr>
            <m:t>c</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P</m:t>
          </m:r>
          <m:r>
            <w:rPr>
              <w:color w:val="C00000"/>
              <w:strike/>
            </w:rPr>
            <m:t>r</m:t>
          </m:r>
          <m:r>
            <w:rPr>
              <w:color w:val="C00000"/>
              <w:strike/>
            </w:rPr>
            <m:t>o</m:t>
          </m:r>
          <m:r>
            <w:rPr>
              <w:color w:val="C00000"/>
              <w:strike/>
            </w:rPr>
            <m:t>c</m:t>
          </m:r>
          <m:r>
            <w:rPr>
              <w:color w:val="C00000"/>
              <w:strike/>
            </w:rPr>
            <m:t>e</m:t>
          </m:r>
          <m:r>
            <w:rPr>
              <w:color w:val="C00000"/>
              <w:strike/>
            </w:rPr>
            <m:t>d</m:t>
          </m:r>
          <m:r>
            <w:rPr>
              <w:color w:val="C00000"/>
              <w:strike/>
            </w:rPr>
            <m:t>u</m:t>
          </m:r>
          <m:r>
            <w:rPr>
              <w:color w:val="C00000"/>
              <w:strike/>
            </w:rPr>
            <m:t>r</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m:t>
          </m:r>
          <m:r>
            <m:rPr>
              <m:sty m:val="p"/>
            </m:rPr>
            <w:rPr>
              <w:color w:val="C00000"/>
              <w:strike/>
            </w:rPr>
            <m:t>)</m:t>
          </m:r>
        </m:oMath>
      </m:oMathPara>
    </w:p>
    <w:p>
      <w:pPr>
        <w:pStyle w:val="FirstParagraph"/>
      </w:pPr>
      <m:oMathPara>
        <m:oMathParaPr>
          <m:jc m:val="center"/>
        </m:oMathParaPr>
        <m:oMath>
          <m:sSub>
            <m:e>
              <m:r>
                <w:rPr>
                  <w:color w:val="C00000"/>
                </w:rPr>
                <m:t>S</m:t>
              </m:r>
            </m:e>
            <m:sub>
              <m:r>
                <w:rPr>
                  <w:color w:val="C00000"/>
                </w:rPr>
                <m:t>R</m:t>
              </m:r>
            </m:sub>
          </m:sSub>
          <m:r>
            <m:rPr>
              <m:sty m:val="p"/>
            </m:rPr>
            <w:rPr>
              <w:color w:val="C00000"/>
            </w:rPr>
            <m:t>=</m:t>
          </m:r>
          <m:r>
            <m:rPr>
              <m:sty m:val="p"/>
            </m:rPr>
            <w:rPr>
              <w:color w:val="C00000"/>
            </w:rPr>
            <m:t>{</m:t>
          </m:r>
          <m:r>
            <w:rPr>
              <w:color w:val="C00000"/>
            </w:rPr>
            <m:t>M</m:t>
          </m:r>
          <m:r>
            <w:rPr>
              <w:color w:val="C00000"/>
            </w:rPr>
            <m:t>e</m:t>
          </m:r>
          <m:r>
            <w:rPr>
              <w:color w:val="C00000"/>
            </w:rPr>
            <m:t>d</m:t>
          </m:r>
          <m:r>
            <w:rPr>
              <w:color w:val="C00000"/>
            </w:rPr>
            <m:t>i</m:t>
          </m:r>
          <m:r>
            <w:rPr>
              <w:color w:val="C00000"/>
            </w:rPr>
            <m:t>c</m:t>
          </m:r>
          <m:r>
            <w:rPr>
              <w:color w:val="C00000"/>
            </w:rPr>
            <m:t>a</m:t>
          </m:r>
          <m:r>
            <w:rPr>
              <w:color w:val="C00000"/>
            </w:rPr>
            <m:t>t</m:t>
          </m:r>
          <m:r>
            <w:rPr>
              <w:color w:val="C00000"/>
            </w:rPr>
            <m:t>i</m:t>
          </m:r>
          <m:r>
            <w:rPr>
              <w:color w:val="C00000"/>
            </w:rPr>
            <m:t>o</m:t>
          </m:r>
          <m:r>
            <w:rPr>
              <w:color w:val="C00000"/>
            </w:rPr>
            <m:t>n</m:t>
          </m:r>
          <m:r>
            <m:rPr>
              <m:sty m:val="p"/>
            </m:rPr>
            <w:rPr>
              <w:color w:val="C00000"/>
            </w:rPr>
            <m:t>,</m:t>
          </m:r>
          <m:r>
            <w:rPr>
              <w:color w:val="C00000"/>
            </w:rPr>
            <m:t>P</m:t>
          </m:r>
          <m:r>
            <w:rPr>
              <w:color w:val="C00000"/>
            </w:rPr>
            <m:t>r</m:t>
          </m:r>
          <m:r>
            <w:rPr>
              <w:color w:val="C00000"/>
            </w:rPr>
            <m:t>o</m:t>
          </m:r>
          <m:r>
            <w:rPr>
              <w:color w:val="C00000"/>
            </w:rPr>
            <m:t>c</m:t>
          </m:r>
          <m:r>
            <w:rPr>
              <w:color w:val="C00000"/>
            </w:rPr>
            <m:t>e</m:t>
          </m:r>
          <m:r>
            <w:rPr>
              <w:color w:val="C00000"/>
            </w:rPr>
            <m:t>d</m:t>
          </m:r>
          <m:r>
            <w:rPr>
              <w:color w:val="C00000"/>
            </w:rPr>
            <m:t>u</m:t>
          </m:r>
          <m:r>
            <w:rPr>
              <w:color w:val="C00000"/>
            </w:rPr>
            <m:t>r</m:t>
          </m:r>
          <m:r>
            <w:rPr>
              <w:color w:val="C00000"/>
            </w:rPr>
            <m:t>e</m:t>
          </m:r>
          <m:r>
            <m:rPr>
              <m:sty m:val="p"/>
            </m:rPr>
            <w:rPr>
              <w:color w:val="C00000"/>
            </w:rPr>
            <m:t>,</m:t>
          </m:r>
          <m:r>
            <w:rPr>
              <w:color w:val="C00000"/>
            </w:rPr>
            <m:t>O</m:t>
          </m:r>
          <m:r>
            <w:rPr>
              <w:color w:val="C00000"/>
            </w:rPr>
            <m:t>b</m:t>
          </m:r>
          <m:r>
            <w:rPr>
              <w:color w:val="C00000"/>
            </w:rPr>
            <m:t>s</m:t>
          </m:r>
          <m:r>
            <w:rPr>
              <w:color w:val="C00000"/>
            </w:rPr>
            <m:t>e</m:t>
          </m:r>
          <m:r>
            <w:rPr>
              <w:color w:val="C00000"/>
            </w:rPr>
            <m:t>r</m:t>
          </m:r>
          <m:r>
            <w:rPr>
              <w:color w:val="C00000"/>
            </w:rPr>
            <m:t>v</m:t>
          </m:r>
          <m:r>
            <w:rPr>
              <w:color w:val="C00000"/>
            </w:rPr>
            <m:t>a</m:t>
          </m:r>
          <m:r>
            <w:rPr>
              <w:color w:val="C00000"/>
            </w:rPr>
            <m:t>t</m:t>
          </m:r>
          <m:r>
            <w:rPr>
              <w:color w:val="C00000"/>
            </w:rPr>
            <m:t>i</m:t>
          </m:r>
          <m:r>
            <w:rPr>
              <w:color w:val="C00000"/>
            </w:rPr>
            <m:t>o</m:t>
          </m:r>
          <m:r>
            <w:rPr>
              <w:color w:val="C00000"/>
            </w:rPr>
            <m:t>n</m:t>
          </m:r>
          <m:r>
            <m:rPr>
              <m:sty m:val="p"/>
            </m:rPr>
            <w:rPr>
              <w:color w:val="C00000"/>
            </w:rPr>
            <m:t>}</m:t>
          </m:r>
          <m:r>
            <m:rPr>
              <m:sty m:val="p"/>
            </m:rPr>
            <w:rPr>
              <w:color w:val="C00000"/>
            </w:rPr>
            <m:t>,</m:t>
          </m:r>
          <m:r>
            <w:rPr>
              <w:color w:val="C00000"/>
            </w:rPr>
            <m:t>  </m:t>
          </m:r>
          <m:r>
            <w:rPr>
              <w:color w:val="C00000"/>
            </w:rPr>
            <m:t>  </m:t>
          </m:r>
          <m:r>
            <m:rPr>
              <m:sty m:val="p"/>
            </m:rPr>
            <w:rPr>
              <w:color w:val="C00000"/>
            </w:rPr>
            <m:t>(</m:t>
          </m:r>
          <m:r>
            <w:rPr>
              <w:color w:val="C00000"/>
            </w:rPr>
            <m:t>4</m:t>
          </m:r>
          <m:r>
            <m:rPr>
              <m:sty m:val="p"/>
            </m:rPr>
            <w:rPr>
              <w:color w:val="C00000"/>
            </w: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bookmarkEnd w:id="33"/>
    <w:bookmarkStart w:id="34" w:name="X70697d1bf80033494359f9b6207e02cd31d6057"/>
    <w:p>
      <w:pPr>
        <w:pStyle w:val="Heading3"/>
      </w:pPr>
      <w:r>
        <w:t xml:space="preserve">2.3.6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DeletedPara"/>
      </w:pPr>
      <w:r>
        <w:rPr>
          <w:rStyle w:val="DeletedText"/>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DeletedPara"/>
      </w:pPr>
      <w:r>
        <w:rPr>
          <w:rStyle w:val="DeletedText"/>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 This research establishes the conceptual foundation for such integration. Future work can therefore investigate how trusted execution and remote attestation can strengthen the enforcement and verification of decentralised consent decisions.</w:t>
      </w:r>
    </w:p>
    <w:p>
      <w:pPr>
        <w:pStyle w:val="InsertedPara"/>
      </w:pPr>
      <w:r>
        <w:rPr>
          <w:rStyle w:val="InsertedText"/>
        </w:rP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bookmarkEnd w:id="34"/>
    <w:bookmarkStart w:id="35" w:name="X825064b2f9c6a59f6907e485e5a8e31c4a70bee"/>
    <w:p>
      <w:pPr>
        <w:pStyle w:val="Heading3"/>
      </w:pPr>
      <w:r>
        <w:t xml:space="preserve">2.3.7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 summarises the principal focus and limitations of the major research streams and positions the proposed framework relative to the existing literature.</w:t>
      </w:r>
    </w:p>
    <w:p>
      <w:pPr>
        <w:pStyle w:val="TableCaption"/>
      </w:pPr>
      <w:r>
        <w:t xml:space="preserve">Table 2: Comparison of Existing Research Approaches and the Proposed Framework</w:t>
      </w:r>
    </w:p>
    <w:tbl>
      <w:tblPr>
        <w:tblStyle w:val="Table"/>
        <w:tblW w:type="pct" w:w="5000"/>
        <w:tblLayout w:type="fixed"/>
        <w:tblLook w:firstRow="1" w:lastRow="0" w:firstColumn="0" w:lastColumn="0" w:noHBand="0" w:noVBand="0" w:val="0020"/>
        <w:tblCaption w:val="Table 2: Comparison of Existing Research Approaches and the Proposed Framework"/>
      </w:tblPr>
      <w:tblGrid>
        <w:gridCol w:w="1584"/>
        <w:gridCol w:w="2006"/>
        <w:gridCol w:w="2534"/>
        <w:gridCol w:w="179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rPr>
                <w:rStyle w:val="DeletedText"/>
              </w:rPr>
              <w:t xml:space="preserve">[31, 22, 14, 24, 12, 13, 10]</w:t>
            </w:r>
            <w:r>
              <w:rPr>
                <w:rStyle w:val="InsertedText"/>
              </w:rPr>
              <w:t xml:space="preserve">[10, 12, 13, 14, 22, 24, 31]</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rPr>
                <w:rStyle w:val="DeletedText"/>
              </w:rPr>
              <w:t xml:space="preserve">[1, 2, 7, 3, 30, 26, 8, 29]</w:t>
            </w:r>
            <w:r>
              <w:rPr>
                <w:rStyle w:val="InsertedText"/>
              </w:rPr>
              <w:t xml:space="preserve">[1, 2, 3, 7, 8, 26, 29, 30]</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rPr>
                <w:rStyle w:val="DeletedText"/>
              </w:rPr>
              <w:t xml:space="preserve">[20, 33, 4, 16, 27, 5]</w:t>
            </w:r>
            <w:r>
              <w:rPr>
                <w:rStyle w:val="InsertedText"/>
              </w:rPr>
              <w:t xml:space="preserve">[4, 5, 16, 20, 27, 33]</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rPr>
                <w:rStyle w:val="DeletedText"/>
              </w:rPr>
              <w:t xml:space="preserve">[19, 4, 21, 9]</w:t>
            </w:r>
            <w:r>
              <w:rPr>
                <w:rStyle w:val="InsertedText"/>
              </w:rPr>
              <w:t xml:space="preserve">[4, 9, 19, 21]</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rPr>
                <w:rStyle w:val="DeletedText"/>
              </w:rPr>
              <w:t xml:space="preserve">[32, 11, 28, 25]</w:t>
            </w:r>
            <w:r>
              <w:rPr>
                <w:rStyle w:val="InsertedText"/>
              </w:rPr>
              <w:t xml:space="preserve">[11, 25, 28, 32]</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rPr>
                <w:rStyle w:val="DeletedText"/>
              </w:rPr>
              <w:t xml:space="preserve">[23, 17, 18]</w:t>
            </w:r>
            <w:r>
              <w:rPr>
                <w:rStyle w:val="InsertedText"/>
              </w:rPr>
              <w:t xml:space="preserve">[17, 18, 23]</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5"/>
    <w:bookmarkEnd w:id="36"/>
    <w:bookmarkStart w:id="37" w:name="synthesis-and-research-gap"/>
    <w:p>
      <w:pPr>
        <w:pStyle w:val="Heading2"/>
      </w:pPr>
      <w:r>
        <w:t xml:space="preserve">2.4 Synthesis and Research Gap</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7"/>
    <w:bookmarkEnd w:id="38"/>
    <w:bookmarkStart w:id="49" w:name="research-gaps-and-questions"/>
    <w:p>
      <w:pPr>
        <w:pStyle w:val="Heading1"/>
      </w:pPr>
      <w:r>
        <w:t xml:space="preserve">3 Research Gaps and Questions</w:t>
      </w:r>
    </w:p>
    <w:bookmarkStart w:id="39"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39"/>
    <w:bookmarkStart w:id="40"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rPr>
          <w:rStyle w:val="DeletedText"/>
        </w:rPr>
        <w:t xml:space="preserve">For current stage,</w:t>
      </w:r>
      <w:r>
        <w:rPr>
          <w:rStyle w:val="InsertedText"/>
        </w:rPr>
        <w:t xml:space="preserve">For the current stage,</w:t>
      </w:r>
      <w:r>
        <w:t xml:space="preserve"> </w:t>
      </w:r>
      <w:r>
        <w:t xml:space="preserve">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40"/>
    <w:bookmarkStart w:id="47"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1"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InsertedPara"/>
      </w:pPr>
      <w:r>
        <w:rPr>
          <w:rStyle w:val="InsertedText"/>
        </w:rPr>
        <w:t xml:space="preserve">Stage 2 extends this object to</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r>
          <m:rPr>
            <m:sty m:val="p"/>
          </m:rPr>
          <w:rPr>
            <w:color w:val="C00000"/>
          </w:rPr>
          <m:t>)</m:t>
        </m:r>
      </m:oMath>
      <w:r>
        <w:rPr>
          <w:rStyle w:val="InsertedText"/>
        </w:rPr>
        <w:t xml:space="preserve">, where</w:t>
      </w:r>
      <w:r>
        <w:rPr>
          <w:rStyle w:val="InsertedText"/>
        </w:rPr>
        <w:t xml:space="preserve"> </w:t>
      </w:r>
      <m:oMath>
        <m:r>
          <w:rPr>
            <w:color w:val="C00000"/>
          </w:rPr>
          <m:t>T</m:t>
        </m:r>
      </m:oMath>
      <w:r>
        <w:rPr>
          <w:rStyle w:val="InsertedText"/>
        </w:rPr>
        <w:t xml:space="preserve"> </w:t>
      </w:r>
      <w:r>
        <w:rPr>
          <w:rStyle w:val="InsertedText"/>
        </w:rPr>
        <w:t xml:space="preserve">is the validity interval and</w:t>
      </w:r>
      <w:r>
        <w:rPr>
          <w:rStyle w:val="InsertedText"/>
        </w:rPr>
        <w:t xml:space="preserve"> </w:t>
      </w:r>
      <m:oMath>
        <m:r>
          <w:rPr>
            <w:color w:val="C00000"/>
          </w:rPr>
          <m:t>L</m:t>
        </m:r>
      </m:oMath>
      <w:r>
        <w:rPr>
          <w:rStyle w:val="InsertedText"/>
        </w:rPr>
        <w:t xml:space="preserve"> </w:t>
      </w:r>
      <w:r>
        <w:rPr>
          <w:rStyle w:val="InsertedText"/>
        </w:rPr>
        <w:t xml:space="preserve">the lifecycle state. This extended object is already used by the HALAH prototype (Section 7.2).</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1"/>
    <w:bookmarkStart w:id="42"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w:t>
      </w:r>
      <w:r>
        <w:t xml:space="preserve"> </w:t>
      </w:r>
      <w:r>
        <w:rPr>
          <w:rStyle w:val="DeletedText"/>
        </w:rPr>
        <w:t xml:space="preserve">Therefore,</w:t>
      </w:r>
      <w:r>
        <w:rPr>
          <w:rStyle w:val="DeletedText"/>
          <w:i/>
          <w:iCs/>
        </w:rPr>
        <w:t xml:space="preserve">Identity</w:t>
      </w:r>
      <w:r>
        <w:rPr>
          <w:rStyle w:val="DeletedText"/>
        </w:rPr>
        <w:t xml:space="preserve"≯ =</w:t>
      </w:r>
      <w:r>
        <w:rPr>
          <w:rStyle w:val="DeletedText"/>
        </w:rPr>
        <w:t xml:space="preserve"> </w:t>
      </w:r>
      <w:r>
        <w:rPr>
          <w:rStyle w:val="DeletedText"/>
          <w:i/>
          <w:iCs/>
        </w:rPr>
        <w:t xml:space="preserve">Authorisation.</w:t>
      </w:r>
      <w:r>
        <w:rPr>
          <w:rStyle w:val="InsertedText"/>
        </w:rPr>
        <w:t xml:space="preserve">Therefore, identity is not authorisation (Eq. (1)).</w:t>
      </w:r>
      <w:r>
        <w:t xml:space="preserve"> </w:t>
      </w:r>
      <w:r>
        <w:t xml:space="preserve">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2"/>
    <w:bookmarkStart w:id="43"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3"/>
    <w:bookmarkStart w:id="44" w:name="X18d67b34848dc6b049b38f880e406e6933f540a"/>
    <w:p>
      <w:pPr>
        <w:pStyle w:val="Heading3"/>
      </w:pPr>
      <w:r>
        <w:t xml:space="preserve">3.3.4 SRQ4: Policy- and Context-Aware Access Control</w:t>
      </w:r>
    </w:p>
    <w:p>
      <w:pPr>
        <w:pStyle w:val="FirstParagraph"/>
      </w:pPr>
      <w:r>
        <w:t xml:space="preserve">The fourth sub-research question is</w:t>
      </w:r>
      <w:r>
        <w:rPr>
          <w:rStyle w:val="InsertedText"/>
        </w:rPr>
        <w:t xml:space="preserve">:</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DeletedPara"/>
      </w:pPr>
      <w:r>
        <w:rPr>
          <w:rStyle w:val="DeletedText"/>
        </w:rPr>
        <w:t xml:space="preserve">For example, if a consent authorises access to</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C</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12</m:t>
          </m:r>
          <m:r>
            <m:rPr>
              <m:sty m:val="p"/>
            </m:rPr>
            <w:rPr>
              <w:color w:val="C00000"/>
              <w:strike/>
              <w:color w:val="C00000"/>
              <w:strike/>
            </w:rPr>
            <m:t>)</m:t>
          </m:r>
        </m:oMath>
      </m:oMathPara>
    </w:p>
    <w:p>
      <w:pPr>
        <w:pStyle w:val="DeletedPara"/>
      </w:pPr>
      <w:r>
        <w:rPr>
          <w:rStyle w:val="DeletedText"/>
        </w:rPr>
        <w:t xml:space="preserve">while the request contains</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P</m:t>
          </m:r>
          <m:r>
            <w:rPr>
              <w:color w:val="C00000"/>
              <w:strike/>
              <w:color w:val="C00000"/>
              <w:strike/>
            </w:rPr>
            <m:t>r</m:t>
          </m:r>
          <m:r>
            <w:rPr>
              <w:color w:val="C00000"/>
              <w:strike/>
              <w:color w:val="C00000"/>
              <w:strike/>
            </w:rPr>
            <m:t>o</m:t>
          </m:r>
          <m:r>
            <w:rPr>
              <w:color w:val="C00000"/>
              <w:strike/>
              <w:color w:val="C00000"/>
              <w:strike/>
            </w:rPr>
            <m:t>c</m:t>
          </m:r>
          <m:r>
            <w:rPr>
              <w:color w:val="C00000"/>
              <w:strike/>
              <w:color w:val="C00000"/>
              <w:strike/>
            </w:rPr>
            <m:t>e</m:t>
          </m:r>
          <m:r>
            <w:rPr>
              <w:color w:val="C00000"/>
              <w:strike/>
              <w:color w:val="C00000"/>
              <w:strike/>
            </w:rPr>
            <m:t>d</m:t>
          </m:r>
          <m:r>
            <w:rPr>
              <w:color w:val="C00000"/>
              <w:strike/>
              <w:color w:val="C00000"/>
              <w:strike/>
            </w:rPr>
            <m:t>u</m:t>
          </m:r>
          <m:r>
            <w:rPr>
              <w:color w:val="C00000"/>
              <w:strike/>
              <w:color w:val="C00000"/>
              <w:strike/>
            </w:rPr>
            <m:t>r</m:t>
          </m:r>
          <m:r>
            <w:rPr>
              <w:color w:val="C00000"/>
              <w:strike/>
              <w:color w:val="C00000"/>
              <w:strike/>
            </w:rPr>
            <m:t>e</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13</m:t>
          </m:r>
          <m:r>
            <m:rPr>
              <m:sty m:val="p"/>
            </m:rPr>
            <w:rPr>
              <w:color w:val="C00000"/>
              <w:strike/>
              <w:color w:val="C00000"/>
              <w:strike/>
            </w:rPr>
            <m:t>)</m:t>
          </m:r>
        </m:oMath>
      </m:oMathPara>
    </w:p>
    <w:p>
      <w:pPr>
        <w:pStyle w:val="DeletedPara"/>
      </w:pPr>
      <w:r>
        <w:rPr>
          <w:rStyle w:val="DeletedText"/>
        </w:rPr>
        <w:t xml:space="preserve">the request must be rejected when</w:t>
      </w:r>
    </w:p>
    <w:p>
      <w:pPr>
        <w:pStyle w:val="InsertedPara"/>
      </w:pPr>
      <w:r>
        <w:rPr>
          <w:rStyle w:val="InsertedText"/>
        </w:rPr>
        <w:t xml:space="preserve">For example, the request in Eq. (4) must be rejected because</w:t>
      </w:r>
      <w:r>
        <w:rPr>
          <w:rStyle w:val="InsertedText"/>
        </w:rPr>
        <w:t xml:space="preserve"> </w:t>
      </w:r>
      <m:oMath>
        <m:sSub>
          <m:e>
            <m:r>
              <w:rPr>
                <w:color w:val="C00000"/>
              </w:rPr>
              <m:t>S</m:t>
            </m:r>
          </m:e>
          <m:sub>
            <m:r>
              <w:rPr>
                <w:color w:val="C00000"/>
              </w:rPr>
              <m:t>R</m:t>
            </m:r>
          </m:sub>
        </m:sSub>
        <m:r>
          <m:rPr>
            <m:sty m:val="p"/>
          </m:rPr>
          <w:rPr>
            <w:color w:val="C00000"/>
          </w:rPr>
          <m:t>⊈</m:t>
        </m:r>
        <m:sSub>
          <m:e>
            <m:r>
              <w:rPr>
                <w:color w:val="C00000"/>
              </w:rPr>
              <m:t>S</m:t>
            </m:r>
          </m:e>
          <m:sub>
            <m:r>
              <w:rPr>
                <w:color w:val="C00000"/>
              </w:rPr>
              <m:t>C</m:t>
            </m:r>
          </m:sub>
        </m:sSub>
      </m:oMath>
      <w:r>
        <w:rPr>
          <w:rStyle w:val="InsertedText"/>
        </w:rPr>
        <w:t xml:space="preserve"> </w:t>
      </w:r>
      <w:r>
        <w:rPr>
          <w:rStyle w:val="InsertedText"/>
        </w:rPr>
        <w:t xml:space="preserve">(Eq. (5)).</w:t>
      </w:r>
    </w:p>
    <w:p>
      <w:pPr>
        <w:pStyle w:val="BodyText"/>
      </w:pPr>
      <w:r>
        <w:rPr>
          <w:rStyle w:val="ReviewerNote"/>
        </w:rPr>
        <w:t xml:space="preserve">delete repeated equation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sSub>
            <m:e>
              <m:r>
                <w:rPr>
                  <w:color w:val="C00000"/>
                  <w:strike/>
                </w:rPr>
                <m:t>S</m:t>
              </m:r>
            </m:e>
            <m:sub>
              <m:r>
                <w:rPr>
                  <w:color w:val="C00000"/>
                  <w:strike/>
                </w:rPr>
                <m:t>C</m:t>
              </m:r>
            </m:sub>
          </m:sSub>
          <m:r>
            <m:rPr>
              <m:sty m:val="p"/>
            </m:rPr>
            <w:rPr>
              <w:color w:val="C00000"/>
              <w:strike/>
            </w:rPr>
            <m:t>.</m:t>
          </m:r>
          <m:r>
            <w:rPr>
              <w:color w:val="C00000"/>
              <w:strike/>
            </w:rPr>
            <m:t>  </m:t>
          </m:r>
          <m:r>
            <w:rPr>
              <w:color w:val="C00000"/>
              <w:strike/>
            </w:rPr>
            <m:t>  </m:t>
          </m:r>
          <m:r>
            <m:rPr>
              <m:sty m:val="p"/>
            </m:rPr>
            <w:rPr>
              <w:color w:val="C00000"/>
              <w:strike/>
            </w:rPr>
            <m:t>(</m:t>
          </m:r>
          <m:r>
            <w:rPr>
              <w:color w:val="C00000"/>
              <w:strike/>
            </w:rPr>
            <m:t>14</m:t>
          </m:r>
          <m:r>
            <m:rPr>
              <m:sty m:val="p"/>
            </m:rPr>
            <w:rPr>
              <w:color w:val="C00000"/>
              <w:strike/>
            </w:rPr>
            <m:t>)</m:t>
          </m:r>
        </m:oMath>
      </m:oMathPara>
    </w:p>
    <w:p>
      <w:pPr>
        <w:pStyle w:val="FirstParagraph"/>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44"/>
    <w:bookmarkStart w:id="45" w:name="srq5-temporal-and-lifecycle-trust"/>
    <w:p>
      <w:pPr>
        <w:pStyle w:val="Heading3"/>
      </w:pPr>
      <w:r>
        <w:t xml:space="preserve">3.3.5 SRQ5: Temporal and Lifecycle Trust</w:t>
      </w:r>
    </w:p>
    <w:p>
      <w:pPr>
        <w:pStyle w:val="FirstParagraph"/>
      </w:pPr>
      <w:r>
        <w:t xml:space="preserve">The fifth sub-research question is</w:t>
      </w:r>
      <w:r>
        <w:rPr>
          <w:rStyle w:val="InsertedText"/>
        </w:rPr>
        <w:t xml:space="preserve">:</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rPr>
          <w:i/>
          <w:iCs/>
        </w:rPr>
        <w:t xml:space="preserve">, 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15</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16</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17</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18</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45"/>
    <w:bookmarkStart w:id="46" w:name="X7c6b045f751290aa07830b72c2ac7e52de8dcce"/>
    <w:p>
      <w:pPr>
        <w:pStyle w:val="Heading3"/>
      </w:pPr>
      <w:r>
        <w:t xml:space="preserve">3.3.6 SRQ6: Formal Security Assurance and Empirical Validation</w:t>
      </w:r>
    </w:p>
    <w:p>
      <w:pPr>
        <w:pStyle w:val="FirstParagraph"/>
      </w:pPr>
      <w:r>
        <w:t xml:space="preserve">The sixth sub-research question is</w:t>
      </w:r>
      <w:r>
        <w:rPr>
          <w:rStyle w:val="InsertedText"/>
        </w:rPr>
        <w:t xml:space="preserve">:</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19</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20</m:t>
          </m:r>
          <m:r>
            <m:rPr>
              <m:sty m:val="p"/>
            </m:rPr>
            <m:t>)</m:t>
          </m:r>
        </m:oMath>
      </m:oMathPara>
    </w:p>
    <w:p>
      <w:pPr>
        <w:pStyle w:val="FirstParagraph"/>
      </w:pPr>
      <w:r>
        <w:t xml:space="preserve">authorisation integrity</w:t>
      </w:r>
      <w:r>
        <w:rPr>
          <w:rStyle w:val="InsertedText"/>
        </w:rPr>
        <w:t xml:space="preserve">, formulated as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21</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22</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23</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24</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w:t>
      </w:r>
      <w:r>
        <w:t xml:space="preserve"> </w:t>
      </w:r>
      <w:r>
        <w:rPr>
          <w:rStyle w:val="InsertedText"/>
        </w:rPr>
        <w:t xml:space="preserve">[38]</w:t>
      </w:r>
      <w:r>
        <w:t xml:space="preserve"> </w:t>
      </w:r>
      <w:r>
        <w:t xml:space="preserve">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25</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26</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w:t>
      </w:r>
      <w:r>
        <w:t xml:space="preserve"> </w:t>
      </w:r>
      <w:r>
        <w:rPr>
          <w:rStyle w:val="DeletedText"/>
        </w:rPr>
        <w:t xml:space="preserve">programme</w:t>
      </w:r>
      <w:r>
        <w:rPr>
          <w:rStyle w:val="InsertedText"/>
        </w:rPr>
        <w:t xml:space="preserve">program</w:t>
      </w:r>
      <w:r>
        <w:t xml:space="preserve"> </w:t>
      </w:r>
      <w:r>
        <w:t xml:space="preserve">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46"/>
    <w:bookmarkEnd w:id="47"/>
    <w:bookmarkStart w:id="48"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27</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w:t>
      </w:r>
      <w:r>
        <w:t xml:space="preserve"> </w:t>
      </w:r>
      <w:r>
        <w:rPr>
          <w:rStyle w:val="DeletedText"/>
        </w:rPr>
        <w:t xml:space="preserve">results in denial that</w:t>
      </w:r>
      <w:r>
        <w:rPr>
          <w:rStyle w:val="InsertedText"/>
        </w:rPr>
        <w:t xml:space="preserve">results in denial, as stated by Eq. (21).</w:t>
      </w:r>
    </w:p>
    <w:p>
      <w:pPr>
        <w:pStyle w:val="BodyText"/>
      </w:pPr>
      <w:r>
        <w:rPr>
          <w:rStyle w:val="ReviewerNote"/>
        </w:rPr>
        <w:t xml:space="preserve">delete repeated equation ▸</w:t>
      </w:r>
      <w:r>
        <w:t xml:space="preserve"> </w:t>
      </w:r>
      <m:oMathPara>
        <m:oMathParaPr>
          <m:jc m:val="center"/>
        </m:oMathParaPr>
        <m:oMath>
          <m:r>
            <m:rPr>
              <m:sty m:val="p"/>
            </m:rPr>
            <w:rPr>
              <w:color w:val="C00000"/>
              <w:strike/>
            </w:rPr>
            <m:t>¬</m:t>
          </m:r>
          <m:r>
            <m:rPr>
              <m:sty m:val="p"/>
            </m:rPr>
            <w:rPr>
              <w:color w:val="C00000"/>
              <w:strike/>
            </w:rPr>
            <m:t>(</m:t>
          </m:r>
          <m:sSub>
            <m:e>
              <m:r>
                <w:rPr>
                  <w:color w:val="C00000"/>
                  <w:strike/>
                </w:rPr>
                <m:t>V</m:t>
              </m:r>
            </m:e>
            <m:sub>
              <m:r>
                <w:rPr>
                  <w:color w:val="C00000"/>
                  <w:strike/>
                </w:rPr>
                <m:t>I</m:t>
              </m:r>
            </m:sub>
          </m:sSub>
          <m:r>
            <m:rPr>
              <m:sty m:val="p"/>
            </m:rPr>
            <w:rPr>
              <w:color w:val="C00000"/>
              <w:strike/>
            </w:rPr>
            <m:t>∧</m:t>
          </m:r>
          <m:sSub>
            <m:e>
              <m:r>
                <w:rPr>
                  <w:color w:val="C00000"/>
                  <w:strike/>
                </w:rPr>
                <m:t>V</m:t>
              </m:r>
            </m:e>
            <m:sub>
              <m:r>
                <w:rPr>
                  <w:color w:val="C00000"/>
                  <w:strike/>
                </w:rPr>
                <m:t>A</m:t>
              </m:r>
            </m:sub>
          </m:sSub>
          <m:r>
            <m:rPr>
              <m:sty m:val="p"/>
            </m:rPr>
            <w:rPr>
              <w:color w:val="C00000"/>
              <w:strike/>
            </w:rPr>
            <m:t>∧</m:t>
          </m:r>
          <m:sSub>
            <m:e>
              <m:r>
                <w:rPr>
                  <w:color w:val="C00000"/>
                  <w:strike/>
                </w:rPr>
                <m:t>V</m:t>
              </m:r>
            </m:e>
            <m:sub>
              <m:r>
                <w:rPr>
                  <w:color w:val="C00000"/>
                  <w:strike/>
                </w:rPr>
                <m:t>P</m:t>
              </m:r>
            </m:sub>
          </m:sSub>
          <m:r>
            <m:rPr>
              <m:sty m:val="p"/>
            </m:rPr>
            <w:rPr>
              <w:color w:val="C00000"/>
              <w:strike/>
            </w:rPr>
            <m:t>∧</m:t>
          </m:r>
          <m:sSub>
            <m:e>
              <m:r>
                <w:rPr>
                  <w:color w:val="C00000"/>
                  <w:strike/>
                </w:rPr>
                <m:t>V</m:t>
              </m:r>
            </m:e>
            <m:sub>
              <m:r>
                <w:rPr>
                  <w:color w:val="C00000"/>
                  <w:strike/>
                </w:rPr>
                <m:t>T</m:t>
              </m:r>
            </m:sub>
          </m:sSub>
          <m:r>
            <m:rPr>
              <m:sty m:val="p"/>
            </m:rPr>
            <w:rPr>
              <w:color w:val="C00000"/>
              <w:strike/>
            </w:rPr>
            <m:t>∧</m:t>
          </m:r>
          <m:sSub>
            <m:e>
              <m:r>
                <w:rPr>
                  <w:color w:val="C00000"/>
                  <w:strike/>
                </w:rPr>
                <m:t>V</m:t>
              </m:r>
            </m:e>
            <m:sub>
              <m:r>
                <w:rPr>
                  <w:color w:val="C00000"/>
                  <w:strike/>
                </w:rPr>
                <m:t>L</m:t>
              </m:r>
            </m:sub>
          </m:sSub>
          <m:r>
            <m:rPr>
              <m:sty m:val="p"/>
            </m:rPr>
            <w:rPr>
              <w:color w:val="C00000"/>
              <w:strike/>
            </w:rPr>
            <m:t>)</m:t>
          </m:r>
          <m:r>
            <m:rPr>
              <m:sty m:val="p"/>
            </m:rPr>
            <w:rPr>
              <w:color w:val="C00000"/>
              <w:strike/>
            </w:rPr>
            <m:t>⇒</m:t>
          </m:r>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28</m:t>
          </m:r>
          <m:r>
            <m:rPr>
              <m:sty m:val="p"/>
            </m:rPr>
            <w:rPr>
              <w:color w:val="C00000"/>
              <w:strike/>
            </w:rPr>
            <m:t>)</m:t>
          </m:r>
        </m:oMath>
      </m:oMathPara>
    </w:p>
    <w:p>
      <w:pPr>
        <w:pStyle w:val="FirstParagraph"/>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w:t>
      </w:r>
      <w:r>
        <w:t xml:space="preserve"> </w:t>
      </w:r>
      <w:r>
        <w:rPr>
          <w:rStyle w:val="DeletedText"/>
        </w:rPr>
        <w:t xml:space="preserve">seamlessly</w:t>
      </w:r>
      <w:r>
        <w:t xml:space="preserve">connects user-facing trust with back-end system security.</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48"/>
    <w:bookmarkEnd w:id="49"/>
    <w:bookmarkStart w:id="57"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w:t>
      </w:r>
      <w:r>
        <w:t xml:space="preserve"> </w:t>
      </w:r>
      <w:r>
        <w:rPr>
          <w:rStyle w:val="DeletedText"/>
        </w:rPr>
        <w:t xml:space="preserve">programme</w:t>
      </w:r>
      <w:r>
        <w:rPr>
          <w:rStyle w:val="InsertedText"/>
        </w:rPr>
        <w:t xml:space="preserve">program</w:t>
      </w:r>
      <w:r>
        <w:t xml:space="preserve"> </w:t>
      </w:r>
      <w:r>
        <w:t xml:space="preserve">consists of six research objectives, corresponding to six research questions. The first four objectives establish the foundational trust-oriented authorisation mechanisms investigated</w:t>
      </w:r>
      <w:r>
        <w:t xml:space="preserve"> </w:t>
      </w:r>
      <w:r>
        <w:rPr>
          <w:rStyle w:val="DeletedText"/>
        </w:rPr>
        <w:t xml:space="preserve">during current stage</w:t>
      </w:r>
      <w:r>
        <w:rPr>
          <w:rStyle w:val="InsertedText"/>
        </w:rPr>
        <w:t xml:space="preserve">during the current stage</w:t>
      </w:r>
      <w:r>
        <w:t xml:space="preserve">, while the final two objectives extend and evaluate these mechanisms as part of the next research</w:t>
      </w:r>
      <w:r>
        <w:t xml:space="preserve"> </w:t>
      </w:r>
      <w:r>
        <w:rPr>
          <w:rStyle w:val="DeletedText"/>
        </w:rPr>
        <w:t xml:space="preserve">programme</w:t>
      </w:r>
      <w:r>
        <w:rPr>
          <w:rStyle w:val="InsertedText"/>
        </w:rPr>
        <w:t xml:space="preserve">program</w:t>
      </w:r>
      <w:r>
        <w:t xml:space="preserve">.</w:t>
      </w:r>
    </w:p>
    <w:bookmarkStart w:id="50"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w:t>
      </w:r>
      <w:r>
        <w:t xml:space="preserve"> </w:t>
      </w:r>
      <w:r>
        <w:rPr>
          <w:rStyle w:val="DeletedText"/>
        </w:rPr>
        <w:t xml:space="preserve">RQ1</w:t>
      </w:r>
      <w:r>
        <w:rPr>
          <w:rStyle w:val="InsertedText"/>
        </w:rPr>
        <w:t xml:space="preserve">SRQ1</w:t>
      </w:r>
      <w:r>
        <w:t xml:space="preserve"> </w:t>
      </w:r>
      <w:r>
        <w:t xml:space="preserve">and establishes the conceptual foundation for the remaining objectives. In particular, it defines the information that must be represented before consent can be interpreted as an authorisation decision rather than merely as a static approval record.</w:t>
      </w:r>
    </w:p>
    <w:bookmarkEnd w:id="50"/>
    <w:bookmarkStart w:id="51"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w:t>
      </w:r>
      <w:r>
        <w:t xml:space="preserve"> </w:t>
      </w:r>
      <w:r>
        <w:rPr>
          <w:rStyle w:val="DeletedText"/>
        </w:rPr>
        <w:t xml:space="preserve">RQ2</w:t>
      </w:r>
      <w:r>
        <w:rPr>
          <w:rStyle w:val="InsertedText"/>
        </w:rPr>
        <w:t xml:space="preserve">SRQ2</w:t>
      </w:r>
      <w:r>
        <w:t xml:space="preserve"> </w:t>
      </w:r>
      <w:r>
        <w:t xml:space="preserve">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1"/>
    <w:bookmarkStart w:id="52"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w:t>
      </w:r>
      <w:r>
        <w:t xml:space="preserve"> </w:t>
      </w:r>
      <w:r>
        <w:rPr>
          <w:rStyle w:val="DeletedText"/>
        </w:rPr>
        <w:t xml:space="preserve">RQ3</w:t>
      </w:r>
      <w:r>
        <w:rPr>
          <w:rStyle w:val="InsertedText"/>
        </w:rPr>
        <w:t xml:space="preserve">SRQ3</w:t>
      </w:r>
      <w:r>
        <w:t xml:space="preserve"> </w:t>
      </w:r>
      <w:r>
        <w:t xml:space="preserve">and extends the consent model from an individual permission statement to a collective authorisation decision.</w:t>
      </w:r>
    </w:p>
    <w:bookmarkEnd w:id="52"/>
    <w:bookmarkStart w:id="53"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w:t>
      </w:r>
      <w:r>
        <w:t xml:space="preserve"> </w:t>
      </w:r>
      <w:r>
        <w:rPr>
          <w:rStyle w:val="DeletedText"/>
        </w:rPr>
        <w:t xml:space="preserve">RQ4</w:t>
      </w:r>
      <w:r>
        <w:rPr>
          <w:rStyle w:val="InsertedText"/>
        </w:rPr>
        <w:t xml:space="preserve">SRQ4</w:t>
      </w:r>
      <w:r>
        <w:t xml:space="preserve"> </w:t>
      </w:r>
      <w:r>
        <w:t xml:space="preserve">and completes the foundational authorisation model investigated</w:t>
      </w:r>
      <w:r>
        <w:t xml:space="preserve"> </w:t>
      </w:r>
      <w:r>
        <w:rPr>
          <w:rStyle w:val="DeletedText"/>
        </w:rPr>
        <w:t xml:space="preserve">during current stage</w:t>
      </w:r>
      <w:r>
        <w:rPr>
          <w:rStyle w:val="InsertedText"/>
        </w:rPr>
        <w:t xml:space="preserve">during the current stage</w:t>
      </w:r>
      <w:r>
        <w:t xml:space="preserve">. Together, RO1–RO4 establish the representation, verification, collective authorisation, and policy-enforcement mechanisms required for a trust-oriented healthcare data-sharing decision.</w:t>
      </w:r>
    </w:p>
    <w:bookmarkEnd w:id="53"/>
    <w:bookmarkStart w:id="54"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w:t>
      </w:r>
      <w:r>
        <w:t xml:space="preserve"> </w:t>
      </w:r>
      <w:r>
        <w:rPr>
          <w:rStyle w:val="DeletedText"/>
        </w:rPr>
        <w:t xml:space="preserve">RQ5</w:t>
      </w:r>
      <w:r>
        <w:rPr>
          <w:rStyle w:val="InsertedText"/>
        </w:rPr>
        <w:t xml:space="preserve">SRQ5</w:t>
      </w:r>
      <w:r>
        <w:t xml:space="preserve"> </w:t>
      </w:r>
      <w:r>
        <w:t xml:space="preserve">and extends the foundational current stage authorisation model into a dynamic consent environment.</w:t>
      </w:r>
      <w:r>
        <w:t xml:space="preserve"> </w:t>
      </w:r>
      <w:r>
        <w:rPr>
          <w:rStyle w:val="DeletedText"/>
        </w:rPr>
        <w:t xml:space="preserve">Whereas current stage</w:t>
      </w:r>
      <w:r>
        <w:rPr>
          <w:rStyle w:val="InsertedText"/>
        </w:rPr>
        <w:t xml:space="preserve">Whereas the current stage</w:t>
      </w:r>
      <w:r>
        <w:t xml:space="preserve"> </w:t>
      </w:r>
      <w:r>
        <w:t xml:space="preserve">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w:t>
      </w:r>
      <w:r>
        <w:t xml:space="preserve"> </w:t>
      </w:r>
      <w:r>
        <w:rPr>
          <w:rStyle w:val="DeletedText"/>
        </w:rPr>
        <w:t xml:space="preserve">next stageresearch</w:t>
      </w:r>
      <w:r>
        <w:rPr>
          <w:rStyle w:val="InsertedText"/>
        </w:rPr>
        <w:t xml:space="preserve">next-stage research</w:t>
      </w:r>
      <w:r>
        <w:t xml:space="preserve"> </w:t>
      </w:r>
      <w:r>
        <w:rPr>
          <w:rStyle w:val="DeletedText"/>
        </w:rPr>
        <w:t xml:space="preserve">programme</w:t>
      </w:r>
      <w:r>
        <w:rPr>
          <w:rStyle w:val="InsertedText"/>
        </w:rPr>
        <w:t xml:space="preserve">program</w:t>
      </w:r>
      <w:r>
        <w:t xml:space="preserve">. It will investigate how temporal and lifecycle conditions can be incorporated into the authorisation decision without weakening the trust relationships established by the current stage mechanisms.</w:t>
      </w:r>
    </w:p>
    <w:bookmarkEnd w:id="54"/>
    <w:bookmarkStart w:id="55"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w:t>
      </w:r>
      <w:r>
        <w:t xml:space="preserve"> </w:t>
      </w:r>
      <w:r>
        <w:rPr>
          <w:rStyle w:val="DeletedText"/>
        </w:rPr>
        <w:t xml:space="preserve">RQ6</w:t>
      </w:r>
      <w:r>
        <w:rPr>
          <w:rStyle w:val="InsertedText"/>
        </w:rPr>
        <w:t xml:space="preserve">SRQ6</w:t>
      </w:r>
      <w:r>
        <w:t xml:space="preserve"> </w:t>
      </w:r>
      <w:r>
        <w:t xml:space="preserve">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w:t>
      </w:r>
      <w:r>
        <w:t xml:space="preserve"> </w:t>
      </w:r>
      <w:r>
        <w:rPr>
          <w:rStyle w:val="DeletedText"/>
        </w:rPr>
        <w:t xml:space="preserve">as part of next stage works</w:t>
      </w:r>
      <w:r>
        <w:rPr>
          <w:rStyle w:val="InsertedText"/>
        </w:rPr>
        <w:t xml:space="preserve">as part of the next-stage work</w:t>
      </w:r>
      <w:r>
        <w:t xml:space="preserve">.</w:t>
      </w:r>
    </w:p>
    <w:bookmarkEnd w:id="55"/>
    <w:bookmarkStart w:id="56"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w:t>
      </w:r>
      <w:r>
        <w:t xml:space="preserve"> </w:t>
      </w:r>
      <w:r>
        <w:rPr>
          <w:rStyle w:val="DeletedText"/>
        </w:rPr>
        <w:t xml:space="preserve">Table 3 and Table 3</w:t>
      </w:r>
      <w:r>
        <w:rPr>
          <w:rStyle w:val="InsertedText"/>
        </w:rPr>
        <w:t xml:space="preserve">Table 3 and Table 4</w:t>
      </w:r>
      <w:r>
        <w:t xml:space="preserve">. The mapping follows the structure of the research</w:t>
      </w:r>
      <w:r>
        <w:t xml:space="preserve"> </w:t>
      </w:r>
      <w:r>
        <w:rPr>
          <w:rStyle w:val="DeletedText"/>
        </w:rPr>
        <w:t xml:space="preserve">programme</w:t>
      </w:r>
      <w:r>
        <w:rPr>
          <w:rStyle w:val="InsertedText"/>
        </w:rPr>
        <w:t xml:space="preserve">program</w:t>
      </w:r>
      <w:r>
        <w:t xml:space="preserve"> </w:t>
      </w:r>
      <w:r>
        <w:t xml:space="preserve">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w:t>
      </w:r>
      <w:r>
        <w:t xml:space="preserve"> </w:t>
      </w:r>
      <w:r>
        <w:rPr>
          <w:rStyle w:val="DeletedText"/>
        </w:rPr>
        <w:t xml:space="preserve">Current stage establishes</w:t>
      </w:r>
      <w:r>
        <w:rPr>
          <w:rStyle w:val="InsertedText"/>
        </w:rPr>
        <w:t xml:space="preserve">The current stage establishes</w:t>
      </w:r>
      <w:r>
        <w:t xml:space="preserve"> </w:t>
      </w:r>
      <w:r>
        <w:t xml:space="preserve">the foundational mechanisms and their conceptual relationships,</w:t>
      </w:r>
      <w:r>
        <w:t xml:space="preserve"> </w:t>
      </w:r>
      <w:r>
        <w:rPr>
          <w:rStyle w:val="DeletedText"/>
        </w:rPr>
        <w:t xml:space="preserve">whereas next stage investigates</w:t>
      </w:r>
      <w:r>
        <w:rPr>
          <w:rStyle w:val="InsertedText"/>
        </w:rPr>
        <w:t xml:space="preserve">whereas the next stage investigates</w:t>
      </w:r>
      <w:r>
        <w:t xml:space="preserve"> </w:t>
      </w:r>
      <w:r>
        <w:t xml:space="preserve">whether these mechanisms remain reliable under dynamic lifecycle conditions and whether their security and practical effectiveness can be formally and empirically demonstrated.</w:t>
      </w:r>
    </w:p>
    <w:p>
      <w:pPr>
        <w:pStyle w:val="TableCaption"/>
      </w:pPr>
      <w:r>
        <w:t xml:space="preserve">Table 3: Research Questions, Research Objectives, and Thesis Chapters for Current Stage</w:t>
      </w:r>
    </w:p>
    <w:tbl>
      <w:tblPr>
        <w:tblStyle w:val="Table"/>
        <w:tblW w:type="pct" w:w="5000"/>
        <w:tblLayout w:type="fixed"/>
        <w:tblLook w:firstRow="1" w:lastRow="0" w:firstColumn="0" w:lastColumn="0" w:noHBand="0" w:noVBand="0" w:val="0020"/>
        <w:tblCaption w:val="Table 3: Research Questions, Research Objectives, and Thesis Chapters for Current Stage"/>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rStyle w:val="DeletedText"/>
                <w:b/>
                <w:bCs/>
              </w:rPr>
              <w:t xml:space="preserve">RQ</w:t>
            </w:r>
            <w:r>
              <w:rPr>
                <w:rStyle w:val="InsertedText"/>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rStyle w:val="DeletedText"/>
                <w:b/>
                <w:bCs/>
              </w:rPr>
              <w:t xml:space="preserve">RQ1</w:t>
            </w:r>
            <w:r>
              <w:rPr>
                <w:rStyle w:val="InsertedText"/>
                <w:b/>
                <w:bCs/>
              </w:rPr>
              <w:t xml:space="preserve">SRQ1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rStyle w:val="DeletedText"/>
                <w:b/>
                <w:bCs/>
              </w:rPr>
              <w:t xml:space="preserve">RQ2</w:t>
            </w:r>
            <w:r>
              <w:rPr>
                <w:rStyle w:val="InsertedText"/>
                <w:b/>
                <w:bCs/>
              </w:rPr>
              <w:t xml:space="preserve">SRQ2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rStyle w:val="DeletedText"/>
                <w:b/>
                <w:bCs/>
              </w:rPr>
              <w:t xml:space="preserve">RQ3</w:t>
            </w:r>
            <w:r>
              <w:rPr>
                <w:rStyle w:val="InsertedText"/>
                <w:b/>
                <w:bCs/>
              </w:rPr>
              <w:t xml:space="preserve">SRQ3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 Research Questions, Research Objectives, and</w:t>
      </w:r>
      <w:r>
        <w:t xml:space="preserve"> </w:t>
      </w:r>
      <w:r>
        <w:rPr>
          <w:rStyle w:val="DeletedText"/>
        </w:rPr>
        <w:t xml:space="preserve">Thesis Chapters for CA3</w:t>
      </w:r>
      <w:r>
        <w:rPr>
          <w:rStyle w:val="InsertedText"/>
        </w:rPr>
        <w:t xml:space="preserve">Thesis Chapters (continued: RQ4 current stage; RQ5–RQ6 CA3)</w:t>
      </w:r>
    </w:p>
    <w:tbl>
      <w:tblPr>
        <w:tblStyle w:val="Table"/>
        <w:tblW w:type="pct" w:w="5000"/>
        <w:tblLayout w:type="fixed"/>
        <w:tblLook w:firstRow="1" w:lastRow="0" w:firstColumn="0" w:lastColumn="0" w:noHBand="0" w:noVBand="0" w:val="0020"/>
        <w:tblCaption w:val="Table 4: Research Questions, Research Objectives, and Thesis Chapters for CA3Thesis Chapters (continued: RQ4 current stage; RQ5–RQ6 CA3)"/>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rStyle w:val="DeletedText"/>
                <w:b/>
                <w:bCs/>
              </w:rPr>
              <w:t xml:space="preserve">RQ</w:t>
            </w:r>
            <w:r>
              <w:rPr>
                <w:rStyle w:val="InsertedText"/>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rStyle w:val="DeletedText"/>
                <w:b/>
                <w:bCs/>
              </w:rPr>
              <w:t xml:space="preserve">RQ4</w:t>
            </w:r>
            <w:r>
              <w:rPr>
                <w:rStyle w:val="InsertedText"/>
                <w:b/>
                <w:bCs/>
              </w:rPr>
              <w:t xml:space="preserve">SRQ4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rStyle w:val="DeletedText"/>
                <w:b/>
                <w:bCs/>
              </w:rPr>
              <w:t xml:space="preserve">RQ5</w:t>
            </w:r>
            <w:r>
              <w:rPr>
                <w:rStyle w:val="InsertedText"/>
                <w:b/>
                <w:bCs/>
              </w:rPr>
              <w:t xml:space="preserve">SRQ5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rStyle w:val="DeletedText"/>
                <w:b/>
                <w:bCs/>
              </w:rPr>
              <w:t xml:space="preserve">RQ6</w:t>
            </w:r>
            <w:r>
              <w:rPr>
                <w:rStyle w:val="InsertedText"/>
                <w:b/>
                <w:bCs/>
              </w:rPr>
              <w:t xml:space="preserve">SRQ6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w:t>
      </w:r>
      <w:r>
        <w:t xml:space="preserve"> </w:t>
      </w:r>
      <w:r>
        <w:rPr>
          <w:rStyle w:val="DeletedText"/>
        </w:rPr>
        <w:t xml:space="preserve">the authorisation decision is expressed as</w:t>
      </w:r>
      <w:r>
        <w:rPr>
          <w:rStyle w:val="InsertedText"/>
        </w:rPr>
        <w:t xml:space="preserve">the authorisation decision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29</m:t>
          </m:r>
          <m:r>
            <m:rPr>
              <m:sty m:val="p"/>
            </m:rPr>
            <w:rPr>
              <w:color w:val="C00000"/>
              <w:strike/>
            </w: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w:t>
      </w:r>
      <w:r>
        <w:t xml:space="preserve"> </w:t>
      </w:r>
      <w:r>
        <w:rPr>
          <w:rStyle w:val="DeletedText"/>
        </w:rPr>
        <w:t xml:space="preserve">incorporating temporal and lifecycle conditions</w:t>
      </w:r>
      <w:r>
        <w:rPr>
          <w:rStyle w:val="InsertedText"/>
        </w:rPr>
        <w:t xml:space="preserve">incorporating temporal and lifecycle conditions, as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30</m:t>
          </m:r>
          <m:r>
            <m:rPr>
              <m:sty m:val="p"/>
            </m:rPr>
            <w:rPr>
              <w:color w:val="C00000"/>
              <w:strike/>
            </w:rPr>
            <m:t>)</m:t>
          </m:r>
        </m:oMath>
      </m:oMathPara>
    </w:p>
    <w:p>
      <w:pPr>
        <w:pStyle w:val="FirstParagraph"/>
      </w:pPr>
      <w:r>
        <w:t xml:space="preserve">where</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 research on dynamic trust, formal assurance, and comprehensive validation.</w:t>
      </w:r>
    </w:p>
    <w:bookmarkEnd w:id="56"/>
    <w:bookmarkEnd w:id="57"/>
    <w:bookmarkStart w:id="85"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w:t>
      </w:r>
      <w:r>
        <w:t xml:space="preserve"> </w:t>
      </w:r>
      <w:r>
        <w:rPr>
          <w:i/>
          <w:iCs/>
        </w:rPr>
        <w:t xml:space="preserve">interact with it</w:t>
      </w:r>
      <w:r>
        <w:t xml:space="preserve">, and</w:t>
      </w:r>
      <w:r>
        <w:t xml:space="preserve"> </w:t>
      </w:r>
      <w:r>
        <w:rPr>
          <w:i/>
          <w:iCs/>
        </w:rPr>
        <w:t xml:space="preserve">how trust is enforced</w:t>
      </w:r>
      <w:r>
        <w:t xml:space="preserve">.</w:t>
      </w:r>
    </w:p>
    <w:bookmarkStart w:id="71"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w:t>
      </w:r>
      <w:r>
        <w:t xml:space="preserve"> </w:t>
      </w:r>
      <w:r>
        <w:rPr>
          <w:i/>
          <w:iCs/>
        </w:rPr>
        <w:t xml:space="preserve">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486400" cy="5604289"/>
            <wp:effectExtent b="0" l="0" r="0" t="0"/>
            <wp:docPr descr="Figure 3: Layered MVC Architecture and Component Decomposition of the HALAH Framework" title="" id="59" name="Picture"/>
            <a:graphic>
              <a:graphicData uri="http://schemas.openxmlformats.org/drawingml/2006/picture">
                <pic:pic>
                  <pic:nvPicPr>
                    <pic:cNvPr descr="media_col/fig03.png" id="60" name="Picture"/>
                    <pic:cNvPicPr>
                      <a:picLocks noChangeArrowheads="1" noChangeAspect="1"/>
                    </pic:cNvPicPr>
                  </pic:nvPicPr>
                  <pic:blipFill>
                    <a:blip r:embed="rId58"/>
                    <a:stretch>
                      <a:fillRect/>
                    </a:stretch>
                  </pic:blipFill>
                  <pic:spPr bwMode="auto">
                    <a:xfrm>
                      <a:off x="0" y="0"/>
                      <a:ext cx="5486400" cy="5604289"/>
                    </a:xfrm>
                    <a:prstGeom prst="rect">
                      <a:avLst/>
                    </a:prstGeom>
                    <a:noFill/>
                    <a:ln w="9525">
                      <a:noFill/>
                      <a:headEnd/>
                      <a:tailEnd/>
                    </a:ln>
                  </pic:spPr>
                </pic:pic>
              </a:graphicData>
            </a:graphic>
          </wp:inline>
        </w:drawing>
      </w:r>
    </w:p>
    <w:p>
      <w:pPr>
        <w:pStyle w:val="ImageCaption"/>
      </w:pPr>
      <w:r>
        <w:t xml:space="preserve">Figure 3: Layered MVC Architecture and Component Decomposition of the HALAH Framework</w:t>
      </w:r>
    </w:p>
    <w:p>
      <w:pPr>
        <w:pStyle w:val="ReviewerNotePara"/>
      </w:pPr>
      <w:r>
        <w:rPr>
          <w:rStyle w:val="ReviewerNote"/>
        </w:rPr>
        <w:t xml:space="preserve">Figure re-drawn in the same design and colours (actors on top, then the View, Controller and Model layers, as in the original order). Fixes: every label is now readable at print size, connectors no longer run through the boxes, and the</w:t>
      </w:r>
      <w:r>
        <w:rPr>
          <w:rStyle w:val="ReviewerNote"/>
        </w:rPr>
        <w:t xml:space="preserve"> </w:t>
      </w:r>
      <w:r>
        <w:rPr>
          <w:rStyle w:val="ReviewerNote"/>
        </w:rPr>
        <w:t xml:space="preserve">‘MODEL LAYER’</w:t>
      </w:r>
      <w:r>
        <w:rPr>
          <w:rStyle w:val="ReviewerNote"/>
        </w:rPr>
        <w:t xml:space="preserve"> </w:t>
      </w:r>
      <w:r>
        <w:rPr>
          <w:rStyle w:val="ReviewerNote"/>
        </w:rPr>
        <w:t xml:space="preserve">title is no longer covered; components and connections unchanged and matching Section 5.1.</w:t>
      </w:r>
    </w:p>
    <w:bookmarkStart w:id="64"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CaptionedFigure"/>
      </w:pPr>
      <w:r>
        <w:drawing>
          <wp:inline>
            <wp:extent cx="5486400" cy="3008970"/>
            <wp:effectExtent b="0" l="0" r="0" t="0"/>
            <wp:docPr descr="Figure 4: Functional Decomposition of the MVC Components" title="" id="62" name="Picture"/>
            <a:graphic>
              <a:graphicData uri="http://schemas.openxmlformats.org/drawingml/2006/picture">
                <pic:pic>
                  <pic:nvPicPr>
                    <pic:cNvPr descr="media_col/fig04.png" id="63" name="Picture"/>
                    <pic:cNvPicPr>
                      <a:picLocks noChangeArrowheads="1" noChangeAspect="1"/>
                    </pic:cNvPicPr>
                  </pic:nvPicPr>
                  <pic:blipFill>
                    <a:blip r:embed="rId61"/>
                    <a:stretch>
                      <a:fillRect/>
                    </a:stretch>
                  </pic:blipFill>
                  <pic:spPr bwMode="auto">
                    <a:xfrm>
                      <a:off x="0" y="0"/>
                      <a:ext cx="5486400" cy="3008970"/>
                    </a:xfrm>
                    <a:prstGeom prst="rect">
                      <a:avLst/>
                    </a:prstGeom>
                    <a:noFill/>
                    <a:ln w="9525">
                      <a:noFill/>
                      <a:headEnd/>
                      <a:tailEnd/>
                    </a:ln>
                  </pic:spPr>
                </pic:pic>
              </a:graphicData>
            </a:graphic>
          </wp:inline>
        </w:drawing>
      </w:r>
    </w:p>
    <w:p>
      <w:pPr>
        <w:pStyle w:val="ImageCaption"/>
      </w:pPr>
      <w:r>
        <w:t xml:space="preserve">Figure 4: Functional Decomposition of the MVC Components</w:t>
      </w:r>
    </w:p>
    <w:p>
      <w:pPr>
        <w:pStyle w:val="ReviewerNotePara"/>
      </w:pPr>
      <w:r>
        <w:rPr>
          <w:rStyle w:val="ReviewerNote"/>
        </w:rPr>
        <w:t xml:space="preserve">Figure re-drawn in the same design and colours (View, Controller, Model, Protected Resource), stacked so every label is readable. Fixes to match Section 5.1.1:</w:t>
      </w:r>
      <w:r>
        <w:rPr>
          <w:rStyle w:val="ReviewerNote"/>
        </w:rPr>
        <w:t xml:space="preserve"> </w:t>
      </w:r>
      <w:r>
        <w:rPr>
          <w:rStyle w:val="ReviewerNote"/>
        </w:rPr>
        <w:t xml:space="preserve">‘Doctor’</w:t>
      </w:r>
      <w:r>
        <w:rPr>
          <w:rStyle w:val="ReviewerNote"/>
        </w:rPr>
        <w:t xml:space="preserve"> </w:t>
      </w:r>
      <w:r>
        <w:rPr>
          <w:rStyle w:val="ReviewerNote"/>
        </w:rPr>
        <w:t xml:space="preserve">→</w:t>
      </w:r>
      <w:r>
        <w:rPr>
          <w:rStyle w:val="ReviewerNote"/>
        </w:rPr>
        <w:t xml:space="preserve"> </w:t>
      </w:r>
      <w:r>
        <w:rPr>
          <w:rStyle w:val="ReviewerNote"/>
        </w:rPr>
        <w:t xml:space="preserve">‘Healthcare Professional’</w:t>
      </w:r>
      <w:r>
        <w:rPr>
          <w:rStyle w:val="ReviewerNote"/>
        </w:rPr>
        <w:t xml:space="preserve"> </w:t>
      </w:r>
      <w:r>
        <w:rPr>
          <w:rStyle w:val="ReviewerNote"/>
        </w:rPr>
        <w:t xml:space="preserve">(the text and Figure 3 use</w:t>
      </w:r>
      <w:r>
        <w:rPr>
          <w:rStyle w:val="ReviewerNote"/>
        </w:rPr>
        <w:t xml:space="preserve"> </w:t>
      </w:r>
      <w:r>
        <w:rPr>
          <w:rStyle w:val="ReviewerNote"/>
        </w:rPr>
        <w:t xml:space="preserve">‘healthcare professional’</w:t>
      </w:r>
      <w:r>
        <w:rPr>
          <w:rStyle w:val="ReviewerNote"/>
        </w:rPr>
        <w:t xml:space="preserve">) and</w:t>
      </w:r>
      <w:r>
        <w:rPr>
          <w:rStyle w:val="ReviewerNote"/>
        </w:rPr>
        <w:t xml:space="preserve"> </w:t>
      </w:r>
      <w:r>
        <w:rPr>
          <w:rStyle w:val="ReviewerNote"/>
        </w:rPr>
        <w:t xml:space="preserve">‘Audit Coordinator’</w:t>
      </w:r>
      <w:r>
        <w:rPr>
          <w:rStyle w:val="ReviewerNote"/>
        </w:rPr>
        <w:t xml:space="preserve"> </w:t>
      </w:r>
      <w:r>
        <w:rPr>
          <w:rStyle w:val="ReviewerNote"/>
        </w:rPr>
        <w:t xml:space="preserve">→</w:t>
      </w:r>
      <w:r>
        <w:rPr>
          <w:rStyle w:val="ReviewerNote"/>
        </w:rPr>
        <w:t xml:space="preserve"> </w:t>
      </w:r>
      <w:r>
        <w:rPr>
          <w:rStyle w:val="ReviewerNote"/>
        </w:rPr>
        <w:t xml:space="preserve">‘Audit Coordination’</w:t>
      </w:r>
      <w:r>
        <w:rPr>
          <w:rStyle w:val="ReviewerNote"/>
        </w:rPr>
        <w:t xml:space="preserve"> </w:t>
      </w:r>
      <w:r>
        <w:rPr>
          <w:rStyle w:val="ReviewerNote"/>
        </w:rPr>
        <w:t xml:space="preserve">(the text’s term).</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w:t>
      </w:r>
      <w:r>
        <w:t xml:space="preserve"> </w:t>
      </w:r>
      <w:r>
        <w:rPr>
          <w:i/>
          <w:iCs/>
        </w:rPr>
        <w:t xml:space="preserve">Engine</w:t>
      </w:r>
      <w:r>
        <w:t xml:space="preserve"> </w:t>
      </w:r>
      <w:r>
        <w:t xml:space="preserve">combines the resulting predicates into the final authorisation decision. Finally,</w:t>
      </w:r>
      <w:r>
        <w:t xml:space="preserve"> </w:t>
      </w:r>
      <w:r>
        <w:rPr>
          <w:i/>
          <w:iCs/>
        </w:rPr>
        <w:t xml:space="preserve">Audit</w:t>
      </w:r>
      <w:r>
        <w:t xml:space="preserve"> </w:t>
      </w:r>
      <w:r>
        <w:rPr>
          <w:i/>
          <w:iCs/>
        </w:rPr>
        <w:t xml:space="preserve">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64"/>
    <w:bookmarkStart w:id="68"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relationship between the MVC components and the trust predicates introduced by SRQ1–SRQ5 is illustrated in Figure 5.</w:t>
      </w:r>
    </w:p>
    <w:p>
      <w:pPr>
        <w:pStyle w:val="BodyText"/>
      </w:pPr>
      <w:r>
        <w:t xml:space="preserve">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rPr>
          <w:rStyle w:val="DeletedText"/>
        </w:rPr>
        <w:t xml:space="preserve">The integrated decision can therefore be expressed as</w:t>
      </w:r>
      <w:r>
        <w:rPr>
          <w:rStyle w:val="InsertedText"/>
        </w:rPr>
        <w:t xml:space="preserve">The integrated decision is therefore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31</m:t>
          </m:r>
          <m:r>
            <m:rPr>
              <m:sty m:val="p"/>
            </m:rPr>
            <w:rPr>
              <w:color w:val="C00000"/>
              <w:strike/>
            </w:rPr>
            <m:t>)</m:t>
          </m:r>
        </m:oMath>
      </m:oMathPara>
    </w:p>
    <w:p>
      <w:pPr>
        <w:pStyle w:val="FirstParagraph"/>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w:t>
      </w:r>
      <w:r>
        <w:t xml:space="preserve"> </w:t>
      </w:r>
      <w:r>
        <w:rPr>
          <w:rStyle w:val="DeletedText"/>
        </w:rPr>
        <w:t xml:space="preserve">evaluates to false, the decision is</w:t>
      </w:r>
      <w:r>
        <w:rPr>
          <w:rStyle w:val="InsertedText"/>
        </w:rPr>
        <w:t xml:space="preserve">evaluates to false, the decision is DENY (Eq. (21)).</w:t>
      </w:r>
    </w:p>
    <w:p>
      <w:pPr>
        <w:pStyle w:val="BodyText"/>
      </w:pPr>
      <w:r>
        <w:rPr>
          <w:rStyle w:val="ReviewerNote"/>
        </w:rPr>
        <w:t xml:space="preserve">delete repeated equation ▸</w:t>
      </w:r>
      <w:r>
        <w:t xml:space="preserve"> </w:t>
      </w:r>
      <m:oMathPara>
        <m:oMathParaPr>
          <m:jc m:val="center"/>
        </m:oMathParaPr>
        <m:oMath>
          <m:r>
            <m:rPr>
              <m:sty m:val="p"/>
            </m:rPr>
            <w:rPr>
              <w:color w:val="C00000"/>
              <w:strike/>
            </w:rPr>
            <m:t>¬</m:t>
          </m:r>
          <m:r>
            <m:rPr>
              <m:sty m:val="p"/>
            </m:rPr>
            <w:rPr>
              <w:color w:val="C00000"/>
              <w:strike/>
            </w:rPr>
            <m:t>(</m:t>
          </m:r>
          <m:sSub>
            <m:e>
              <m:r>
                <w:rPr>
                  <w:color w:val="C00000"/>
                  <w:strike/>
                </w:rPr>
                <m:t>V</m:t>
              </m:r>
            </m:e>
            <m:sub>
              <m:r>
                <w:rPr>
                  <w:color w:val="C00000"/>
                  <w:strike/>
                </w:rPr>
                <m:t>I</m:t>
              </m:r>
            </m:sub>
          </m:sSub>
          <m:r>
            <m:rPr>
              <m:sty m:val="p"/>
            </m:rPr>
            <w:rPr>
              <w:color w:val="C00000"/>
              <w:strike/>
            </w:rPr>
            <m:t>∧</m:t>
          </m:r>
          <m:sSub>
            <m:e>
              <m:r>
                <w:rPr>
                  <w:color w:val="C00000"/>
                  <w:strike/>
                </w:rPr>
                <m:t>V</m:t>
              </m:r>
            </m:e>
            <m:sub>
              <m:r>
                <w:rPr>
                  <w:color w:val="C00000"/>
                  <w:strike/>
                </w:rPr>
                <m:t>A</m:t>
              </m:r>
            </m:sub>
          </m:sSub>
          <m:r>
            <m:rPr>
              <m:sty m:val="p"/>
            </m:rPr>
            <w:rPr>
              <w:color w:val="C00000"/>
              <w:strike/>
            </w:rPr>
            <m:t>∧</m:t>
          </m:r>
          <m:sSub>
            <m:e>
              <m:r>
                <w:rPr>
                  <w:color w:val="C00000"/>
                  <w:strike/>
                </w:rPr>
                <m:t>V</m:t>
              </m:r>
            </m:e>
            <m:sub>
              <m:r>
                <w:rPr>
                  <w:color w:val="C00000"/>
                  <w:strike/>
                </w:rPr>
                <m:t>P</m:t>
              </m:r>
            </m:sub>
          </m:sSub>
          <m:r>
            <m:rPr>
              <m:sty m:val="p"/>
            </m:rPr>
            <w:rPr>
              <w:color w:val="C00000"/>
              <w:strike/>
            </w:rPr>
            <m:t>∧</m:t>
          </m:r>
          <m:sSub>
            <m:e>
              <m:r>
                <w:rPr>
                  <w:color w:val="C00000"/>
                  <w:strike/>
                </w:rPr>
                <m:t>V</m:t>
              </m:r>
            </m:e>
            <m:sub>
              <m:r>
                <w:rPr>
                  <w:color w:val="C00000"/>
                  <w:strike/>
                </w:rPr>
                <m:t>T</m:t>
              </m:r>
            </m:sub>
          </m:sSub>
          <m:r>
            <m:rPr>
              <m:sty m:val="p"/>
            </m:rPr>
            <w:rPr>
              <w:color w:val="C00000"/>
              <w:strike/>
            </w:rPr>
            <m:t>∧</m:t>
          </m:r>
          <m:sSub>
            <m:e>
              <m:r>
                <w:rPr>
                  <w:color w:val="C00000"/>
                  <w:strike/>
                </w:rPr>
                <m:t>V</m:t>
              </m:r>
            </m:e>
            <m:sub>
              <m:r>
                <w:rPr>
                  <w:color w:val="C00000"/>
                  <w:strike/>
                </w:rPr>
                <m:t>L</m:t>
              </m:r>
            </m:sub>
          </m:sSub>
          <m:r>
            <m:rPr>
              <m:sty m:val="p"/>
            </m:rPr>
            <w:rPr>
              <w:color w:val="C00000"/>
              <w:strike/>
            </w:rPr>
            <m:t>)</m:t>
          </m:r>
          <m:r>
            <m:rPr>
              <m:sty m:val="p"/>
            </m:rPr>
            <w:rPr>
              <w:color w:val="C00000"/>
              <w:strike/>
            </w:rPr>
            <m:t>⇒</m:t>
          </m:r>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32</m:t>
          </m:r>
          <m:r>
            <m:rPr>
              <m:sty m:val="p"/>
            </m:rPr>
            <w:rPr>
              <w:color w:val="C00000"/>
              <w:strike/>
            </w:rPr>
            <m:t>)</m:t>
          </m:r>
        </m:oMath>
      </m:oMathPara>
    </w:p>
    <w:p>
      <w:pPr>
        <w:pStyle w:val="CaptionedFigure"/>
      </w:pPr>
      <w:r>
        <w:drawing>
          <wp:inline>
            <wp:extent cx="3419856" cy="7671897"/>
            <wp:effectExtent b="0" l="0" r="0" t="0"/>
            <wp:docPr descr="Figure 5: Trust Predicate Evaluation and Authorisation Decision Flow" title="" id="66" name="Picture"/>
            <a:graphic>
              <a:graphicData uri="http://schemas.openxmlformats.org/drawingml/2006/picture">
                <pic:pic>
                  <pic:nvPicPr>
                    <pic:cNvPr descr="media_col/fig05.png" id="67" name="Picture"/>
                    <pic:cNvPicPr>
                      <a:picLocks noChangeArrowheads="1" noChangeAspect="1"/>
                    </pic:cNvPicPr>
                  </pic:nvPicPr>
                  <pic:blipFill>
                    <a:blip r:embed="rId65"/>
                    <a:stretch>
                      <a:fillRect/>
                    </a:stretch>
                  </pic:blipFill>
                  <pic:spPr bwMode="auto">
                    <a:xfrm>
                      <a:off x="0" y="0"/>
                      <a:ext cx="3419856" cy="7671897"/>
                    </a:xfrm>
                    <a:prstGeom prst="rect">
                      <a:avLst/>
                    </a:prstGeom>
                    <a:noFill/>
                    <a:ln w="9525">
                      <a:noFill/>
                      <a:headEnd/>
                      <a:tailEnd/>
                    </a:ln>
                  </pic:spPr>
                </pic:pic>
              </a:graphicData>
            </a:graphic>
          </wp:inline>
        </w:drawing>
      </w:r>
    </w:p>
    <w:p>
      <w:pPr>
        <w:pStyle w:val="ImageCaption"/>
      </w:pPr>
      <w:r>
        <w:t xml:space="preserve">Figure 5: Trust Predicate Evaluation and Authorisation Decision Flow</w:t>
      </w:r>
    </w:p>
    <w:p>
      <w:pPr>
        <w:pStyle w:val="ReviewerNotePara"/>
      </w:pPr>
      <w:r>
        <w:rPr>
          <w:rStyle w:val="ReviewerNote"/>
        </w:rPr>
        <w:t xml:space="preserve">Figure re-drawn in the same design and colours. Fixes: the text states that Figure 5 shows the relationship between the MVC components and the trust predicates, so the predicate chain is now framed as the CONTROLLER evaluating evidence supplied by the MODEL;</w:t>
      </w:r>
      <w:r>
        <w:rPr>
          <w:rStyle w:val="ReviewerNote"/>
        </w:rPr>
        <w:t xml:space="preserve"> </w:t>
      </w:r>
      <w:r>
        <w:rPr>
          <w:rStyle w:val="ReviewerNote"/>
        </w:rPr>
        <w:t xml:space="preserve">‘V_I(u)’</w:t>
      </w:r>
      <w:r>
        <w:rPr>
          <w:rStyle w:val="ReviewerNote"/>
        </w:rPr>
        <w:t xml:space="preserve"> </w:t>
      </w:r>
      <w:r>
        <w:rPr>
          <w:rStyle w:val="ReviewerNote"/>
        </w:rPr>
        <w:t xml:space="preserve">etc. written as subscripts, matching Eq. (27).</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68"/>
    <w:bookmarkStart w:id="69"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w:t>
      </w:r>
      <w:r>
        <w:t xml:space="preserve"> </w:t>
      </w:r>
      <w:r>
        <w:rPr>
          <w:rStyle w:val="DeletedText"/>
        </w:rPr>
        <w:t xml:space="preserve">summarised as following</w:t>
      </w:r>
      <w:r>
        <w:rPr>
          <w:rStyle w:val="InsertedText"/>
        </w:rPr>
        <w:t xml:space="preserve">summarised as follows</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69"/>
    <w:bookmarkStart w:id="70"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w:t>
      </w:r>
      <w:r>
        <w:t xml:space="preserve"> </w:t>
      </w:r>
      <w:r>
        <w:rPr>
          <w:rStyle w:val="InsertedText"/>
        </w:rPr>
        <w:t xml:space="preserve">The realisation of each layer in the HALAH prototype is mapped to its source code in Section 7.10.</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70"/>
    <w:bookmarkEnd w:id="71"/>
    <w:bookmarkStart w:id="75" w:name="X558a2b42e7f558743af400a9676e37558071ee0"/>
    <w:p>
      <w:pPr>
        <w:pStyle w:val="Heading2"/>
      </w:pPr>
      <w:r>
        <w:t xml:space="preserve">5.2 Trust-Oriented Consent</w:t>
      </w:r>
      <w:r>
        <w:t xml:space="preserve"> </w:t>
      </w:r>
      <w:r>
        <w:rPr>
          <w:rStyle w:val="DeletedText"/>
        </w:rPr>
        <w:t xml:space="preserve">Authorization</w:t>
      </w:r>
      <w:r>
        <w:rPr>
          <w:rStyle w:val="InsertedText"/>
        </w:rPr>
        <w:t xml:space="preserve">Authorisation</w:t>
      </w:r>
      <w:r>
        <w:t xml:space="preserve"> </w:t>
      </w:r>
      <w:r>
        <w:t xml:space="preserve">Workflow</w:t>
      </w:r>
    </w:p>
    <w:p>
      <w:pPr>
        <w:pStyle w:val="FirstParagraph"/>
      </w:pPr>
      <w:r>
        <w:t xml:space="preserve">Figure 6 presents the end-to-end workflow of the proposed trust-oriented patient consent</w:t>
      </w:r>
      <w:r>
        <w:t xml:space="preserve"> </w:t>
      </w:r>
      <w:r>
        <w:rPr>
          <w:rStyle w:val="DeletedText"/>
        </w:rPr>
        <w:t xml:space="preserve">authorization</w:t>
      </w:r>
      <w:r>
        <w:rPr>
          <w:rStyle w:val="InsertedText"/>
        </w:rPr>
        <w:t xml:space="preserve">authorisation</w:t>
      </w:r>
      <w:r>
        <w:t xml:space="preserve"> </w:t>
      </w:r>
      <w:r>
        <w:t xml:space="preserve">framework. The workflow</w:t>
      </w:r>
      <w:r>
        <w:t xml:space="preserve"> </w:t>
      </w:r>
      <w:r>
        <w:rPr>
          <w:rStyle w:val="DeletedText"/>
        </w:rPr>
        <w:t xml:space="preserve">operationalizes</w:t>
      </w:r>
      <w:r>
        <w:rPr>
          <w:rStyle w:val="InsertedText"/>
        </w:rPr>
        <w:t xml:space="preserve">operationalises</w:t>
      </w:r>
      <w:r>
        <w:t xml:space="preserve"> </w:t>
      </w:r>
      <w:r>
        <w:t xml:space="preserve">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w:t>
      </w:r>
      <w:r>
        <w:t xml:space="preserve"> </w:t>
      </w:r>
      <w:r>
        <w:rPr>
          <w:rStyle w:val="DeletedText"/>
        </w:rPr>
        <w:t xml:space="preserve">authorization</w:t>
      </w:r>
      <w:r>
        <w:rPr>
          <w:rStyle w:val="InsertedText"/>
        </w:rPr>
        <w:t xml:space="preserve">authorisation</w:t>
      </w:r>
      <w:r>
        <w:t xml:space="preserve">, and policy compliance. Accordingly, the proposed workflow transforms a patient’s consent from a static permission record into an evaluable</w:t>
      </w:r>
      <w:r>
        <w:t xml:space="preserve"> </w:t>
      </w:r>
      <w:r>
        <w:rPr>
          <w:rStyle w:val="DeletedText"/>
        </w:rPr>
        <w:t xml:space="preserve">authorization</w:t>
      </w:r>
      <w:r>
        <w:rPr>
          <w:rStyle w:val="InsertedText"/>
        </w:rPr>
        <w:t xml:space="preserve">authorisation</w:t>
      </w:r>
      <w:r>
        <w:t xml:space="preserve"> </w:t>
      </w:r>
      <w:r>
        <w:t xml:space="preserve">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w:t>
      </w:r>
      <w:r>
        <w:t xml:space="preserve"> </w:t>
      </w:r>
      <w:r>
        <w:rPr>
          <w:rStyle w:val="DeletedText"/>
        </w:rPr>
        <w:t xml:space="preserve">authorization</w:t>
      </w:r>
      <w:r>
        <w:rPr>
          <w:rStyle w:val="InsertedText"/>
        </w:rPr>
        <w:t xml:space="preserve">authorisation</w:t>
      </w:r>
      <w:r>
        <w:t xml:space="preserve"> </w:t>
      </w:r>
      <w:r>
        <w:t xml:space="preserve">conditions. This step establishes what the patient intends to</w:t>
      </w:r>
      <w:r>
        <w:t xml:space="preserve"> </w:t>
      </w:r>
      <w:r>
        <w:rPr>
          <w:rStyle w:val="DeletedText"/>
        </w:rPr>
        <w:t xml:space="preserve">authorize</w:t>
      </w:r>
      <w:r>
        <w:rPr>
          <w:rStyle w:val="InsertedText"/>
        </w:rPr>
        <w:t xml:space="preserve">authorise</w:t>
      </w:r>
      <w:r>
        <w:t xml:space="preserve"> </w:t>
      </w:r>
      <w:r>
        <w:t xml:space="preserve">and provides the policy context against which subsequent access requests can be evaluated. Therefore, consent is not represented merely as an approval flag, but as a structured object containing the information required for subsequent</w:t>
      </w:r>
      <w:r>
        <w:t xml:space="preserve"> </w:t>
      </w:r>
      <w:r>
        <w:rPr>
          <w:rStyle w:val="DeletedText"/>
        </w:rPr>
        <w:t xml:space="preserve">authorization</w:t>
      </w:r>
      <w:r>
        <w:rPr>
          <w:rStyle w:val="InsertedText"/>
        </w:rPr>
        <w:t xml:space="preserve">authorisation</w:t>
      </w:r>
      <w:r>
        <w:t xml:space="preserve"> </w:t>
      </w:r>
      <w:r>
        <w:t xml:space="preserve">decisions.</w:t>
      </w:r>
    </w:p>
    <w:p>
      <w:pPr>
        <w:pStyle w:val="BodyText"/>
      </w:pPr>
      <w:r>
        <w:t xml:space="preserve">The next stage performs</w:t>
      </w:r>
      <w:r>
        <w:t xml:space="preserve"> </w:t>
      </w:r>
      <w:r>
        <w:rPr>
          <w:rStyle w:val="DeletedText"/>
        </w:rPr>
        <w:t xml:space="preserve">decentralized</w:t>
      </w:r>
      <w:r>
        <w:rPr>
          <w:rStyle w:val="InsertedText"/>
        </w:rPr>
        <w:t xml:space="preserve">decentralised</w:t>
      </w:r>
      <w:r>
        <w:t xml:space="preserve"> </w:t>
      </w:r>
      <w:r>
        <w:t xml:space="preserve">identity and authority verification using</w:t>
      </w:r>
      <w:r>
        <w:t xml:space="preserve"> </w:t>
      </w:r>
      <w:r>
        <w:rPr>
          <w:rStyle w:val="DeletedText"/>
        </w:rPr>
        <w:t xml:space="preserve">Decentralized</w:t>
      </w:r>
      <w:r>
        <w:rPr>
          <w:rStyle w:val="InsertedText"/>
        </w:rPr>
        <w:t xml:space="preserve">Decentralised</w:t>
      </w:r>
      <w:r>
        <w:t xml:space="preserve"> </w:t>
      </w:r>
      <w:r>
        <w:t xml:space="preserve">Identifiers (DIDs) and Verifiable Credentials (VCs). The purpose of this stage is to establish both the identity of the participant and the evidence supporting the participant’s claimed role or authority. Importantly, the framework explicitly separates identity authentication from</w:t>
      </w:r>
      <w:r>
        <w:t xml:space="preserve"> </w:t>
      </w:r>
      <w:r>
        <w:rPr>
          <w:rStyle w:val="DeletedText"/>
        </w:rPr>
        <w:t xml:space="preserve">authorization</w:t>
      </w:r>
      <w:r>
        <w:rPr>
          <w:rStyle w:val="InsertedText"/>
        </w:rPr>
        <w:t xml:space="preserve">authorisation</w:t>
      </w:r>
      <w: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w:t>
      </w:r>
      <w:r>
        <w:t xml:space="preserve"> </w:t>
      </w:r>
      <w:r>
        <w:rPr>
          <w:rStyle w:val="DeletedText"/>
        </w:rPr>
        <w:t xml:space="preserve">authorized</w:t>
      </w:r>
      <w:r>
        <w:rPr>
          <w:rStyle w:val="InsertedText"/>
        </w:rPr>
        <w:t xml:space="preserve">authorised</w:t>
      </w:r>
      <w:r>
        <w:t xml:space="preserve"> </w:t>
      </w:r>
      <w:r>
        <w:t xml:space="preserve">participant.</w:t>
      </w:r>
    </w:p>
    <w:p>
      <w:pPr>
        <w:pStyle w:val="BodyText"/>
      </w:pPr>
      <w:r>
        <w:t xml:space="preserve">After identity and authority verification, the framework identifies the participants required to establish the consent decision. The</w:t>
      </w:r>
      <w:r>
        <w:t xml:space="preserve"> </w:t>
      </w:r>
      <w:r>
        <w:rPr>
          <w:rStyle w:val="DeletedText"/>
        </w:rPr>
        <w:t xml:space="preserve">authorization</w:t>
      </w:r>
      <w:r>
        <w:rPr>
          <w:rStyle w:val="InsertedText"/>
        </w:rPr>
        <w:t xml:space="preserve">authorisation</w:t>
      </w:r>
      <w:r>
        <w:t xml:space="preserve"> </w:t>
      </w:r>
      <w:r>
        <w:t xml:space="preserve">requirement may involve multiple independent participants, such as a patient together with one or more guardians or other</w:t>
      </w:r>
      <w:r>
        <w:t xml:space="preserve"> </w:t>
      </w:r>
      <w:r>
        <w:rPr>
          <w:rStyle w:val="DeletedText"/>
        </w:rPr>
        <w:t xml:space="preserve">authorized</w:t>
      </w:r>
      <w:r>
        <w:rPr>
          <w:rStyle w:val="InsertedText"/>
        </w:rPr>
        <w:t xml:space="preserve">authorised</w:t>
      </w:r>
      <w:r>
        <w:t xml:space="preserve"> </w:t>
      </w:r>
      <w:r>
        <w:t xml:space="preserve">parties. The framework then collects their independent approvals and evaluates whether the predefined</w:t>
      </w:r>
      <w:r>
        <w:t xml:space="preserve"> </w:t>
      </w:r>
      <w:r>
        <w:rPr>
          <w:rStyle w:val="DeletedText"/>
        </w:rPr>
        <w:t xml:space="preserve">authorization</w:t>
      </w:r>
      <w:r>
        <w:rPr>
          <w:rStyle w:val="InsertedText"/>
        </w:rPr>
        <w:t xml:space="preserve">authorisation</w:t>
      </w:r>
      <w:r>
        <w:t xml:space="preserve"> </w:t>
      </w:r>
      <w:r>
        <w:t xml:space="preserve">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w:t>
      </w:r>
      <w:r>
        <w:t xml:space="preserve"> </w:t>
      </w:r>
      <w:r>
        <w:rPr>
          <w:rStyle w:val="DeletedText"/>
        </w:rPr>
        <w:t xml:space="preserve">authorization</w:t>
      </w:r>
      <w:r>
        <w:rPr>
          <w:rStyle w:val="InsertedText"/>
        </w:rPr>
        <w:t xml:space="preserve">authorisation</w:t>
      </w:r>
      <w:r>
        <w:t xml:space="preserve"> </w:t>
      </w:r>
      <w:r>
        <w:t xml:space="preserve">threshold.</w:t>
      </w:r>
      <w:r>
        <w:t xml:space="preserve"> </w:t>
      </w:r>
      <w:r>
        <w:rPr>
          <w:rStyle w:val="DeletedText"/>
        </w:rPr>
        <w:t xml:space="preserve">Multi-party authorization is satisfied when</w:t>
      </w:r>
      <w:r>
        <w:rPr>
          <w:rStyle w:val="InsertedText"/>
        </w:rPr>
        <w:t xml:space="preserve">Multi-party authorisation is satisfied when</w:t>
      </w:r>
      <w:r>
        <w:rPr>
          <w:rStyle w:val="InsertedText"/>
        </w:rPr>
        <w:t xml:space="preserve"> </w:t>
      </w:r>
      <m:oMath>
        <m:d>
          <m:dPr>
            <m:begChr m:val="|"/>
            <m:sepChr m:val=""/>
            <m:endChr m:val="|"/>
            <m:grow/>
          </m:dPr>
          <m:e>
            <m:sSub>
              <m:e>
                <m:r>
                  <w:rPr>
                    <w:color w:val="C00000"/>
                  </w:rPr>
                  <m:t>A</m:t>
                </m:r>
              </m:e>
              <m:sub>
                <m:r>
                  <w:rPr>
                    <w:color w:val="C00000"/>
                  </w:rPr>
                  <m:t>v</m:t>
                </m:r>
              </m:sub>
            </m:sSub>
          </m:e>
        </m:d>
        <m:r>
          <m:rPr>
            <m:sty m:val="p"/>
          </m:rPr>
          <w:rPr>
            <w:color w:val="C00000"/>
          </w:rPr>
          <m:t>≥</m:t>
        </m:r>
        <m:r>
          <w:rPr>
            <w:color w:val="C00000"/>
          </w:rPr>
          <m:t>N</m:t>
        </m:r>
      </m:oMath>
      <w:r>
        <w:rPr>
          <w:rStyle w:val="InsertedText"/>
        </w:rPr>
        <w:t xml:space="preserve"> </w:t>
      </w:r>
      <w:r>
        <w:rPr>
          <w:rStyle w:val="InsertedText"/>
        </w:rPr>
        <w:t xml:space="preserve">(Eq. (9)).</w:t>
      </w:r>
    </w:p>
    <w:p>
      <w:pPr>
        <w:pStyle w:val="CaptionedFigure"/>
      </w:pPr>
      <w:r>
        <w:drawing>
          <wp:inline>
            <wp:extent cx="2194560" cy="7674568"/>
            <wp:effectExtent b="0" l="0" r="0" t="0"/>
            <wp:docPr descr="Figure 6: End-to-End Workflow of Trust-Oriented Consent AuthorizationAuthorisation Framework" title="" id="73" name="Picture"/>
            <a:graphic>
              <a:graphicData uri="http://schemas.openxmlformats.org/drawingml/2006/picture">
                <pic:pic>
                  <pic:nvPicPr>
                    <pic:cNvPr descr="media_col/fig06.png" id="74" name="Picture"/>
                    <pic:cNvPicPr>
                      <a:picLocks noChangeArrowheads="1" noChangeAspect="1"/>
                    </pic:cNvPicPr>
                  </pic:nvPicPr>
                  <pic:blipFill>
                    <a:blip r:embed="rId72"/>
                    <a:stretch>
                      <a:fillRect/>
                    </a:stretch>
                  </pic:blipFill>
                  <pic:spPr bwMode="auto">
                    <a:xfrm>
                      <a:off x="0" y="0"/>
                      <a:ext cx="2194560" cy="7674568"/>
                    </a:xfrm>
                    <a:prstGeom prst="rect">
                      <a:avLst/>
                    </a:prstGeom>
                    <a:noFill/>
                    <a:ln w="9525">
                      <a:noFill/>
                      <a:headEnd/>
                      <a:tailEnd/>
                    </a:ln>
                  </pic:spPr>
                </pic:pic>
              </a:graphicData>
            </a:graphic>
          </wp:inline>
        </w:drawing>
      </w:r>
    </w:p>
    <w:p>
      <w:pPr>
        <w:pStyle w:val="ImageCaption"/>
      </w:pPr>
      <w:r>
        <w:t xml:space="preserve">Figure 6: End-to-End Workflow of Trust-Oriented Consent</w:t>
      </w:r>
      <w:r>
        <w:t xml:space="preserve"> </w:t>
      </w:r>
      <w:r>
        <w:rPr>
          <w:rStyle w:val="DeletedText"/>
        </w:rPr>
        <w:t xml:space="preserve">Authorization</w:t>
      </w:r>
      <w:r>
        <w:rPr>
          <w:rStyle w:val="InsertedText"/>
        </w:rPr>
        <w:t xml:space="preserve">Authorisation</w:t>
      </w:r>
      <w:r>
        <w:t xml:space="preserve"> </w:t>
      </w:r>
      <w:r>
        <w:t xml:space="preserve">Framework</w:t>
      </w:r>
    </w:p>
    <w:p>
      <w:pPr>
        <w:pStyle w:val="ReviewerNotePara"/>
      </w:pPr>
      <w:r>
        <w:rPr>
          <w:rStyle w:val="ReviewerNote"/>
        </w:rPr>
        <w:t xml:space="preserve">Figure re-drawn in the same design and colours. Fixes to match Section 5.2: a failed threshold or policy check now ends in DENY (</w:t>
      </w:r>
      <w:r>
        <w:rPr>
          <w:rStyle w:val="ReviewerNote"/>
        </w:rPr>
        <w:t xml:space="preserve">‘the authorisation process terminates with a denial decision’</w:t>
      </w:r>
      <w:r>
        <w:rPr>
          <w:rStyle w:val="ReviewerNote"/>
        </w:rPr>
        <w:t xml:space="preserve">); the Authorisation Decision node shows the conjunction of Eq. (6);</w:t>
      </w:r>
      <w:r>
        <w:rPr>
          <w:rStyle w:val="ReviewerNote"/>
        </w:rPr>
        <w:t xml:space="preserve"> </w:t>
      </w:r>
      <w:r>
        <w:rPr>
          <w:rStyle w:val="ReviewerNote"/>
        </w:rPr>
        <w:t xml:space="preserve">‘Authorization’</w:t>
      </w:r>
      <w:r>
        <w:rPr>
          <w:rStyle w:val="ReviewerNote"/>
        </w:rPr>
        <w:t xml:space="preserve"> </w:t>
      </w:r>
      <w:r>
        <w:rPr>
          <w:rStyle w:val="ReviewerNote"/>
        </w:rPr>
        <w:t xml:space="preserve">→</w:t>
      </w:r>
      <w:r>
        <w:rPr>
          <w:rStyle w:val="ReviewerNote"/>
        </w:rPr>
        <w:t xml:space="preserve"> </w:t>
      </w:r>
      <w:r>
        <w:rPr>
          <w:rStyle w:val="ReviewerNote"/>
        </w:rPr>
        <w:t xml:space="preserve">‘Authorisation’</w:t>
      </w:r>
      <w:r>
        <w:rPr>
          <w:rStyle w:val="ReviewerNote"/>
        </w:rPr>
        <w:t xml:space="preserve">.</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33</m:t>
          </m:r>
          <m:r>
            <m:rPr>
              <m:sty m:val="p"/>
            </m:rPr>
            <w:rPr>
              <w:color w:val="C00000"/>
              <w:strike/>
            </w:rPr>
            <m:t>)</m:t>
          </m:r>
        </m:oMath>
      </m:oMathPara>
    </w:p>
    <w:p>
      <w:pPr>
        <w:pStyle w:val="FirstParagraph"/>
      </w:pPr>
      <w:r>
        <w:t xml:space="preserve">If the required threshold is not satisfied, the</w:t>
      </w:r>
      <w:r>
        <w:t xml:space="preserve"> </w:t>
      </w:r>
      <w:r>
        <w:rPr>
          <w:rStyle w:val="DeletedText"/>
        </w:rPr>
        <w:t xml:space="preserve">authorization</w:t>
      </w:r>
      <w:r>
        <w:rPr>
          <w:rStyle w:val="InsertedText"/>
        </w:rPr>
        <w:t xml:space="preserve">authorisation</w:t>
      </w:r>
      <w:r>
        <w:t xml:space="preserve"> </w:t>
      </w:r>
      <w:r>
        <w:t xml:space="preserve">process terminates with a denial decision. This prevents a single participant from unilaterally establishing</w:t>
      </w:r>
      <w:r>
        <w:t xml:space="preserve"> </w:t>
      </w:r>
      <w:r>
        <w:rPr>
          <w:rStyle w:val="DeletedText"/>
        </w:rPr>
        <w:t xml:space="preserve">authorization</w:t>
      </w:r>
      <w:r>
        <w:rPr>
          <w:rStyle w:val="InsertedText"/>
        </w:rPr>
        <w:t xml:space="preserve">authorisation</w:t>
      </w:r>
      <w:r>
        <w:t xml:space="preserve"> </w:t>
      </w:r>
      <w:r>
        <w:t xml:space="preserve">when the consent policy requires collective approval.</w:t>
      </w:r>
    </w:p>
    <w:p>
      <w:pPr>
        <w:pStyle w:val="BodyText"/>
      </w:pPr>
      <w:r>
        <w:t xml:space="preserve">When the</w:t>
      </w:r>
      <w:r>
        <w:t xml:space="preserve"> </w:t>
      </w:r>
      <w:r>
        <w:rPr>
          <w:rStyle w:val="DeletedText"/>
        </w:rPr>
        <w:t xml:space="preserve">authorization</w:t>
      </w:r>
      <w:r>
        <w:rPr>
          <w:rStyle w:val="InsertedText"/>
        </w:rPr>
        <w:t xml:space="preserve">authorisation</w:t>
      </w:r>
      <w:r>
        <w:t xml:space="preserve"> </w:t>
      </w:r>
      <w:r>
        <w:t xml:space="preserve">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w:t>
      </w:r>
      <w:r>
        <w:t xml:space="preserve"> </w:t>
      </w:r>
      <w:r>
        <w:rPr>
          <w:rStyle w:val="DeletedText"/>
        </w:rPr>
        <w:t xml:space="preserve">For example, if a consent permits access to</w:t>
      </w:r>
      <w:r>
        <w:rPr>
          <w:rStyle w:val="DeletedText"/>
        </w:rPr>
        <w:t xml:space="preserve"> </w:t>
      </w:r>
      <w:r>
        <w:rPr>
          <w:rStyle w:val="DeletedText"/>
          <w:i/>
          <w:iCs/>
        </w:rPr>
        <w:t xml:space="preserve">Observation, Medication</w:t>
      </w:r>
      <w:r>
        <w:rPr>
          <w:rStyle w:val="DeletedText"/>
        </w:rPr>
        <w:t xml:space="preserve">, a request additionally containing</w:t>
      </w:r>
      <w:r>
        <w:rPr>
          <w:rStyle w:val="DeletedText"/>
        </w:rPr>
        <w:t xml:space="preserve"> </w:t>
      </w:r>
      <w:r>
        <w:rPr>
          <w:rStyle w:val="DeletedText"/>
          <w:i/>
          <w:iCs/>
        </w:rPr>
        <w:t xml:space="preserve">Procedure</w:t>
      </w:r>
      <w:r>
        <w:rPr>
          <w:rStyle w:val="DeletedText"/>
        </w:rPr>
        <w:t xml:space="preserve"> </w:t>
      </w:r>
      <w:r>
        <w:rPr>
          <w:rStyle w:val="DeletedText"/>
        </w:rPr>
        <w:t xml:space="preserve">should not be authorized because</w:t>
      </w:r>
      <w:r>
        <w:rPr>
          <w:rStyle w:val="InsertedText"/>
        </w:rPr>
        <w:t xml:space="preserve">For example, the request in Eq. (4) must not be authorised.</w:t>
      </w:r>
    </w:p>
    <w:p>
      <w:pPr>
        <w:pStyle w:val="BodyText"/>
      </w:pPr>
      <w:r>
        <w:rPr>
          <w:rStyle w:val="ReviewerNote"/>
        </w:rPr>
        <w:t xml:space="preserve">delete repeated equation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sSub>
            <m:e>
              <m:r>
                <w:rPr>
                  <w:color w:val="C00000"/>
                  <w:strike/>
                </w:rPr>
                <m:t>S</m:t>
              </m:r>
            </m:e>
            <m:sub>
              <m:r>
                <w:rPr>
                  <w:color w:val="C00000"/>
                  <w:strike/>
                </w:rPr>
                <m:t>C</m:t>
              </m:r>
            </m:sub>
          </m:sSub>
          <m:r>
            <m:rPr>
              <m:sty m:val="p"/>
            </m:rPr>
            <w:rPr>
              <w:color w:val="C00000"/>
              <w:strike/>
            </w:rPr>
            <m:t>,</m:t>
          </m:r>
          <m:r>
            <w:rPr>
              <w:color w:val="C00000"/>
              <w:strike/>
            </w:rPr>
            <m:t>  </m:t>
          </m:r>
          <m:r>
            <w:rPr>
              <w:color w:val="C00000"/>
              <w:strike/>
            </w:rPr>
            <m:t>  </m:t>
          </m:r>
          <m:r>
            <m:rPr>
              <m:sty m:val="p"/>
            </m:rPr>
            <w:rPr>
              <w:color w:val="C00000"/>
              <w:strike/>
            </w:rPr>
            <m:t>(</m:t>
          </m:r>
          <m:r>
            <w:rPr>
              <w:color w:val="C00000"/>
              <w:strike/>
            </w:rPr>
            <m:t>34</m:t>
          </m:r>
          <m:r>
            <m:rPr>
              <m:sty m:val="p"/>
            </m:rPr>
            <w:rPr>
              <w:color w:val="C00000"/>
              <w:strike/>
            </w:rPr>
            <m:t>)</m:t>
          </m:r>
        </m:oMath>
      </m:oMathPara>
    </w:p>
    <w:p>
      <w:pPr>
        <w:pStyle w:val="FirstParagraph"/>
      </w:pPr>
      <w:r>
        <w:rPr>
          <w:rStyle w:val="DeletedText"/>
        </w:rPr>
        <w:t xml:space="preserve">where</w:t>
      </w:r>
      <w:r>
        <w:rPr>
          <w:rStyle w:val="DeletedText"/>
        </w:rPr>
        <w:t xml:space="preserve"> </w:t>
      </w:r>
      <w:r>
        <w:rPr>
          <w:rStyle w:val="DeletedText"/>
          <w:i/>
          <w:iCs/>
        </w:rPr>
        <w:t xml:space="preserve">S</w:t>
      </w:r>
      <w:r>
        <w:rPr>
          <w:rStyle w:val="DeletedText"/>
          <w:vertAlign w:val="subscript"/>
        </w:rPr>
        <w:t xml:space="preserve">R</w:t>
      </w:r>
      <w:r>
        <w:rPr>
          <w:rStyle w:val="DeletedText"/>
        </w:rPr>
        <w:t xml:space="preserve"> </w:t>
      </w:r>
      <w:r>
        <w:rPr>
          <w:rStyle w:val="DeletedText"/>
        </w:rPr>
        <w:t xml:space="preserve">represents the requested data scope and</w:t>
      </w:r>
      <w:r>
        <w:rPr>
          <w:rStyle w:val="DeletedText"/>
        </w:rPr>
        <w:t xml:space="preserve"> </w:t>
      </w:r>
      <w:r>
        <w:rPr>
          <w:rStyle w:val="DeletedText"/>
          <w:i/>
          <w:iCs/>
        </w:rPr>
        <w:t xml:space="preserve">S</w:t>
      </w:r>
      <w:r>
        <w:rPr>
          <w:rStyle w:val="DeletedText"/>
          <w:vertAlign w:val="subscript"/>
        </w:rPr>
        <w:t xml:space="preserve">C</w:t>
      </w:r>
      <w:r>
        <w:rPr>
          <w:rStyle w:val="DeletedText"/>
        </w:rPr>
        <w:t xml:space="preserve"> </w:t>
      </w:r>
      <w:r>
        <w:rPr>
          <w:rStyle w:val="DeletedText"/>
        </w:rPr>
        <w:t xml:space="preserve">represents the consent-authorized scope.</w:t>
      </w:r>
      <w:r>
        <w:t xml:space="preserve">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w:t>
      </w:r>
      <w:r>
        <w:t xml:space="preserve"> </w:t>
      </w:r>
      <w:r>
        <w:rPr>
          <w:rStyle w:val="DeletedText"/>
        </w:rPr>
        <w:t xml:space="preserve">authorization</w:t>
      </w:r>
      <w:r>
        <w:rPr>
          <w:rStyle w:val="InsertedText"/>
        </w:rPr>
        <w:t xml:space="preserve">authorisation</w:t>
      </w:r>
      <w:r>
        <w:t xml:space="preserve"> </w:t>
      </w:r>
      <w:r>
        <w:t xml:space="preserve">decision is therefore determined by the conjunction of identity and authority verification, multi-party</w:t>
      </w:r>
      <w:r>
        <w:t xml:space="preserve"> </w:t>
      </w:r>
      <w:r>
        <w:rPr>
          <w:rStyle w:val="DeletedText"/>
        </w:rPr>
        <w:t xml:space="preserve">authorization</w:t>
      </w:r>
      <w:r>
        <w:rPr>
          <w:rStyle w:val="InsertedText"/>
        </w:rPr>
        <w:t xml:space="preserve">authorisation</w:t>
      </w:r>
      <w:r>
        <w:t xml:space="preserve">, and policy compliance. For the current stage scope of the proposed framework,</w:t>
      </w:r>
      <w:r>
        <w:t xml:space="preserve"> </w:t>
      </w:r>
      <w:r>
        <w:rPr>
          <w:rStyle w:val="DeletedText"/>
        </w:rPr>
        <w:t xml:space="preserve">the decision can be expressed as</w:t>
      </w:r>
      <w:r>
        <w:rPr>
          <w:rStyle w:val="InsertedText"/>
        </w:rPr>
        <w:t xml:space="preserve">the decision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35</m:t>
          </m:r>
          <m:r>
            <m:rPr>
              <m:sty m:val="p"/>
            </m:rPr>
            <w:rPr>
              <w:color w:val="C00000"/>
              <w:strike/>
            </w: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w:t>
      </w:r>
      <w:r>
        <w:t xml:space="preserve"> </w:t>
      </w:r>
      <w:r>
        <w:rPr>
          <w:rStyle w:val="DeletedText"/>
        </w:rPr>
        <w:t xml:space="preserve">authorization</w:t>
      </w:r>
      <w:r>
        <w:rPr>
          <w:rStyle w:val="InsertedText"/>
        </w:rPr>
        <w:t xml:space="preserve">authorisation</w:t>
      </w:r>
      <w:r>
        <w:t xml:space="preserve"> </w:t>
      </w:r>
      <w:r>
        <w:t xml:space="preserve">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w:t>
      </w:r>
      <w:r>
        <w:t xml:space="preserve"> </w:t>
      </w:r>
      <w:r>
        <w:rPr>
          <w:rStyle w:val="DeletedText"/>
        </w:rPr>
        <w:t xml:space="preserve">authorization</w:t>
      </w:r>
      <w:r>
        <w:rPr>
          <w:rStyle w:val="InsertedText"/>
        </w:rPr>
        <w:t xml:space="preserve">authorisation</w:t>
      </w:r>
      <w:r>
        <w:t xml:space="preserve"> </w:t>
      </w:r>
      <w:r>
        <w:t xml:space="preserve">evidence in the audit layer. Importantly, both successful and denied decisions should be recorded because a trustworthy</w:t>
      </w:r>
      <w:r>
        <w:t xml:space="preserve"> </w:t>
      </w:r>
      <w:r>
        <w:rPr>
          <w:rStyle w:val="DeletedText"/>
        </w:rPr>
        <w:t xml:space="preserve">authorization</w:t>
      </w:r>
      <w:r>
        <w:rPr>
          <w:rStyle w:val="InsertedText"/>
        </w:rPr>
        <w:t xml:space="preserve">authorisation</w:t>
      </w:r>
      <w:r>
        <w:t xml:space="preserve"> </w:t>
      </w:r>
      <w:r>
        <w:t xml:space="preserve">framework requires accountability not only for data that were released but also for access attempts that were rejected. The audit evidence can therefore provide a traceable record of the</w:t>
      </w:r>
      <w:r>
        <w:t xml:space="preserve"> </w:t>
      </w:r>
      <w:r>
        <w:rPr>
          <w:rStyle w:val="DeletedText"/>
        </w:rPr>
        <w:t xml:space="preserve">authorization</w:t>
      </w:r>
      <w:r>
        <w:rPr>
          <w:rStyle w:val="InsertedText"/>
        </w:rPr>
        <w:t xml:space="preserve">authorisation</w:t>
      </w:r>
      <w:r>
        <w:t xml:space="preserve"> </w:t>
      </w:r>
      <w:r>
        <w:t xml:space="preserve">decision, including the relevant consent, participants, policy evaluation, decision outcome, and associated evidence. In this manner, the workflow connects consent specification with identity trust, collective</w:t>
      </w:r>
      <w:r>
        <w:t xml:space="preserve"> </w:t>
      </w:r>
      <w:r>
        <w:rPr>
          <w:rStyle w:val="DeletedText"/>
        </w:rPr>
        <w:t xml:space="preserve">authorization</w:t>
      </w:r>
      <w:r>
        <w:rPr>
          <w:rStyle w:val="InsertedText"/>
        </w:rPr>
        <w:t xml:space="preserve">authorisation</w:t>
      </w:r>
      <w:r>
        <w:t xml:space="preserve">, policy enforcement, and accountability, providing the operational foundation of the proposed trust-oriented</w:t>
      </w:r>
      <w:r>
        <w:t xml:space="preserve"> </w:t>
      </w:r>
      <w:r>
        <w:rPr>
          <w:rStyle w:val="DeletedText"/>
        </w:rPr>
        <w:t xml:space="preserve">authorization</w:t>
      </w:r>
      <w:r>
        <w:rPr>
          <w:rStyle w:val="InsertedText"/>
        </w:rPr>
        <w:t xml:space="preserve">authorisation</w:t>
      </w:r>
      <w:r>
        <w:t xml:space="preserve"> </w:t>
      </w:r>
      <w:r>
        <w:t xml:space="preserve">framework.</w:t>
      </w:r>
    </w:p>
    <w:bookmarkEnd w:id="75"/>
    <w:bookmarkStart w:id="76"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rPr>
          <w:rStyle w:val="DeletedText"/>
        </w:rPr>
        <w:t xml:space="preserve">For the current current stage scope</w:t>
      </w:r>
      <w:r>
        <w:rPr>
          <w:rStyle w:val="InsertedText"/>
        </w:rPr>
        <w:t xml:space="preserve">For the current stage scope</w:t>
      </w:r>
      <w:r>
        <w:t xml:space="preserve">,</w:t>
      </w:r>
      <w:r>
        <w:t xml:space="preserve"> </w:t>
      </w:r>
      <w:r>
        <w:rPr>
          <w:rStyle w:val="DeletedText"/>
        </w:rPr>
        <w:t xml:space="preserve">the core consent object is represented as</w:t>
      </w:r>
      <w:r>
        <w:rPr>
          <w:rStyle w:val="InsertedText"/>
        </w:rPr>
        <w:t xml:space="preserve">the core consent object is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(Eq. (7)),</w:t>
      </w:r>
    </w:p>
    <w:p>
      <w:pPr>
        <w:pStyle w:val="BodyText"/>
      </w:pPr>
      <w:r>
        <w:rPr>
          <w:rStyle w:val="ReviewerNote"/>
        </w:rPr>
        <w:t xml:space="preserve">delete repeated equation ▸</w:t>
      </w:r>
      <w:r>
        <w:t xml:space="preserve"> </w:t>
      </w:r>
      <m:oMathPara>
        <m:oMathParaPr>
          <m:jc m:val="center"/>
        </m:oMathParaPr>
        <m:oMath>
          <m:r>
            <w:rPr>
              <w:color w:val="C00000"/>
              <w:strike/>
            </w:rPr>
            <m:t>C</m:t>
          </m:r>
          <m:r>
            <m:rPr>
              <m:sty m:val="p"/>
            </m:rPr>
            <w:rPr>
              <w:color w:val="C00000"/>
              <w:strike/>
            </w:rPr>
            <m:t>=</m:t>
          </m:r>
          <m:r>
            <m:rPr>
              <m:sty m:val="p"/>
            </m:rPr>
            <w:rPr>
              <w:color w:val="C00000"/>
              <w:strike/>
            </w:rPr>
            <m:t>(</m:t>
          </m:r>
          <m:r>
            <w:rPr>
              <w:color w:val="C00000"/>
              <w:strike/>
            </w:rPr>
            <m:t>I</m:t>
          </m:r>
          <m:r>
            <m:rPr>
              <m:sty m:val="p"/>
            </m:rPr>
            <w:rPr>
              <w:color w:val="C00000"/>
              <w:strike/>
            </w:rPr>
            <m:t>,</m:t>
          </m:r>
          <m:r>
            <w:rPr>
              <w:color w:val="C00000"/>
              <w:strike/>
            </w:rPr>
            <m:t>A</m:t>
          </m:r>
          <m:r>
            <m:rPr>
              <m:sty m:val="p"/>
            </m:rPr>
            <w:rPr>
              <w:color w:val="C00000"/>
              <w:strike/>
            </w:rPr>
            <m:t>,</m:t>
          </m:r>
          <m:r>
            <w:rPr>
              <w:color w:val="C00000"/>
              <w:strike/>
            </w:rPr>
            <m:t>P</m:t>
          </m:r>
          <m:r>
            <m:rPr>
              <m:sty m:val="p"/>
            </m:rPr>
            <w:rPr>
              <w:color w:val="C00000"/>
              <w:strike/>
            </w:rPr>
            <m:t>,</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36</m:t>
          </m:r>
          <m:r>
            <m:rPr>
              <m:sty m:val="p"/>
            </m:rPr>
            <w:rPr>
              <w:color w:val="C00000"/>
              <w:strike/>
            </w:rPr>
            <m:t>)</m:t>
          </m:r>
        </m:oMath>
      </m:oMathPara>
    </w:p>
    <w:p>
      <w:pPr>
        <w:pStyle w:val="FirstParagraph"/>
      </w:pPr>
      <w:r>
        <w:t xml:space="preserve">where</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w:t>
      </w:r>
      <w:r>
        <w:t xml:space="preserve"> </w:t>
      </w:r>
      <w:r>
        <w:rPr>
          <w:rStyle w:val="DeletedText"/>
        </w:rPr>
        <w:t xml:space="preserve">The authorisation condition can then be represented as</w:t>
      </w:r>
      <w:r>
        <w:rPr>
          <w:rStyle w:val="InsertedText"/>
        </w:rPr>
        <w:t xml:space="preserve">The authorisation condition is then given by Eq. (9).</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37</m:t>
          </m:r>
          <m:r>
            <m:rPr>
              <m:sty m:val="p"/>
            </m:rPr>
            <w:rPr>
              <w:color w:val="C00000"/>
              <w:strike/>
            </w:rPr>
            <m:t>)</m:t>
          </m:r>
        </m:oMath>
      </m:oMathPara>
    </w:p>
    <w:p>
      <w:pPr>
        <w:pStyle w:val="FirstParagraph"/>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38</m:t>
          </m:r>
          <m:r>
            <m:rPr>
              <m:sty m:val="p"/>
            </m:rPr>
            <m:t>)</m:t>
          </m:r>
        </m:oMath>
      </m:oMathPara>
    </w:p>
    <w:p>
      <w:pPr>
        <w:pStyle w:val="FirstParagraph"/>
      </w:pPr>
      <w:r>
        <w:t xml:space="preserve">If the requested data exceeds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rPr>
          <w:rStyle w:val="DeletedText"/>
        </w:rPr>
        <w:t xml:space="preserve">For the current current stage implementation</w:t>
      </w:r>
      <w:r>
        <w:rPr>
          <w:rStyle w:val="InsertedText"/>
        </w:rPr>
        <w:t xml:space="preserve">For the current stage implementation</w:t>
      </w:r>
      <w:r>
        <w:t xml:space="preserve">, the Model focuses on the foundational dimensions of identity, authority, multi-party approval, policy constraints, and authorisation evidence.</w:t>
      </w:r>
      <w:r>
        <w:t xml:space="preserve"> </w:t>
      </w:r>
      <w:r>
        <w:rPr>
          <w:rStyle w:val="DeletedText"/>
        </w:rPr>
        <w:t xml:space="preserve">The subsequent next research</w:t>
      </w:r>
      <w:r>
        <w:rPr>
          <w:rStyle w:val="InsertedText"/>
        </w:rPr>
        <w:t xml:space="preserve">The next-stage research</w:t>
      </w:r>
      <w:r>
        <w:t xml:space="preserve"> </w:t>
      </w:r>
      <w:r>
        <w:t xml:space="preserve">will extend this representation to include temporal validity, expiration, revocation, lifecycle transitions, and formal security properties.</w:t>
      </w:r>
    </w:p>
    <w:bookmarkEnd w:id="76"/>
    <w:bookmarkStart w:id="77"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w:t>
      </w:r>
      <w:r>
        <w:t xml:space="preserve"> </w:t>
      </w:r>
      <w:r>
        <w:rPr>
          <w:i/>
          <w:iCs/>
        </w:rPr>
        <w:t xml:space="preserve">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77"/>
    <w:bookmarkStart w:id="78"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w:t>
      </w:r>
      <w:r>
        <w:t xml:space="preserve"> </w:t>
      </w:r>
      <w:r>
        <w:rPr>
          <w:rStyle w:val="DeletedText"/>
        </w:rPr>
        <w:t xml:space="preserve">Identity verification can be represented as</w:t>
      </w:r>
      <w:r>
        <w:rPr>
          <w:rStyle w:val="InsertedText"/>
        </w:rPr>
        <w:t xml:space="preserve">Identity verification is given by Eq. (8),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D</m:t>
          </m:r>
          <m:r>
            <w:rPr>
              <w:color w:val="C00000"/>
              <w:strike/>
            </w:rPr>
            <m:t>I</m:t>
          </m:r>
          <m:r>
            <w:rPr>
              <w:color w:val="C00000"/>
              <w:strike/>
            </w:rPr>
            <m:t>D</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V</m:t>
          </m:r>
          <m:r>
            <w:rPr>
              <w:color w:val="C00000"/>
              <w:strike/>
            </w:rPr>
            <m:t>C</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39</m:t>
          </m:r>
          <m:r>
            <m:rPr>
              <m:sty m:val="p"/>
            </m:rPr>
            <w:rPr>
              <w:color w:val="C00000"/>
              <w:strike/>
            </w:rPr>
            <m:t>)</m:t>
          </m:r>
        </m:oMath>
      </m:oMathPara>
    </w:p>
    <w:p>
      <w:pPr>
        <w:pStyle w:val="FirstParagraph"/>
      </w:pPr>
      <w:r>
        <w:t xml:space="preserve">where</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w:t>
      </w:r>
      <w:r>
        <w:t xml:space="preserve"> </w:t>
      </w:r>
      <w:r>
        <w:rPr>
          <w:rStyle w:val="DeletedText"/>
        </w:rPr>
        <w:t xml:space="preserve">healthcare information. Therefore,</w:t>
      </w:r>
      <w:r>
        <w:rPr>
          <w:rStyle w:val="InsertedText"/>
        </w:rPr>
        <w:t xml:space="preserve">healthcare information. Therefore, identity is not authorisation (Eq. (1)).</w:t>
      </w:r>
    </w:p>
    <w:p>
      <w:pPr>
        <w:pStyle w:val="BodyText"/>
      </w:pPr>
      <w:r>
        <w:rPr>
          <w:rStyle w:val="ReviewerNote"/>
        </w:rPr>
        <w:t xml:space="preserve">delete repeated equation ▸</w:t>
      </w:r>
      <w:r>
        <w:t xml:space="preserve"> </w:t>
      </w:r>
      <m:oMathPara>
        <m:oMathParaPr>
          <m:jc m:val="center"/>
        </m:oMathParaPr>
        <m:oMath>
          <m:r>
            <w:rPr>
              <w:color w:val="C00000"/>
              <w:strike/>
            </w:rPr>
            <m:t>I</m:t>
          </m:r>
          <m:r>
            <w:rPr>
              <w:color w:val="C00000"/>
              <w:strike/>
            </w:rPr>
            <m:t>d</m:t>
          </m:r>
          <m:r>
            <w:rPr>
              <w:color w:val="C00000"/>
              <w:strike/>
            </w:rPr>
            <m:t>e</m:t>
          </m:r>
          <m:r>
            <w:rPr>
              <w:color w:val="C00000"/>
              <w:strike/>
            </w:rPr>
            <m:t>n</m:t>
          </m:r>
          <m:r>
            <w:rPr>
              <w:color w:val="C00000"/>
              <w:strike/>
            </w:rPr>
            <m:t>t</m:t>
          </m:r>
          <m:r>
            <w:rPr>
              <w:color w:val="C00000"/>
              <w:strike/>
            </w:rPr>
            <m:t>i</m:t>
          </m:r>
          <m:r>
            <w:rPr>
              <w:color w:val="C00000"/>
              <w:strike/>
            </w:rPr>
            <m:t>t</m:t>
          </m:r>
          <m:r>
            <w:rPr>
              <w:color w:val="C00000"/>
              <w:strike/>
            </w:rPr>
            <m:t>y</m:t>
          </m:r>
          <m:r>
            <m:rPr>
              <m:sty m:val="p"/>
            </m:rPr>
            <w:rPr>
              <w:color w:val="C00000"/>
              <w:strike/>
            </w:rPr>
            <m:t>≠</m:t>
          </m:r>
          <m:r>
            <w:rPr>
              <w:color w:val="C00000"/>
              <w:strike/>
            </w:rPr>
            <m:t>A</m:t>
          </m:r>
          <m:r>
            <w:rPr>
              <w:color w:val="C00000"/>
              <w:strike/>
            </w:rPr>
            <m:t>u</m:t>
          </m:r>
          <m:r>
            <w:rPr>
              <w:color w:val="C00000"/>
              <w:strike/>
            </w:rPr>
            <m:t>t</m:t>
          </m:r>
          <m:r>
            <w:rPr>
              <w:color w:val="C00000"/>
              <w:strike/>
            </w:rPr>
            <m:t>h</m:t>
          </m:r>
          <m:r>
            <w:rPr>
              <w:color w:val="C00000"/>
              <w:strike/>
            </w:rPr>
            <m:t>o</m:t>
          </m:r>
          <m:r>
            <w:rPr>
              <w:color w:val="C00000"/>
              <w:strike/>
            </w:rPr>
            <m:t>r</m:t>
          </m:r>
          <m:r>
            <w:rPr>
              <w:color w:val="C00000"/>
              <w:strike/>
            </w:rPr>
            <m:t>i</m:t>
          </m:r>
          <m:r>
            <w:rPr>
              <w:color w:val="C00000"/>
              <w:strike/>
            </w:rPr>
            <m:t>s</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40</m:t>
          </m:r>
          <m:r>
            <m:rPr>
              <m:sty m:val="p"/>
            </m:rPr>
            <w:rPr>
              <w:color w:val="C00000"/>
              <w:strike/>
            </w:rPr>
            <m:t>)</m:t>
          </m:r>
        </m:oMath>
      </m:oMathPara>
    </w:p>
    <w:p>
      <w:pPr>
        <w:pStyle w:val="FirstParagraph"/>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w:t>
      </w:r>
      <w:r>
        <w:t xml:space="preserve"> </w:t>
      </w:r>
      <w:r>
        <w:rPr>
          <w:rStyle w:val="DeletedText"/>
        </w:rPr>
        <w:t xml:space="preserve">The corresponding policy predicate can be represented as</w:t>
      </w:r>
      <w:r>
        <w:rPr>
          <w:rStyle w:val="InsertedText"/>
        </w:rPr>
        <w:t xml:space="preserve">The corresponding policy predicate is given by Eq. (11).</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P</m:t>
          </m:r>
          <m:r>
            <w:rPr>
              <w:color w:val="C00000"/>
              <w:strike/>
            </w:rPr>
            <m:t>o</m:t>
          </m:r>
          <m:r>
            <w:rPr>
              <w:color w:val="C00000"/>
              <w:strike/>
            </w:rPr>
            <m:t>l</m:t>
          </m:r>
          <m:r>
            <w:rPr>
              <w:color w:val="C00000"/>
              <w:strike/>
            </w:rPr>
            <m:t>i</m:t>
          </m:r>
          <m:r>
            <w:rPr>
              <w:color w:val="C00000"/>
              <w:strike/>
            </w:rPr>
            <m:t>c</m:t>
          </m:r>
          <m:r>
            <w:rPr>
              <w:color w:val="C00000"/>
              <w:strike/>
            </w:rPr>
            <m:t>y</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41</m:t>
          </m:r>
          <m:r>
            <m:rPr>
              <m:sty m:val="p"/>
            </m:rPr>
            <w:rPr>
              <w:color w:val="C00000"/>
              <w:strike/>
            </w:rPr>
            <m:t>)</m:t>
          </m:r>
        </m:oMath>
      </m:oMathPara>
    </w:p>
    <w:p>
      <w:pPr>
        <w:pStyle w:val="FirstParagraph"/>
      </w:pPr>
      <w:r>
        <w:t xml:space="preserve">The overall current stage authorisation decision is therefore determined by the conjunction</w:t>
      </w:r>
      <w:r>
        <w:t xml:space="preserve"> </w:t>
      </w:r>
      <w:r>
        <w:rPr>
          <w:rStyle w:val="DeletedText"/>
        </w:rPr>
        <w:t xml:space="preserve">of the foundational trust conditions:</w:t>
      </w:r>
      <w:r>
        <w:rPr>
          <w:rStyle w:val="InsertedText"/>
        </w:rPr>
        <w:t xml:space="preserve">of the foundational trust conditions in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42</m:t>
          </m:r>
          <m:r>
            <m:rPr>
              <m:sty m:val="p"/>
            </m:rPr>
            <w:rPr>
              <w:color w:val="C00000"/>
              <w:strike/>
            </w:rPr>
            <m:t>)</m:t>
          </m:r>
        </m:oMath>
      </m:oMathPara>
    </w:p>
    <w:p>
      <w:pPr>
        <w:pStyle w:val="DeletedPara"/>
      </w:pPr>
      <w:r>
        <w:rPr>
          <w:rStyle w:val="DeletedText"/>
        </w:rPr>
        <w:t xml:space="preserve">Equivalently, the decision can be represented as</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e>
                  <m:e>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1</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1</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1</m:t>
                    </m:r>
                    <m:r>
                      <m:rPr>
                        <m:sty m:val="p"/>
                      </m:rPr>
                      <w:rPr>
                        <w:color w:val="C00000"/>
                        <w:strike/>
                      </w:rPr>
                      <m:t>,</m:t>
                    </m:r>
                  </m:e>
                </m:mr>
                <m:mr>
                  <m:e>
                    <m:r>
                      <w:rPr>
                        <w:color w:val="C00000"/>
                        <w:strike/>
                      </w:rPr>
                      <m:t>D</m:t>
                    </m:r>
                    <m:r>
                      <w:rPr>
                        <w:color w:val="C00000"/>
                        <w:strike/>
                      </w:rPr>
                      <m:t>E</m:t>
                    </m:r>
                    <m:r>
                      <w:rPr>
                        <w:color w:val="C00000"/>
                        <w:strike/>
                      </w:rPr>
                      <m:t>N</m:t>
                    </m:r>
                    <m:r>
                      <w:rPr>
                        <w:color w:val="C00000"/>
                        <w:strike/>
                      </w:rPr>
                      <m:t>Y</m:t>
                    </m:r>
                    <m:r>
                      <m:rPr>
                        <m:sty m:val="p"/>
                      </m:rPr>
                      <w:rPr>
                        <w:color w:val="C00000"/>
                        <w:strike/>
                      </w:rPr>
                      <m:t>,</m:t>
                    </m:r>
                  </m:e>
                  <m:e>
                    <m:r>
                      <w:rPr>
                        <w:color w:val="C00000"/>
                        <w:strike/>
                      </w:rPr>
                      <m:t> </m:t>
                    </m:r>
                    <m:r>
                      <m:rPr>
                        <m:nor/>
                      </m:rPr>
                      <w:rPr>
                        <w:color w:val="C00000"/>
                        <w:strike/>
                      </w:rPr>
                      <m:t>otherwise</m:t>
                    </m:r>
                    <m:r>
                      <w:rPr>
                        <w:color w:val="C00000"/>
                        <w:strike/>
                      </w:rPr>
                      <m:t> </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43</m:t>
          </m:r>
          <m:r>
            <m:rPr>
              <m:sty m:val="p"/>
            </m:rPr>
            <w:rPr>
              <w:color w:val="C00000"/>
              <w:strike/>
            </w:rPr>
            <m:t>)</m:t>
          </m:r>
        </m:oMath>
      </m:oMathPara>
    </w:p>
    <w:p>
      <w:pPr>
        <w:pStyle w:val="FirstParagraph"/>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78"/>
    <w:bookmarkStart w:id="79"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44</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45</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bookmarkEnd w:id="79"/>
    <w:bookmarkStart w:id="80"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w:t>
      </w:r>
      <w:r>
        <w:t xml:space="preserve"> </w:t>
      </w:r>
      <w:r>
        <w:rPr>
          <w:i/>
          <w:iCs/>
        </w:rPr>
        <w:t xml:space="preserve">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DeletedPara"/>
      </w:pPr>
      <w:r>
        <w:rPr>
          <w:rStyle w:val="DeletedText"/>
        </w:rPr>
        <w:t xml:space="preserve">Suppose that a consent permits access to the following healthcare data categories that</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C</m:t>
              </m:r>
            </m:sub>
          </m:sSub>
          <m:r>
            <m:rPr>
              <m:sty m:val="p"/>
            </m:rPr>
            <w:rPr>
              <w:color w:val="C00000"/>
              <w:strike/>
              <w:color w:val="C00000"/>
              <w:strike/>
            </w:rPr>
            <m:t>=</m:t>
          </m:r>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46</m:t>
          </m:r>
          <m:r>
            <m:rPr>
              <m:sty m:val="p"/>
            </m:rPr>
            <w:rPr>
              <w:color w:val="C00000"/>
              <w:strike/>
              <w:color w:val="C00000"/>
              <w:strike/>
            </w:rPr>
            <m:t>)</m:t>
          </m:r>
        </m:oMath>
      </m:oMathPara>
    </w:p>
    <w:p>
      <w:pPr>
        <w:pStyle w:val="DeletedPara"/>
      </w:pPr>
      <w:r>
        <w:rPr>
          <w:rStyle w:val="DeletedText"/>
        </w:rPr>
        <w:t xml:space="preserve">If a healthcare professional subsequently requests</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P</m:t>
          </m:r>
          <m:r>
            <w:rPr>
              <w:color w:val="C00000"/>
              <w:strike/>
              <w:color w:val="C00000"/>
              <w:strike/>
            </w:rPr>
            <m:t>r</m:t>
          </m:r>
          <m:r>
            <w:rPr>
              <w:color w:val="C00000"/>
              <w:strike/>
              <w:color w:val="C00000"/>
              <w:strike/>
            </w:rPr>
            <m:t>o</m:t>
          </m:r>
          <m:r>
            <w:rPr>
              <w:color w:val="C00000"/>
              <w:strike/>
              <w:color w:val="C00000"/>
              <w:strike/>
            </w:rPr>
            <m:t>c</m:t>
          </m:r>
          <m:r>
            <w:rPr>
              <w:color w:val="C00000"/>
              <w:strike/>
              <w:color w:val="C00000"/>
              <w:strike/>
            </w:rPr>
            <m:t>e</m:t>
          </m:r>
          <m:r>
            <w:rPr>
              <w:color w:val="C00000"/>
              <w:strike/>
              <w:color w:val="C00000"/>
              <w:strike/>
            </w:rPr>
            <m:t>d</m:t>
          </m:r>
          <m:r>
            <w:rPr>
              <w:color w:val="C00000"/>
              <w:strike/>
              <w:color w:val="C00000"/>
              <w:strike/>
            </w:rPr>
            <m:t>u</m:t>
          </m:r>
          <m:r>
            <w:rPr>
              <w:color w:val="C00000"/>
              <w:strike/>
              <w:color w:val="C00000"/>
              <w:strike/>
            </w:rPr>
            <m:t>r</m:t>
          </m:r>
          <m:r>
            <w:rPr>
              <w:color w:val="C00000"/>
              <w:strike/>
              <w:color w:val="C00000"/>
              <w:strike/>
            </w:rPr>
            <m:t>e</m:t>
          </m:r>
          <m:r>
            <m:rPr>
              <m:sty m:val="p"/>
            </m:rPr>
            <w:rPr>
              <w:color w:val="C00000"/>
              <w:strike/>
              <w:color w:val="C00000"/>
              <w:strike/>
            </w:rPr>
            <m:t>}</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47</m:t>
          </m:r>
          <m:r>
            <m:rPr>
              <m:sty m:val="p"/>
            </m:rPr>
            <w:rPr>
              <w:color w:val="C00000"/>
              <w:strike/>
              <w:color w:val="C00000"/>
              <w:strike/>
            </w:rPr>
            <m:t>)</m:t>
          </m:r>
        </m:oMath>
      </m:oMathPara>
    </w:p>
    <w:p>
      <w:pPr>
        <w:pStyle w:val="DeletedPara"/>
      </w:pPr>
      <w:r>
        <w:rPr>
          <w:rStyle w:val="DeletedText"/>
        </w:rPr>
        <w:t xml:space="preserve">the request exceeds the authorised data scope because</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sSub>
            <m:e>
              <m:r>
                <w:rPr>
                  <w:color w:val="C00000"/>
                  <w:strike/>
                  <w:color w:val="C00000"/>
                  <w:strike/>
                </w:rPr>
                <m:t>S</m:t>
              </m:r>
            </m:e>
            <m:sub>
              <m:r>
                <w:rPr>
                  <w:color w:val="C00000"/>
                  <w:strike/>
                  <w:color w:val="C00000"/>
                  <w:strike/>
                </w:rPr>
                <m:t>C</m:t>
              </m:r>
            </m:sub>
          </m:sSub>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48</m:t>
          </m:r>
          <m:r>
            <m:rPr>
              <m:sty m:val="p"/>
            </m:rPr>
            <w:rPr>
              <w:color w:val="C00000"/>
              <w:strike/>
              <w:color w:val="C00000"/>
              <w:strike/>
            </w:rPr>
            <m:t>)</m:t>
          </m:r>
        </m:oMath>
      </m:oMathPara>
    </w:p>
    <w:p>
      <w:pPr>
        <w:pStyle w:val="DeletedPara"/>
      </w:pPr>
      <w:r>
        <w:rPr>
          <w:rStyle w:val="DeletedText"/>
        </w:rPr>
        <w:t xml:space="preserve">The Controller must therefore return</w:t>
      </w:r>
    </w:p>
    <w:p>
      <w:pPr>
        <w:pStyle w:val="InsertedPara"/>
      </w:pPr>
      <w:r>
        <w:rPr>
          <w:rStyle w:val="InsertedText"/>
        </w:rPr>
        <w:t xml:space="preserve">For example, if a healthcare professional requests the scope in Eq. (4), the request exceeds the consented scope (Eq. (5)) and the Controller must return DENY.</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49</m:t>
          </m:r>
          <m:r>
            <m:rPr>
              <m:sty m:val="p"/>
            </m:rPr>
            <w:rPr>
              <w:color w:val="C00000"/>
              <w:strike/>
            </w:rPr>
            <m:t>)</m:t>
          </m:r>
        </m:oMath>
      </m:oMathPara>
    </w:p>
    <w:p>
      <w:pPr>
        <w:pStyle w:val="FirstParagraph"/>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80"/>
    <w:bookmarkStart w:id="81"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50</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1"/>
    <w:bookmarkStart w:id="82"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collective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decision accountability</w:t>
      </w:r>
      <w:r>
        <w:t xml:space="preserve">. The system maintains evidence concerning the conditions that produced an authorisation decision, thereby supporting auditing and subsequent verification. These properties can be summarised as shown in Table 5.</w:t>
      </w:r>
    </w:p>
    <w:bookmarkEnd w:id="82"/>
    <w:bookmarkStart w:id="83"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bookmarkEnd w:id="83"/>
    <w:bookmarkStart w:id="84"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w:t>
      </w:r>
      <w:r>
        <w:t xml:space="preserve"> </w:t>
      </w:r>
      <w:r>
        <w:rPr>
          <w:rStyle w:val="DeletedText"/>
        </w:rPr>
        <w:t xml:space="preserve">RQ1</w:t>
      </w:r>
      <w:r>
        <w:rPr>
          <w:rStyle w:val="InsertedText"/>
        </w:rPr>
        <w:t xml:space="preserve">SRQ1</w:t>
      </w:r>
      <w:r>
        <w:t xml:space="preserve">–</w:t>
      </w:r>
      <w:r>
        <w:rPr>
          <w:rStyle w:val="DeletedText"/>
        </w:rPr>
        <w:t xml:space="preserve">RQ4</w:t>
      </w:r>
      <w:r>
        <w:rPr>
          <w:rStyle w:val="InsertedText"/>
        </w:rPr>
        <w:t xml:space="preserve">SRQ4</w:t>
      </w:r>
      <w:r>
        <w:t xml:space="preserve">. The implemented HALAH prototype provides the practical environment in which these mechanisms can be instantiated and evaluated through representative healthcare data-sharing scenarios.</w:t>
      </w:r>
    </w:p>
    <w:p>
      <w:pPr>
        <w:pStyle w:val="TableCaption"/>
      </w:pPr>
      <w:r>
        <w:t xml:space="preserve">Table 5: Security Properties Supported by the Proposed MVC-Based Consent Architecture</w:t>
      </w:r>
    </w:p>
    <w:tbl>
      <w:tblPr>
        <w:tblStyle w:val="Table"/>
        <w:tblW w:type="pct" w:w="5000"/>
        <w:tblLayout w:type="fixed"/>
        <w:tblLook w:firstRow="1" w:lastRow="0" w:firstColumn="0" w:lastColumn="0" w:noHBand="0" w:noVBand="0" w:val="0020"/>
        <w:tblCaption w:val="Table 5: Security Properties Supported by the Proposed MVC-Based Consent Architecture"/>
      </w:tblPr>
      <w:tblGrid>
        <w:gridCol w:w="1680"/>
        <w:gridCol w:w="2880"/>
        <w:gridCol w:w="336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p/>
    <w:p>
      <w:pPr>
        <w:pStyle w:val="TableCaption"/>
      </w:pPr>
      <w:r>
        <w:t xml:space="preserve">Table 6: Mapping Between Research Objectives and MVC Components</w:t>
      </w:r>
    </w:p>
    <w:tbl>
      <w:tblPr>
        <w:tblStyle w:val="Table"/>
        <w:tblW w:type="pct" w:w="5000"/>
        <w:tblLayout w:type="fixed"/>
        <w:tblLook w:firstRow="1" w:lastRow="0" w:firstColumn="0" w:lastColumn="0" w:noHBand="0" w:noVBand="0" w:val="0020"/>
        <w:tblCaption w:val="Table 6: Mapping Between Research Objectives and MVC Components"/>
      </w:tblPr>
      <w:tblGrid>
        <w:gridCol w:w="1357"/>
        <w:gridCol w:w="1697"/>
        <w:gridCol w:w="1810"/>
        <w:gridCol w:w="30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w:t>
      </w:r>
      <w:r>
        <w:t xml:space="preserve"> </w:t>
      </w:r>
      <w:r>
        <w:rPr>
          <w:rStyle w:val="DeletedText"/>
        </w:rPr>
        <w:t xml:space="preserve">while next stagewill investigate</w:t>
      </w:r>
      <w:r>
        <w:rPr>
          <w:rStyle w:val="InsertedText"/>
        </w:rPr>
        <w:t xml:space="preserve">while the next stage will investigate</w:t>
      </w:r>
      <w:r>
        <w:t xml:space="preserve"> </w:t>
      </w:r>
      <w:r>
        <w:t xml:space="preserve">whether this core can maintain trust dynamically over time, satisfy formally defined security properties, and consistently enforce the complete trust-oriented authorisation model under representative and adversarial healthcare data-sharing conditions.</w:t>
      </w:r>
    </w:p>
    <w:bookmarkEnd w:id="84"/>
    <w:bookmarkEnd w:id="85"/>
    <w:bookmarkStart w:id="129" w:name="proposed-solution"/>
    <w:p>
      <w:pPr>
        <w:pStyle w:val="Heading1"/>
      </w:pPr>
      <w:r>
        <w:t xml:space="preserve">6 Proposed Solution</w:t>
      </w:r>
    </w:p>
    <w:bookmarkStart w:id="92" w:name="trust-centric-consent-model-for-ro1"/>
    <w:p>
      <w:pPr>
        <w:pStyle w:val="Heading2"/>
      </w:pPr>
      <w:r>
        <w:t xml:space="preserve">6.1 Trust-Centric Consent Model for RO1</w:t>
      </w:r>
    </w:p>
    <w:p>
      <w:pPr>
        <w:pStyle w:val="FirstParagraph"/>
      </w:pPr>
      <w:r>
        <w:t xml:space="preserve">RO1 addresses</w:t>
      </w:r>
      <w:r>
        <w:t xml:space="preserve"> </w:t>
      </w:r>
      <w:r>
        <w:rPr>
          <w:rStyle w:val="DeletedText"/>
        </w:rPr>
        <w:t xml:space="preserve">RQ1</w:t>
      </w:r>
      <w:r>
        <w:rPr>
          <w:rStyle w:val="InsertedText"/>
        </w:rPr>
        <w:t xml:space="preserve">SRQ1</w:t>
      </w:r>
      <w:r>
        <w:t xml:space="preserve"> </w:t>
      </w:r>
      <w:r>
        <w:t xml:space="preserve">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w:t>
      </w:r>
      <w:r>
        <w:t xml:space="preserve"> </w:t>
      </w:r>
      <w:r>
        <w:rPr>
          <w:rStyle w:val="DeletedText"/>
        </w:rPr>
        <w:t xml:space="preserve">The proposed consent object is represented as</w:t>
      </w:r>
      <w:r>
        <w:rPr>
          <w:rStyle w:val="InsertedText"/>
        </w:rPr>
        <w:t xml:space="preserve">The proposed consent object is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(Eq. (7)),</w:t>
      </w:r>
    </w:p>
    <w:p>
      <w:pPr>
        <w:pStyle w:val="BodyText"/>
      </w:pPr>
      <w:r>
        <w:rPr>
          <w:rStyle w:val="ReviewerNote"/>
        </w:rPr>
        <w:t xml:space="preserve">delete repeated equation ▸</w:t>
      </w:r>
      <w:r>
        <w:t xml:space="preserve"> </w:t>
      </w:r>
      <m:oMathPara>
        <m:oMathParaPr>
          <m:jc m:val="center"/>
        </m:oMathParaPr>
        <m:oMath>
          <m:r>
            <w:rPr>
              <w:color w:val="C00000"/>
              <w:strike/>
            </w:rPr>
            <m:t>C</m:t>
          </m:r>
          <m:r>
            <m:rPr>
              <m:sty m:val="p"/>
            </m:rPr>
            <w:rPr>
              <w:color w:val="C00000"/>
              <w:strike/>
            </w:rPr>
            <m:t>=</m:t>
          </m:r>
          <m:r>
            <m:rPr>
              <m:sty m:val="p"/>
            </m:rPr>
            <w:rPr>
              <w:color w:val="C00000"/>
              <w:strike/>
            </w:rPr>
            <m:t>(</m:t>
          </m:r>
          <m:r>
            <w:rPr>
              <w:color w:val="C00000"/>
              <w:strike/>
            </w:rPr>
            <m:t>I</m:t>
          </m:r>
          <m:r>
            <m:rPr>
              <m:sty m:val="p"/>
            </m:rPr>
            <w:rPr>
              <w:color w:val="C00000"/>
              <w:strike/>
            </w:rPr>
            <m:t>,</m:t>
          </m:r>
          <m:r>
            <w:rPr>
              <w:color w:val="C00000"/>
              <w:strike/>
            </w:rPr>
            <m:t>A</m:t>
          </m:r>
          <m:r>
            <m:rPr>
              <m:sty m:val="p"/>
            </m:rPr>
            <w:rPr>
              <w:color w:val="C00000"/>
              <w:strike/>
            </w:rPr>
            <m:t>,</m:t>
          </m:r>
          <m:r>
            <w:rPr>
              <w:color w:val="C00000"/>
              <w:strike/>
            </w:rPr>
            <m:t>P</m:t>
          </m:r>
          <m:r>
            <m:rPr>
              <m:sty m:val="p"/>
            </m:rPr>
            <w:rPr>
              <w:color w:val="C00000"/>
              <w:strike/>
            </w:rPr>
            <m:t>,</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51</m:t>
          </m:r>
          <m:r>
            <m:rPr>
              <m:sty m:val="p"/>
            </m:rPr>
            <w:rPr>
              <w:color w:val="C00000"/>
              <w:strike/>
            </w:rPr>
            <m:t>)</m:t>
          </m:r>
        </m:oMath>
      </m:oMathPara>
    </w:p>
    <w:p>
      <w:pPr>
        <w:pStyle w:val="FirstParagraph"/>
      </w:pPr>
      <w:r>
        <w:t xml:space="preserve">where</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89" w:name="ro1-consent-creation-workflow"/>
    <w:p>
      <w:pPr>
        <w:pStyle w:val="Heading3"/>
      </w:pPr>
      <w:r>
        <w:t xml:space="preserve">6.1.1 RO1 Consent Creation Workflow</w:t>
      </w:r>
    </w:p>
    <w:p>
      <w:pPr>
        <w:pStyle w:val="FirstParagraph"/>
      </w:pPr>
      <w:r>
        <w:t xml:space="preserve">The following workflow</w:t>
      </w:r>
      <w:r>
        <w:rPr>
          <w:rStyle w:val="InsertedText"/>
        </w:rPr>
        <w:t xml:space="preserve">(Figure 7)</w:t>
      </w:r>
      <w:r>
        <w:t xml:space="preserve"> </w:t>
      </w:r>
      <w:r>
        <w:t xml:space="preserve">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w:t>
      </w:r>
      <w:r>
        <w:t xml:space="preserve"> </w:t>
      </w:r>
      <w:r>
        <w:rPr>
          <w:rStyle w:val="InsertedText"/>
        </w:rPr>
        <w:t xml:space="preserve">This interface is shown in Figure 13 (Section 7.2).</w:t>
      </w:r>
      <w:r>
        <w:t xml:space="preserve"> </w:t>
      </w:r>
      <w:r>
        <w:t xml:space="preserve">The implementation also collects the start and expiry time of the consent.</w:t>
      </w:r>
    </w:p>
    <w:p>
      <w:pPr>
        <w:pStyle w:val="CaptionedFigure"/>
      </w:pPr>
      <w:r>
        <w:drawing>
          <wp:inline>
            <wp:extent cx="3593592" cy="7675998"/>
            <wp:effectExtent b="0" l="0" r="0" t="0"/>
            <wp:docPr descr="Figure 7: RO1 workflow for trust-centric consent creation" title="" id="87" name="Picture"/>
            <a:graphic>
              <a:graphicData uri="http://schemas.openxmlformats.org/drawingml/2006/picture">
                <pic:pic>
                  <pic:nvPicPr>
                    <pic:cNvPr descr="media_col/fig07.png" id="88" name="Picture"/>
                    <pic:cNvPicPr>
                      <a:picLocks noChangeArrowheads="1" noChangeAspect="1"/>
                    </pic:cNvPicPr>
                  </pic:nvPicPr>
                  <pic:blipFill>
                    <a:blip r:embed="rId86"/>
                    <a:stretch>
                      <a:fillRect/>
                    </a:stretch>
                  </pic:blipFill>
                  <pic:spPr bwMode="auto">
                    <a:xfrm>
                      <a:off x="0" y="0"/>
                      <a:ext cx="3593592" cy="7675998"/>
                    </a:xfrm>
                    <a:prstGeom prst="rect">
                      <a:avLst/>
                    </a:prstGeom>
                    <a:noFill/>
                    <a:ln w="9525">
                      <a:noFill/>
                      <a:headEnd/>
                      <a:tailEnd/>
                    </a:ln>
                  </pic:spPr>
                </pic:pic>
              </a:graphicData>
            </a:graphic>
          </wp:inline>
        </w:drawing>
      </w:r>
    </w:p>
    <w:p>
      <w:pPr>
        <w:pStyle w:val="ImageCaption"/>
      </w:pPr>
      <w:r>
        <w:t xml:space="preserve">Figure 7: RO1 workflow for trust-centric consent creation</w:t>
      </w:r>
    </w:p>
    <w:p>
      <w:pPr>
        <w:pStyle w:val="ReviewerNotePara"/>
      </w:pPr>
      <w:r>
        <w:rPr>
          <w:rStyle w:val="ReviewerNote"/>
        </w:rPr>
        <w:t xml:space="preserve">Figure re-drawn in the same design and colours. Fix (to match Algorithm 1):</w:t>
      </w:r>
      <w:r>
        <w:rPr>
          <w:rStyle w:val="ReviewerNote"/>
        </w:rPr>
        <w:t xml:space="preserve"> </w:t>
      </w:r>
      <w:r>
        <w:rPr>
          <w:rStyle w:val="ReviewerNote"/>
        </w:rPr>
        <w:t xml:space="preserve">‘Define Authorisation Requirement’</w:t>
      </w:r>
      <w:r>
        <w:rPr>
          <w:rStyle w:val="ReviewerNote"/>
        </w:rPr>
        <w:t xml:space="preserve"> </w:t>
      </w:r>
      <w:r>
        <w:rPr>
          <w:rStyle w:val="ReviewerNote"/>
        </w:rPr>
        <w:t xml:space="preserve">added,</w:t>
      </w:r>
      <w:r>
        <w:rPr>
          <w:rStyle w:val="ReviewerNote"/>
        </w:rPr>
        <w:t xml:space="preserve"> </w:t>
      </w:r>
      <w:r>
        <w:rPr>
          <w:rStyle w:val="ReviewerNote"/>
        </w:rPr>
        <w:t xml:space="preserve">‘Generate Consent Identifier’</w:t>
      </w:r>
      <w:r>
        <w:rPr>
          <w:rStyle w:val="ReviewerNote"/>
        </w:rPr>
        <w:t xml:space="preserve"> </w:t>
      </w:r>
      <w:r>
        <w:rPr>
          <w:rStyle w:val="ReviewerNote"/>
        </w:rPr>
        <w:t xml:space="preserve">now precedes</w:t>
      </w:r>
      <w:r>
        <w:rPr>
          <w:rStyle w:val="ReviewerNote"/>
        </w:rPr>
        <w:t xml:space="preserve"> </w:t>
      </w:r>
      <w:r>
        <w:rPr>
          <w:rStyle w:val="ReviewerNote"/>
        </w:rPr>
        <w:t xml:space="preserve">‘Create Trust-Aware Consent Object C = (I, A, P, E)’</w:t>
      </w:r>
      <w:r>
        <w:rPr>
          <w:rStyle w:val="ReviewerNote"/>
        </w:rPr>
        <w:t xml:space="preserve"> </w:t>
      </w:r>
      <w:r>
        <w:rPr>
          <w:rStyle w:val="ReviewerNote"/>
        </w:rPr>
        <w:t xml:space="preserve">as in lines 13–15 of the algorithm.</w:t>
      </w:r>
    </w:p>
    <w:p>
      <w:pPr>
        <w:pStyle w:val="BodyText"/>
      </w:pPr>
      <w: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bookmarkEnd w:id="89"/>
    <w:bookmarkStart w:id="90"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4"/>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5"/>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6"/>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7"/>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8"/>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09"/>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rPr>
          <w:i/>
          <w:iCs/>
        </w:rPr>
        <w:t xml:space="preserve">, 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rPr>
          <w:i/>
          <w:iCs/>
        </w:rPr>
        <w:t xml:space="preserve">&gt; t</w:t>
      </w:r>
      <w:r>
        <w:rPr>
          <w:vertAlign w:val="subscript"/>
        </w:rPr>
        <w:t xml:space="preserve">s</w:t>
      </w:r>
      <w:r>
        <w:t xml:space="preserve">. If this condition is not satisfied, the consent request is rejected.</w:t>
      </w:r>
    </w:p>
    <w:p>
      <w:pPr>
        <w:pStyle w:val="Compact"/>
        <w:numPr>
          <w:ilvl w:val="0"/>
          <w:numId w:val="1010"/>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1"/>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2"/>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3"/>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4"/>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5"/>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w:t>
      </w:r>
      <w:r>
        <w:t xml:space="preserve"> </w:t>
      </w:r>
      <w:r>
        <w:rPr>
          <w:rStyle w:val="DeletedText"/>
        </w:rPr>
        <w:t xml:space="preserve">establishment process that</w:t>
      </w:r>
      <w:r>
        <w:rPr>
          <w:rStyle w:val="DeletedText"/>
        </w:rPr>
        <w:t xml:space="preserve"> </w:t>
      </w:r>
      <w:r>
        <w:rPr>
          <w:rStyle w:val="DeletedText"/>
          <w:i/>
          <w:iCs/>
        </w:rPr>
        <w:t xml:space="preserve">I</w:t>
      </w:r>
      <w:r>
        <w:rPr>
          <w:rStyle w:val="DeletedText"/>
          <w:vertAlign w:val="subscript"/>
        </w:rPr>
        <w:t xml:space="preserve">p</w:t>
      </w:r>
      <w:r>
        <w:rPr>
          <w:rStyle w:val="InsertedText"/>
        </w:rPr>
        <w:t xml:space="preserve">establishment process:</w:t>
      </w:r>
      <w:r>
        <w:rPr>
          <w:rStyle w:val="InsertedText"/>
        </w:rPr>
        <w:t xml:space="preserve"> </w:t>
      </w:r>
      <w:r>
        <w:rPr>
          <w:rStyle w:val="InsertedText"/>
          <w:i/>
          <w:iCs/>
        </w:rPr>
        <w:t xml:space="preserve">I</w:t>
      </w:r>
      <w:r>
        <w:rPr>
          <w:rStyle w:val="InsertedText"/>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w:t>
      </w:r>
      <w:r>
        <w:t xml:space="preserve">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InsertedPara"/>
      </w:pPr>
      <w:r>
        <w:rPr>
          <w:rStyle w:val="InsertedText"/>
        </w:rPr>
        <w:t xml:space="preserve">In the HALAH prototype (Section 7.2), Steps 1–3 currently perform a syntactic DID check, and credential-based authority validation is scheduled for Stage 2. Step 6 is implemented: the patient interface rejects an expiry time that is not later than the start time.</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bookmarkEnd w:id="90"/>
    <w:bookmarkStart w:id="91" w:name="algorithm-1-trust-aware-consent-creation"/>
    <w:p>
      <w:pPr>
        <w:pStyle w:val="Heading3"/>
      </w:pPr>
      <w:r>
        <w:t xml:space="preserve">6.1.3 Algorithm 1: Trust-Aware Consent Creation</w:t>
      </w:r>
    </w:p>
    <w:p>
      <w:pPr>
        <w:pStyle w:val="FirstParagrap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1"/>
    <w:bookmarkEnd w:id="92"/>
    <w:bookmarkStart w:id="99" w:name="X3b93ca6d6b3213e06bf792918c5f2e554ad197d"/>
    <w:p>
      <w:pPr>
        <w:pStyle w:val="Heading2"/>
      </w:pPr>
      <w:r>
        <w:t xml:space="preserve">6.2 Decentralised Identity and Authority Trust for RO2</w:t>
      </w:r>
    </w:p>
    <w:p>
      <w:pPr>
        <w:pStyle w:val="FirstParagraph"/>
      </w:pPr>
      <w:r>
        <w:t xml:space="preserve">RO2 addresses</w:t>
      </w:r>
      <w:r>
        <w:t xml:space="preserve"> </w:t>
      </w:r>
      <w:r>
        <w:rPr>
          <w:rStyle w:val="DeletedText"/>
        </w:rPr>
        <w:t xml:space="preserve">RQ2</w:t>
      </w:r>
      <w:r>
        <w:rPr>
          <w:rStyle w:val="InsertedText"/>
        </w:rPr>
        <w:t xml:space="preserve">SRQ2</w:t>
      </w:r>
      <w:r>
        <w:t xml:space="preserve"> </w:t>
      </w:r>
      <w:r>
        <w:t xml:space="preserve">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rPr>
          <w:rStyle w:val="DeletedText"/>
        </w:rPr>
        <w:t xml:space="preserve">The central principle of RO2 is</w:t>
      </w:r>
      <w:r>
        <w:rPr>
          <w:rStyle w:val="InsertedText"/>
        </w:rPr>
        <w:t xml:space="preserve">The central principle of RO2 is that identity is not authorisation (Eq. (1)).</w:t>
      </w:r>
    </w:p>
    <w:p>
      <w:pPr>
        <w:pStyle w:val="BodyText"/>
      </w:pPr>
      <w:r>
        <w:rPr>
          <w:rStyle w:val="ReviewerNote"/>
        </w:rPr>
        <w:t xml:space="preserve">delete repeated equation ▸</w:t>
      </w:r>
      <w:r>
        <w:t xml:space="preserve"> </w:t>
      </w:r>
      <m:oMathPara>
        <m:oMathParaPr>
          <m:jc m:val="center"/>
        </m:oMathParaPr>
        <m:oMath>
          <m:r>
            <w:rPr>
              <w:color w:val="C00000"/>
              <w:strike/>
            </w:rPr>
            <m:t>I</m:t>
          </m:r>
          <m:r>
            <w:rPr>
              <w:color w:val="C00000"/>
              <w:strike/>
            </w:rPr>
            <m:t>d</m:t>
          </m:r>
          <m:r>
            <w:rPr>
              <w:color w:val="C00000"/>
              <w:strike/>
            </w:rPr>
            <m:t>e</m:t>
          </m:r>
          <m:r>
            <w:rPr>
              <w:color w:val="C00000"/>
              <w:strike/>
            </w:rPr>
            <m:t>n</m:t>
          </m:r>
          <m:r>
            <w:rPr>
              <w:color w:val="C00000"/>
              <w:strike/>
            </w:rPr>
            <m:t>t</m:t>
          </m:r>
          <m:r>
            <w:rPr>
              <w:color w:val="C00000"/>
              <w:strike/>
            </w:rPr>
            <m:t>i</m:t>
          </m:r>
          <m:r>
            <w:rPr>
              <w:color w:val="C00000"/>
              <w:strike/>
            </w:rPr>
            <m:t>t</m:t>
          </m:r>
          <m:r>
            <w:rPr>
              <w:color w:val="C00000"/>
              <w:strike/>
            </w:rPr>
            <m:t>y</m:t>
          </m:r>
          <m:r>
            <m:rPr>
              <m:sty m:val="p"/>
            </m:rPr>
            <w:rPr>
              <w:color w:val="C00000"/>
              <w:strike/>
            </w:rPr>
            <m:t>≠</m:t>
          </m:r>
          <m:r>
            <w:rPr>
              <w:color w:val="C00000"/>
              <w:strike/>
            </w:rPr>
            <m:t>A</m:t>
          </m:r>
          <m:r>
            <w:rPr>
              <w:color w:val="C00000"/>
              <w:strike/>
            </w:rPr>
            <m:t>u</m:t>
          </m:r>
          <m:r>
            <w:rPr>
              <w:color w:val="C00000"/>
              <w:strike/>
            </w:rPr>
            <m:t>t</m:t>
          </m:r>
          <m:r>
            <w:rPr>
              <w:color w:val="C00000"/>
              <w:strike/>
            </w:rPr>
            <m:t>h</m:t>
          </m:r>
          <m:r>
            <w:rPr>
              <w:color w:val="C00000"/>
              <w:strike/>
            </w:rPr>
            <m:t>o</m:t>
          </m:r>
          <m:r>
            <w:rPr>
              <w:color w:val="C00000"/>
              <w:strike/>
            </w:rPr>
            <m:t>r</m:t>
          </m:r>
          <m:r>
            <w:rPr>
              <w:color w:val="C00000"/>
              <w:strike/>
            </w:rPr>
            <m:t>i</m:t>
          </m:r>
          <m:r>
            <w:rPr>
              <w:color w:val="C00000"/>
              <w:strike/>
            </w:rPr>
            <m:t>s</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52</m:t>
          </m:r>
          <m:r>
            <m:rPr>
              <m:sty m:val="p"/>
            </m:rPr>
            <w:rPr>
              <w:color w:val="C00000"/>
              <w:strike/>
            </w:rPr>
            <m:t>)</m:t>
          </m:r>
        </m:oMath>
      </m:oMathPara>
    </w:p>
    <w:p>
      <w:pPr>
        <w:pStyle w:val="FirstParagrap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w:t>
      </w:r>
      <w:r>
        <w:t xml:space="preserve"> </w:t>
      </w:r>
      <w:r>
        <w:rPr>
          <w:rStyle w:val="DeletedText"/>
        </w:rPr>
        <w:t xml:space="preserve">The identity verification condition can be expressed as</w:t>
      </w:r>
      <w:r>
        <w:rPr>
          <w:rStyle w:val="InsertedText"/>
        </w:rPr>
        <w:t xml:space="preserve">The identity verification condition is given by Eq. (8),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D</m:t>
          </m:r>
          <m:r>
            <w:rPr>
              <w:color w:val="C00000"/>
              <w:strike/>
            </w:rPr>
            <m:t>I</m:t>
          </m:r>
          <m:r>
            <w:rPr>
              <w:color w:val="C00000"/>
              <w:strike/>
            </w:rPr>
            <m:t>D</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V</m:t>
          </m:r>
          <m:r>
            <w:rPr>
              <w:color w:val="C00000"/>
              <w:strike/>
            </w:rPr>
            <m:t>C</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53</m:t>
          </m:r>
          <m:r>
            <m:rPr>
              <m:sty m:val="p"/>
            </m:rPr>
            <w:rPr>
              <w:color w:val="C00000"/>
              <w:strike/>
            </w:rPr>
            <m:t>)</m:t>
          </m:r>
        </m:oMath>
      </m:oMathPara>
    </w:p>
    <w:p>
      <w:pPr>
        <w:pStyle w:val="FirstParagraph"/>
      </w:pPr>
      <w:r>
        <w:t xml:space="preserve">where</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96" w:name="X40f13bf52dbab2e76356a6753423f1584e794fb"/>
    <w:p>
      <w:pPr>
        <w:pStyle w:val="Heading3"/>
      </w:pPr>
      <w:r>
        <w:t xml:space="preserve">6.2.1 RO2 Identity and Authority Verification Workflow</w:t>
      </w:r>
    </w:p>
    <w:p>
      <w:pPr>
        <w:pStyle w:val="FirstParagraph"/>
      </w:pPr>
      <w:r>
        <w:t xml:space="preserve">The workflow</w:t>
      </w:r>
      <w:r>
        <w:rPr>
          <w:rStyle w:val="InsertedText"/>
        </w:rPr>
        <w:t xml:space="preserve">, shown in Figure 8,</w:t>
      </w:r>
      <w:r>
        <w:t xml:space="preserve"> </w:t>
      </w:r>
      <w:r>
        <w:t xml:space="preserve">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tbl>
      <w:tblPr>
        <w:tblStyle w:val="FigureTable"/>
        <w:tblW w:type="dxa" w:w="9072"/>
        <w:jc w:val="center"/>
        <w:tblLook w:firstRow="0" w:lastRow="0" w:firstColumn="0" w:lastColumn="0"/>
      </w:tblPr>
      <w:tblGrid>
        <w:gridCol w:w="9072"/>
      </w:tblGrid>
      <w:tr>
        <w:trPr>
          <w:cantSplit/>
        </w:trPr>
        <w:tc>
          <w:tcPr/>
          <w:p>
            <w:pPr>
              <w:pStyle w:val="Compact"/>
              <w:jc w:val="center"/>
            </w:pPr>
            <w:r>
              <w:drawing>
                <wp:inline>
                  <wp:extent cx="3008376" cy="7679143"/>
                  <wp:effectExtent b="0" l="0" r="0" t="0"/>
                  <wp:docPr descr="Figure 8: RO2 workflow for decentralised identity and authority verification" title="" id="94" name="Picture"/>
                  <a:graphic>
                    <a:graphicData uri="http://schemas.openxmlformats.org/drawingml/2006/picture">
                      <pic:pic>
                        <pic:nvPicPr>
                          <pic:cNvPr descr="media_col/fig08.png" id="95" name="Picture"/>
                          <pic:cNvPicPr>
                            <a:picLocks noChangeArrowheads="1" noChangeAspect="1"/>
                          </pic:cNvPicPr>
                        </pic:nvPicPr>
                        <pic:blipFill>
                          <a:blip r:embed="rId93"/>
                          <a:stretch>
                            <a:fillRect/>
                          </a:stretch>
                        </pic:blipFill>
                        <pic:spPr bwMode="auto">
                          <a:xfrm>
                            <a:off x="0" y="0"/>
                            <a:ext cx="3008376" cy="7679143"/>
                          </a:xfrm>
                          <a:prstGeom prst="rect">
                            <a:avLst/>
                          </a:prstGeom>
                          <a:noFill/>
                          <a:ln w="9525">
                            <a:noFill/>
                            <a:headEnd/>
                            <a:tailEnd/>
                          </a:ln>
                        </pic:spPr>
                      </pic:pic>
                    </a:graphicData>
                  </a:graphic>
                </wp:inline>
              </w:drawing>
            </w:r>
          </w:p>
        </w:tc>
      </w:tr>
    </w:tbl>
    <w:p>
      <w:pPr>
        <w:pStyle w:val="ImageCaption"/>
      </w:pPr>
      <w:r>
        <w:rPr>
          <w:rStyle w:val="InsertedText"/>
        </w:rPr>
        <w:t xml:space="preserve">Figure 8: RO2 workflow for decentralised identity and authority verification</w:t>
      </w:r>
    </w:p>
    <w:p>
      <w:pPr>
        <w:pStyle w:val="ReviewerNotePara"/>
      </w:pPr>
      <w:r>
        <w:rPr>
          <w:rStyle w:val="ReviewerNote"/>
        </w:rPr>
        <w:t xml:space="preserve">Figure re-drawn in the same design and colours. Fix (to match Algorithm 2, line 21):</w:t>
      </w:r>
      <w:r>
        <w:rPr>
          <w:rStyle w:val="ReviewerNote"/>
        </w:rPr>
        <w:t xml:space="preserve"> </w:t>
      </w:r>
      <w:r>
        <w:rPr>
          <w:rStyle w:val="ReviewerNote"/>
        </w:rPr>
        <w:t xml:space="preserve">‘Record Verification Evidence’</w:t>
      </w:r>
      <w:r>
        <w:rPr>
          <w:rStyle w:val="ReviewerNote"/>
        </w:rPr>
        <w:t xml:space="preserve"> </w:t>
      </w:r>
      <w:r>
        <w:rPr>
          <w:rStyle w:val="ReviewerNote"/>
        </w:rPr>
        <w:t xml:space="preserve">added before the verified identity is returned.</w:t>
      </w:r>
    </w:p>
    <w:p>
      <w:pPr>
        <w:pStyle w:val="DeletedPara"/>
      </w:pPr>
      <w:r>
        <w:rPr>
          <w:rStyle w:val="DeletedText"/>
        </w:rPr>
        <w:t xml:space="preserve">In the HALAH implementation, the Guardian workflow uses a selected guardian DID and invokes VC verification before adding the guardian’s signature to the consent. The code therefore demonstrates the separation between participant identity verification and the subsequent authorisation operation.</w:t>
      </w:r>
    </w:p>
    <w:p>
      <w:pPr>
        <w:pStyle w:val="InsertedPara"/>
      </w:pPr>
      <w:r>
        <w:rPr>
          <w:rStyle w:val="InsertedText"/>
        </w:rPr>
        <w:t xml:space="preserve">In the HALAH prototype, identity and authority are established in two separate steps. First, the guardian’s DID is checked for syntactic validity. Second, the guardian’s approval is expressed as an EIP-712 typed-data signature [39] over the consent identifier, and the approval is accepted only if the address recovered from the signature matches the address bound to that guardian DID; an approval that fails this check is rejected and does not count towards the threshold (Section 7.3). For demonstration, guardian keys are derived deterministically from the DID; in deployment, each guardian would sign the same typed data with their own wallet. Full W3C Verifiable Credential verification [41, 42], covering issuer, proof, credential status and validity period (Steps 3–4 below), is specified here but has not yet been implemented and is scheduled for Stage 2 (CA3). The prototype therefore already separates</w:t>
      </w:r>
      <w:r>
        <w:rPr>
          <w:rStyle w:val="InsertedText"/>
        </w:rPr>
        <w:t xml:space="preserve"> </w:t>
      </w:r>
      <w:r>
        <w:rPr>
          <w:rStyle w:val="InsertedText"/>
          <w:i/>
          <w:iCs/>
        </w:rPr>
        <w:t xml:space="preserve">who</w:t>
      </w:r>
      <w:r>
        <w:rPr>
          <w:rStyle w:val="InsertedText"/>
        </w:rPr>
        <w:t xml:space="preserve"> </w:t>
      </w:r>
      <w:r>
        <w:rPr>
          <w:rStyle w:val="InsertedText"/>
        </w:rPr>
        <w:t xml:space="preserve">the guardian is from</w:t>
      </w:r>
      <w:r>
        <w:rPr>
          <w:rStyle w:val="InsertedText"/>
        </w:rPr>
        <w:t xml:space="preserve"> </w:t>
      </w:r>
      <w:r>
        <w:rPr>
          <w:rStyle w:val="InsertedText"/>
          <w:i/>
          <w:iCs/>
        </w:rPr>
        <w:t xml:space="preserve">whether</w:t>
      </w:r>
      <w:r>
        <w:rPr>
          <w:rStyle w:val="InsertedText"/>
        </w:rPr>
        <w:t xml:space="preserve"> </w:t>
      </w:r>
      <w:r>
        <w:rPr>
          <w:rStyle w:val="InsertedText"/>
        </w:rPr>
        <w:t xml:space="preserve">their approval is cryptographically valid, but does not yet verify credential-based authority.</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96"/>
    <w:bookmarkStart w:id="97"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6"/>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7"/>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ReviewerNotePara"/>
      </w:pPr>
      <w:r>
        <w:rPr>
          <w:rStyle w:val="ReviewerNote"/>
        </w:rPr>
        <w:t xml:space="preserve">Figure 8 moved up to Section 6.2.1, directly after the paragraph that describes the workflow (it sat in the middle of the step-by-step procedure).</w:t>
      </w:r>
    </w:p>
    <w:p>
      <w:pPr>
        <w:pStyle w:val="DeletedPara"/>
      </w:pPr>
      <w:r>
        <w:rPr>
          <w:rStyle w:val="DeletedText"/>
        </w:rPr>
        <w:t xml:space="preserve">Figure 8: RO2 workflow for decentralised identity and authority verification (image moved)</w:t>
      </w:r>
    </w:p>
    <w:p>
      <w:pPr>
        <w:pStyle w:val="Compact"/>
        <w:numPr>
          <w:ilvl w:val="0"/>
          <w:numId w:val="1018"/>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19"/>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w:t>
      </w:r>
      <w:r>
        <w:t xml:space="preserve"> </w:t>
      </w:r>
      <w:r>
        <w:rPr>
          <w:rStyle w:val="InsertedText"/>
        </w:rPr>
        <w:t xml:space="preserve">In the HALAH prototype, this step is specified but not yet implemented (Section 7.13).</w:t>
      </w:r>
    </w:p>
    <w:p>
      <w:pPr>
        <w:pStyle w:val="Compact"/>
        <w:numPr>
          <w:ilvl w:val="0"/>
          <w:numId w:val="1020"/>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1"/>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2"/>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3"/>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4"/>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97"/>
    <w:bookmarkStart w:id="98"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98"/>
    <w:bookmarkEnd w:id="99"/>
    <w:bookmarkStart w:id="106" w:name="X2fe5cbf561c8a3bc135795b66ae3ba1eef8bc71"/>
    <w:p>
      <w:pPr>
        <w:pStyle w:val="Heading2"/>
      </w:pPr>
      <w:r>
        <w:t xml:space="preserve">6.3 Trustworthy Multi-Party Authorisation for RO3</w:t>
      </w:r>
    </w:p>
    <w:p>
      <w:pPr>
        <w:pStyle w:val="FirstParagraph"/>
      </w:pPr>
      <w:r>
        <w:t xml:space="preserve">RO3 addresses</w:t>
      </w:r>
      <w:r>
        <w:t xml:space="preserve"> </w:t>
      </w:r>
      <w:r>
        <w:rPr>
          <w:rStyle w:val="DeletedText"/>
        </w:rPr>
        <w:t xml:space="preserve">RQ3</w:t>
      </w:r>
      <w:r>
        <w:rPr>
          <w:rStyle w:val="InsertedText"/>
        </w:rPr>
        <w:t xml:space="preserve">SRQ3</w:t>
      </w:r>
      <w:r>
        <w:t xml:space="preserve"> </w:t>
      </w:r>
      <w:r>
        <w:t xml:space="preserve">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w:t>
      </w:r>
      <w:r>
        <w:t xml:space="preserve"> </w:t>
      </w:r>
      <w:r>
        <w:rPr>
          <w:rStyle w:val="DeletedText"/>
        </w:rPr>
        <w:t xml:space="preserve">The threshold condition is defined as</w:t>
      </w:r>
      <w:r>
        <w:rPr>
          <w:rStyle w:val="InsertedText"/>
        </w:rPr>
        <w:t xml:space="preserve">The threshold condition is given by Eq. (9).</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54</m:t>
          </m:r>
          <m:r>
            <m:rPr>
              <m:sty m:val="p"/>
            </m:rPr>
            <w:rPr>
              <w:color w:val="C00000"/>
              <w:strike/>
            </w:rPr>
            <m:t>)</m:t>
          </m:r>
        </m:oMath>
      </m:oMathPara>
    </w:p>
    <w:p>
      <w:pPr>
        <w:pStyle w:val="FirstParagraph"/>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103" w:name="ro3-multi-party-authorisation-workflow"/>
    <w:p>
      <w:pPr>
        <w:pStyle w:val="Heading3"/>
      </w:pPr>
      <w:r>
        <w:t xml:space="preserve">6.3.1 RO3 Multi-Party Authorisation Workflow</w:t>
      </w:r>
    </w:p>
    <w:p>
      <w:pPr>
        <w:pStyle w:val="FirstParagraph"/>
      </w:pPr>
      <w:r>
        <w:t xml:space="preserve">The workflow</w:t>
      </w:r>
      <w:r>
        <w:rPr>
          <w:rStyle w:val="InsertedText"/>
        </w:rPr>
        <w:t xml:space="preserve">, shown in Figure 9,</w:t>
      </w:r>
      <w:r>
        <w:t xml:space="preserve"> </w:t>
      </w:r>
      <w:r>
        <w:t xml:space="preserve">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tbl>
      <w:tblPr>
        <w:tblStyle w:val="FigureTable"/>
        <w:tblW w:type="dxa" w:w="9072"/>
        <w:jc w:val="center"/>
        <w:tblLook w:firstRow="0" w:lastRow="0" w:firstColumn="0" w:lastColumn="0"/>
      </w:tblPr>
      <w:tblGrid>
        <w:gridCol w:w="9072"/>
      </w:tblGrid>
      <w:tr>
        <w:trPr>
          <w:cantSplit/>
        </w:trPr>
        <w:tc>
          <w:tcPr/>
          <w:p>
            <w:pPr>
              <w:pStyle w:val="Compact"/>
              <w:jc w:val="center"/>
            </w:pPr>
            <w:r>
              <w:drawing>
                <wp:inline>
                  <wp:extent cx="3584448" cy="7671816"/>
                  <wp:effectExtent b="0" l="0" r="0" t="0"/>
                  <wp:docPr descr="Figure 9: RO3 workflow for threshold-based multi-party authorisation" title="" id="101" name="Picture"/>
                  <a:graphic>
                    <a:graphicData uri="http://schemas.openxmlformats.org/drawingml/2006/picture">
                      <pic:pic>
                        <pic:nvPicPr>
                          <pic:cNvPr descr="media_col/fig09.png" id="102" name="Picture"/>
                          <pic:cNvPicPr>
                            <a:picLocks noChangeArrowheads="1" noChangeAspect="1"/>
                          </pic:cNvPicPr>
                        </pic:nvPicPr>
                        <pic:blipFill>
                          <a:blip r:embed="rId100"/>
                          <a:stretch>
                            <a:fillRect/>
                          </a:stretch>
                        </pic:blipFill>
                        <pic:spPr bwMode="auto">
                          <a:xfrm>
                            <a:off x="0" y="0"/>
                            <a:ext cx="3584448" cy="7671816"/>
                          </a:xfrm>
                          <a:prstGeom prst="rect">
                            <a:avLst/>
                          </a:prstGeom>
                          <a:noFill/>
                          <a:ln w="9525">
                            <a:noFill/>
                            <a:headEnd/>
                            <a:tailEnd/>
                          </a:ln>
                        </pic:spPr>
                      </pic:pic>
                    </a:graphicData>
                  </a:graphic>
                </wp:inline>
              </w:drawing>
            </w:r>
          </w:p>
        </w:tc>
      </w:tr>
    </w:tbl>
    <w:p>
      <w:pPr>
        <w:pStyle w:val="ImageCaption"/>
      </w:pPr>
      <w:r>
        <w:rPr>
          <w:rStyle w:val="InsertedText"/>
        </w:rPr>
        <w:t xml:space="preserve">Figure 9: RO3 workflow for threshold-based multi-party authorisation</w:t>
      </w:r>
    </w:p>
    <w:p>
      <w:pPr>
        <w:pStyle w:val="ReviewerNotePara"/>
      </w:pPr>
      <w:r>
        <w:rPr>
          <w:rStyle w:val="ReviewerNote"/>
        </w:rPr>
        <w:t xml:space="preserve">Figure re-drawn in the same design and colours. Fix (to match Algorithm 3, lines 7–14): the checks</w:t>
      </w:r>
      <w:r>
        <w:rPr>
          <w:rStyle w:val="ReviewerNote"/>
        </w:rPr>
        <w:t xml:space="preserve"> </w:t>
      </w:r>
      <w:r>
        <w:rPr>
          <w:rStyle w:val="ReviewerNote"/>
        </w:rPr>
        <w:t xml:space="preserve">‘Participant in Required Set G?’</w:t>
      </w:r>
      <w:r>
        <w:rPr>
          <w:rStyle w:val="ReviewerNote"/>
        </w:rPr>
        <w:t xml:space="preserve"> </w:t>
      </w:r>
      <w:r>
        <w:rPr>
          <w:rStyle w:val="ReviewerNote"/>
        </w:rPr>
        <w:t xml:space="preserve">and</w:t>
      </w:r>
      <w:r>
        <w:rPr>
          <w:rStyle w:val="ReviewerNote"/>
        </w:rPr>
        <w:t xml:space="preserve"> </w:t>
      </w:r>
      <w:r>
        <w:rPr>
          <w:rStyle w:val="ReviewerNote"/>
        </w:rPr>
        <w:t xml:space="preserve">‘Already Approved?’</w:t>
      </w:r>
      <w:r>
        <w:rPr>
          <w:rStyle w:val="ReviewerNote"/>
        </w:rPr>
        <w:t xml:space="preserve"> </w:t>
      </w:r>
      <w:r>
        <w:rPr>
          <w:rStyle w:val="ReviewerNote"/>
        </w:rPr>
        <w:t xml:space="preserve">with their rejections were added; the original figure counted an approval without them.</w:t>
      </w:r>
    </w:p>
    <w:p>
      <w:pPr>
        <w:pStyle w:val="DeletedPara"/>
      </w:pPr>
      <w:r>
        <w:rPr>
          <w:rStyle w:val="DeletedText"/>
        </w:rPr>
        <w:t xml:space="preserve">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w:t>
      </w:r>
    </w:p>
    <w:p>
      <w:pPr>
        <w:pStyle w:val="InsertedPara"/>
      </w:pPr>
      <w:r>
        <w:rPr>
          <w:rStyle w:val="InsertedText"/>
        </w:rPr>
        <w:t xml:space="preserve">In the HALAH prototype, the Guardian workflow (Figure 14, Section 7.3) verifies each guardian’s EIP-712 approval signature, refuses a second approval from the same guardian, adds the guardian DID to the consent’s signature set and displays the approval count against the threshold (e.g., 2/2). When the threshold is reached, a Soulbound Token (SBT) identifier is assigned, a MINT_SBT event is written to the audit log, and the consent is anchored on the Ethereum Sepolia testnet by minting a non-transferable consent token. Four such mints, made with the v2 consent contract, are recorded in Table 10; the v3 contract adds on-chain validity checks and ERC-5484 consensual burn [40].</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103"/>
    <w:bookmarkStart w:id="104"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5"/>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ReviewerNotePara"/>
      </w:pPr>
      <w:r>
        <w:rPr>
          <w:rStyle w:val="ReviewerNote"/>
        </w:rPr>
        <w:t xml:space="preserve">Figure 9 moved up to Section 6.3.1, directly after the paragraph that describes the workflow (it sat in the middle of the step-by-step procedure).</w:t>
      </w:r>
    </w:p>
    <w:p>
      <w:pPr>
        <w:pStyle w:val="DeletedPara"/>
      </w:pPr>
      <w:r>
        <w:rPr>
          <w:rStyle w:val="DeletedText"/>
        </w:rPr>
        <w:t xml:space="preserve">Figure 9: RO3 workflow for threshold-based multi-party authorisation (image moved)</w:t>
      </w:r>
    </w:p>
    <w:p>
      <w:pPr>
        <w:pStyle w:val="Compact"/>
        <w:numPr>
          <w:ilvl w:val="0"/>
          <w:numId w:val="1026"/>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w:t>
      </w:r>
      <w:r>
        <w:t xml:space="preserve"> </w:t>
      </w:r>
      <w:r>
        <w:rPr>
          <w:rStyle w:val="InsertedText"/>
        </w:rPr>
        <w:t xml:space="preserve">In the HALAH prototype,</w:t>
      </w:r>
      <w:r>
        <w:rPr>
          <w:rStyle w:val="InsertedText"/>
        </w:rPr>
        <w:t xml:space="preserve"> </w:t>
      </w:r>
      <m:oMath>
        <m:r>
          <w:rPr>
            <w:color w:val="C00000"/>
          </w:rPr>
          <m:t>N</m:t>
        </m:r>
        <m:r>
          <m:rPr>
            <m:sty m:val="p"/>
          </m:rPr>
          <w:rPr>
            <w:color w:val="C00000"/>
          </w:rPr>
          <m:t>=</m:t>
        </m:r>
        <m:d>
          <m:dPr>
            <m:begChr m:val="|"/>
            <m:sepChr m:val=""/>
            <m:endChr m:val="|"/>
            <m:grow/>
          </m:dPr>
          <m:e>
            <m:r>
              <w:rPr>
                <w:color w:val="C00000"/>
              </w:rPr>
              <m:t>G</m:t>
            </m:r>
          </m:e>
        </m:d>
      </m:oMath>
      <w:r>
        <w:rPr>
          <w:rStyle w:val="InsertedText"/>
        </w:rPr>
        <w:t xml:space="preserve"> </w:t>
      </w:r>
      <w:r>
        <w:rPr>
          <w:rStyle w:val="InsertedText"/>
        </w:rPr>
        <w:t xml:space="preserve">(all designated guardians must approve); configurable k-of-n thresholds are Stage 2 work.</w:t>
      </w:r>
    </w:p>
    <w:p>
      <w:pPr>
        <w:pStyle w:val="Compact"/>
        <w:numPr>
          <w:ilvl w:val="0"/>
          <w:numId w:val="1027"/>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8"/>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29"/>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0"/>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 </w:t>
      </w:r>
      <w:r>
        <w:t xml:space="preserve">that</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1"/>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2"/>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3"/>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4"/>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5"/>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6"/>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7"/>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55</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56</m:t>
          </m:r>
          <m:r>
            <m:rPr>
              <m:sty m:val="p"/>
            </m:rPr>
            <m:t>)</m:t>
          </m:r>
        </m:oMath>
      </m:oMathPara>
    </w:p>
    <w:bookmarkEnd w:id="104"/>
    <w:bookmarkStart w:id="105"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05"/>
    <w:bookmarkEnd w:id="106"/>
    <w:bookmarkStart w:id="113" w:name="X77d8a567f90fbf98e40547b4be1462ed72e9750"/>
    <w:p>
      <w:pPr>
        <w:pStyle w:val="Heading2"/>
      </w:pPr>
      <w:r>
        <w:t xml:space="preserve">6.4 Policy- and Context-Aware Access Control for RO4</w:t>
      </w:r>
    </w:p>
    <w:p>
      <w:pPr>
        <w:pStyle w:val="FirstParagraph"/>
      </w:pPr>
      <w:r>
        <w:t xml:space="preserve">RO4 addresses</w:t>
      </w:r>
      <w:r>
        <w:t xml:space="preserve"> </w:t>
      </w:r>
      <w:r>
        <w:rPr>
          <w:rStyle w:val="DeletedText"/>
        </w:rPr>
        <w:t xml:space="preserve">RQ4</w:t>
      </w:r>
      <w:r>
        <w:rPr>
          <w:rStyle w:val="InsertedText"/>
        </w:rPr>
        <w:t xml:space="preserve">SRQ4</w:t>
      </w:r>
      <w:r>
        <w:t xml:space="preserve"> </w:t>
      </w:r>
      <w:r>
        <w:t xml:space="preserve">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57</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58</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rPr>
          <w:rStyle w:val="DeletedText"/>
        </w:rPr>
        <w:t xml:space="preserve">The complete current stage research on authorisation decision is</w:t>
      </w:r>
      <w:r>
        <w:rPr>
          <w:rStyle w:val="InsertedText"/>
        </w:rPr>
        <w:t xml:space="preserve">The complete current-stage authorisation decision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59</m:t>
          </m:r>
          <m:r>
            <m:rPr>
              <m:sty m:val="p"/>
            </m:rPr>
            <w:rPr>
              <w:color w:val="C00000"/>
              <w:strike/>
            </w:rPr>
            <m:t>)</m:t>
          </m:r>
        </m:oMath>
      </m:oMathPara>
    </w:p>
    <w:bookmarkStart w:id="110" w:name="ro4-policy-aware-access-workflow"/>
    <w:p>
      <w:pPr>
        <w:pStyle w:val="Heading3"/>
      </w:pPr>
      <w:r>
        <w:t xml:space="preserve">6.4.1 RO4 Policy-Aware Access Workflow</w:t>
      </w:r>
    </w:p>
    <w:p>
      <w:pPr>
        <w:pStyle w:val="FirstParagraph"/>
      </w:pPr>
      <w:r>
        <w:t xml:space="preserve">The workflow</w:t>
      </w:r>
      <w:r>
        <w:rPr>
          <w:rStyle w:val="InsertedText"/>
        </w:rPr>
        <w:t xml:space="preserve">, shown in Figure 10,</w:t>
      </w:r>
      <w:r>
        <w:t xml:space="preserve"> </w:t>
      </w:r>
      <w:r>
        <w:t xml:space="preserve">begins when a doctor submits a request for patient data. The system retrieves the relevant consent object and verifies the requesting participant. It then checks whether the required multi-party authorisation has been established.</w:t>
      </w:r>
    </w:p>
    <w:tbl>
      <w:tblPr>
        <w:tblStyle w:val="FigureTable"/>
        <w:tblW w:type="dxa" w:w="9072"/>
        <w:jc w:val="center"/>
        <w:tblLook w:firstRow="0" w:lastRow="0" w:firstColumn="0" w:lastColumn="0"/>
      </w:tblPr>
      <w:tblGrid>
        <w:gridCol w:w="9072"/>
      </w:tblGrid>
      <w:tr>
        <w:trPr>
          <w:cantSplit/>
        </w:trPr>
        <w:tc>
          <w:tcPr/>
          <w:p>
            <w:pPr>
              <w:pStyle w:val="Compact"/>
              <w:jc w:val="center"/>
            </w:pPr>
            <w:r>
              <w:drawing>
                <wp:inline>
                  <wp:extent cx="5486400" cy="6503056"/>
                  <wp:effectExtent b="0" l="0" r="0" t="0"/>
                  <wp:docPr descr="Figure 10: RO4 workflow for policy- and context-aware access control" title="" id="108" name="Picture"/>
                  <a:graphic>
                    <a:graphicData uri="http://schemas.openxmlformats.org/drawingml/2006/picture">
                      <pic:pic>
                        <pic:nvPicPr>
                          <pic:cNvPr descr="media_col/fig10.png" id="109" name="Picture"/>
                          <pic:cNvPicPr>
                            <a:picLocks noChangeArrowheads="1" noChangeAspect="1"/>
                          </pic:cNvPicPr>
                        </pic:nvPicPr>
                        <pic:blipFill>
                          <a:blip r:embed="rId107"/>
                          <a:stretch>
                            <a:fillRect/>
                          </a:stretch>
                        </pic:blipFill>
                        <pic:spPr bwMode="auto">
                          <a:xfrm>
                            <a:off x="0" y="0"/>
                            <a:ext cx="5486400" cy="6503056"/>
                          </a:xfrm>
                          <a:prstGeom prst="rect">
                            <a:avLst/>
                          </a:prstGeom>
                          <a:noFill/>
                          <a:ln w="9525">
                            <a:noFill/>
                            <a:headEnd/>
                            <a:tailEnd/>
                          </a:ln>
                        </pic:spPr>
                      </pic:pic>
                    </a:graphicData>
                  </a:graphic>
                </wp:inline>
              </w:drawing>
            </w:r>
          </w:p>
        </w:tc>
      </w:tr>
    </w:tbl>
    <w:p>
      <w:pPr>
        <w:pStyle w:val="ImageCaption"/>
      </w:pPr>
      <w:r>
        <w:rPr>
          <w:rStyle w:val="InsertedText"/>
        </w:rPr>
        <w:t xml:space="preserve">Figure 10: RO4 workflow for policy- and context-aware access control</w:t>
      </w:r>
    </w:p>
    <w:p>
      <w:pPr>
        <w:pStyle w:val="ReviewerNotePara"/>
      </w:pPr>
      <w:r>
        <w:rPr>
          <w:rStyle w:val="ReviewerNote"/>
        </w:rPr>
        <w:t xml:space="preserve">Figure re-drawn in the same design and colours. Fix (to match Algorithm 4, lines 6–10):</w:t>
      </w:r>
      <w:r>
        <w:rPr>
          <w:rStyle w:val="ReviewerNote"/>
        </w:rPr>
        <w:t xml:space="preserve"> </w:t>
      </w:r>
      <w:r>
        <w:rPr>
          <w:rStyle w:val="ReviewerNote"/>
        </w:rPr>
        <w:t xml:space="preserve">‘Evaluate Consent State / Consent Active?’</w:t>
      </w:r>
      <w:r>
        <w:rPr>
          <w:rStyle w:val="ReviewerNote"/>
        </w:rPr>
        <w:t xml:space="preserve"> </w:t>
      </w:r>
      <w:r>
        <w:rPr>
          <w:rStyle w:val="ReviewerNote"/>
        </w:rPr>
        <w:t xml:space="preserve">added between identity verification and the threshold check.</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w:t>
      </w:r>
      <w:r>
        <w:t xml:space="preserve"> </w:t>
      </w:r>
      <w:r>
        <w:rPr>
          <w:rStyle w:val="InsertedText"/>
        </w:rPr>
        <w:t xml:space="preserve">This behaviour is shown in Figures 15–16 (Section 7.4).</w:t>
      </w:r>
    </w:p>
    <w:p>
      <w:pPr>
        <w:pStyle w:val="DeletedPara"/>
      </w:pPr>
      <w:r>
        <w:rPr>
          <w:rStyle w:val="DeletedText"/>
        </w:rPr>
        <w:t xml:space="preserve">For example, if</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C</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60</m:t>
          </m:r>
          <m:r>
            <m:rPr>
              <m:sty m:val="p"/>
            </m:rPr>
            <w:rPr>
              <w:color w:val="C00000"/>
              <w:strike/>
              <w:color w:val="C00000"/>
              <w:strike/>
            </w:rPr>
            <m:t>)</m:t>
          </m:r>
        </m:oMath>
      </m:oMathPara>
    </w:p>
    <w:p>
      <w:pPr>
        <w:pStyle w:val="DeletedPara"/>
      </w:pPr>
      <w:r>
        <w:rPr>
          <w:rStyle w:val="DeletedText"/>
        </w:rPr>
        <w:t xml:space="preserve">and</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P</m:t>
          </m:r>
          <m:r>
            <w:rPr>
              <w:color w:val="C00000"/>
              <w:strike/>
              <w:color w:val="C00000"/>
              <w:strike/>
            </w:rPr>
            <m:t>r</m:t>
          </m:r>
          <m:r>
            <w:rPr>
              <w:color w:val="C00000"/>
              <w:strike/>
              <w:color w:val="C00000"/>
              <w:strike/>
            </w:rPr>
            <m:t>o</m:t>
          </m:r>
          <m:r>
            <w:rPr>
              <w:color w:val="C00000"/>
              <w:strike/>
              <w:color w:val="C00000"/>
              <w:strike/>
            </w:rPr>
            <m:t>c</m:t>
          </m:r>
          <m:r>
            <w:rPr>
              <w:color w:val="C00000"/>
              <w:strike/>
              <w:color w:val="C00000"/>
              <w:strike/>
            </w:rPr>
            <m:t>e</m:t>
          </m:r>
          <m:r>
            <w:rPr>
              <w:color w:val="C00000"/>
              <w:strike/>
              <w:color w:val="C00000"/>
              <w:strike/>
            </w:rPr>
            <m:t>d</m:t>
          </m:r>
          <m:r>
            <w:rPr>
              <w:color w:val="C00000"/>
              <w:strike/>
              <w:color w:val="C00000"/>
              <w:strike/>
            </w:rPr>
            <m:t>u</m:t>
          </m:r>
          <m:r>
            <w:rPr>
              <w:color w:val="C00000"/>
              <w:strike/>
              <w:color w:val="C00000"/>
              <w:strike/>
            </w:rPr>
            <m:t>r</m:t>
          </m:r>
          <m:r>
            <w:rPr>
              <w:color w:val="C00000"/>
              <w:strike/>
              <w:color w:val="C00000"/>
              <w:strike/>
            </w:rPr>
            <m:t>e</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61</m:t>
          </m:r>
          <m:r>
            <m:rPr>
              <m:sty m:val="p"/>
            </m:rPr>
            <w:rPr>
              <w:color w:val="C00000"/>
              <w:strike/>
              <w:color w:val="C00000"/>
              <w:strike/>
            </w:rPr>
            <m:t>)</m:t>
          </m:r>
        </m:oMath>
      </m:oMathPara>
    </w:p>
    <w:p>
      <w:pPr>
        <w:pStyle w:val="DeletedPara"/>
      </w:pPr>
      <w:r>
        <w:rPr>
          <w:rStyle w:val="DeletedText"/>
        </w:rPr>
        <w:t xml:space="preserve">then</w:t>
      </w:r>
    </w:p>
    <w:p>
      <w:pPr>
        <w:pStyle w:val="BodyText"/>
      </w:pPr>
      <w:r>
        <w:rPr>
          <w:rStyle w:val="ReviewerNote"/>
        </w:rPr>
        <w:t xml:space="preserve">delete repeated equation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sSub>
            <m:e>
              <m:r>
                <w:rPr>
                  <w:color w:val="C00000"/>
                  <w:strike/>
                </w:rPr>
                <m:t>S</m:t>
              </m:r>
            </m:e>
            <m:sub>
              <m:r>
                <w:rPr>
                  <w:color w:val="C00000"/>
                  <w:strike/>
                </w:rPr>
                <m:t>C</m:t>
              </m:r>
            </m:sub>
          </m:sSub>
          <m:r>
            <m:rPr>
              <m:sty m:val="p"/>
            </m:rPr>
            <w:rPr>
              <w:color w:val="C00000"/>
              <w:strike/>
            </w:rPr>
            <m:t>,</m:t>
          </m:r>
          <m:r>
            <w:rPr>
              <w:color w:val="C00000"/>
              <w:strike/>
            </w:rPr>
            <m:t>  </m:t>
          </m:r>
          <m:r>
            <w:rPr>
              <w:color w:val="C00000"/>
              <w:strike/>
            </w:rPr>
            <m:t>  </m:t>
          </m:r>
          <m:r>
            <m:rPr>
              <m:sty m:val="p"/>
            </m:rPr>
            <w:rPr>
              <w:color w:val="C00000"/>
              <w:strike/>
            </w:rPr>
            <m:t>(</m:t>
          </m:r>
          <m:r>
            <w:rPr>
              <w:color w:val="C00000"/>
              <w:strike/>
            </w:rPr>
            <m:t>62</m:t>
          </m:r>
          <m:r>
            <m:rPr>
              <m:sty m:val="p"/>
            </m:rPr>
            <w:rPr>
              <w:color w:val="C00000"/>
              <w:strike/>
            </w:rPr>
            <m:t>)</m:t>
          </m:r>
        </m:oMath>
      </m:oMathPara>
    </w:p>
    <w:p>
      <w:pPr>
        <w:pStyle w:val="FirstParagraph"/>
      </w:pPr>
      <w:r>
        <w:rPr>
          <w:rStyle w:val="DeletedText"/>
        </w:rPr>
        <w:t xml:space="preserve">and the request must be denied. This rule prevents</w:t>
      </w:r>
      <w:r>
        <w:rPr>
          <w:rStyle w:val="InsertedText"/>
        </w:rPr>
        <w:t xml:space="preserve">For example, the request in Eq. (4) must be denied. This rule prevents</w:t>
      </w:r>
      <w:r>
        <w:t xml:space="preserve"> </w:t>
      </w:r>
      <w:r>
        <w:t xml:space="preserve">a legitimate participant from obtaining data outside the patient’s authorised scope.</w:t>
      </w:r>
    </w:p>
    <w:p>
      <w:pPr>
        <w:pStyle w:val="InsertedPara"/>
      </w:pPr>
      <w:r>
        <w:rPr>
          <w:rStyle w:val="InsertedText"/>
          <w:b/>
          <w:bCs/>
        </w:rPr>
        <w:t xml:space="preserve">Prototype status of</w:t>
      </w:r>
      <w:r>
        <w:rPr>
          <w:rStyle w:val="InsertedText"/>
          <w:b/>
          <w:bCs/>
        </w:rPr>
        <w:t xml:space="preserve"> </w:t>
      </w:r>
      <m:oMath>
        <m:sSub>
          <m:e>
            <m:r>
              <w:rPr>
                <w:color w:val="C00000"/>
              </w:rPr>
              <m:t>V</m:t>
            </m:r>
          </m:e>
          <m:sub>
            <m:r>
              <w:rPr>
                <w:color w:val="C00000"/>
              </w:rPr>
              <m:t>P</m:t>
            </m:r>
          </m:sub>
        </m:sSub>
      </m:oMath>
      <w:r>
        <w:rPr>
          <w:rStyle w:val="InsertedText"/>
          <w:b/>
          <w:bCs/>
        </w:rPr>
        <w:t xml:space="preserve">.</w:t>
      </w:r>
      <w:r>
        <w:rPr>
          <w:rStyle w:val="InsertedText"/>
        </w:rPr>
        <w:t xml:space="preserve"> </w:t>
      </w:r>
      <w:r>
        <w:rPr>
          <w:rStyle w:val="InsertedText"/>
        </w:rPr>
        <w:t xml:space="preserve">In the HALAH prototype, scope compatibility</w:t>
      </w:r>
      <w:r>
        <w:rPr>
          <w:rStyle w:val="InsertedText"/>
        </w:rPr>
        <w:t xml:space="preserve"> </w:t>
      </w:r>
      <m:oMath>
        <m:sSub>
          <m:e>
            <m:r>
              <w:rPr>
                <w:color w:val="C00000"/>
              </w:rPr>
              <m:t>V</m:t>
            </m:r>
          </m:e>
          <m:sub>
            <m:r>
              <w:rPr>
                <w:color w:val="C00000"/>
              </w:rPr>
              <m:t>S</m:t>
            </m:r>
          </m:sub>
        </m:sSub>
        <m:r>
          <m:rPr>
            <m:sty m:val="p"/>
          </m:rPr>
          <w:rPr>
            <w:color w:val="C00000"/>
          </w:rPr>
          <m:t>(</m:t>
        </m:r>
        <m:r>
          <w:rPr>
            <w:color w:val="C00000"/>
          </w:rPr>
          <m:t>C</m:t>
        </m:r>
        <m:r>
          <m:rPr>
            <m:sty m:val="p"/>
          </m:rPr>
          <w:rPr>
            <w:color w:val="C00000"/>
          </w:rPr>
          <m:t>,</m:t>
        </m:r>
        <m:r>
          <w:rPr>
            <w:color w:val="C00000"/>
          </w:rPr>
          <m:t>R</m:t>
        </m:r>
        <m:r>
          <m:rPr>
            <m:sty m:val="p"/>
          </m:rPr>
          <w:rPr>
            <w:color w:val="C00000"/>
          </w:rPr>
          <m:t>)</m:t>
        </m:r>
      </m:oMath>
      <w:r>
        <w:rPr>
          <w:rStyle w:val="InsertedText"/>
        </w:rPr>
        <w:t xml:space="preserve"> </w:t>
      </w:r>
      <w:r>
        <w:rPr>
          <w:rStyle w:val="InsertedText"/>
        </w:rPr>
        <w:t xml:space="preserve">is enforced: the Doctor interface offers only modules from the consented scope, and the service layer independently verifies</w:t>
      </w:r>
      <w:r>
        <w:rPr>
          <w:rStyle w:val="InsertedText"/>
        </w:rPr>
        <w:t xml:space="preserve"> </w:t>
      </w:r>
      <m:oMath>
        <m:sSub>
          <m:e>
            <m:r>
              <w:rPr>
                <w:color w:val="C00000"/>
              </w:rPr>
              <m:t>S</m:t>
            </m:r>
          </m:e>
          <m:sub>
            <m:r>
              <w:rPr>
                <w:color w:val="C00000"/>
              </w:rPr>
              <m:t>R</m:t>
            </m:r>
          </m:sub>
        </m:sSub>
        <m:r>
          <m:rPr>
            <m:sty m:val="p"/>
          </m:rPr>
          <w:rPr>
            <w:color w:val="C00000"/>
          </w:rPr>
          <m:t>⊆</m:t>
        </m:r>
        <m:sSub>
          <m:e>
            <m:r>
              <w:rPr>
                <w:color w:val="C00000"/>
              </w:rPr>
              <m:t>S</m:t>
            </m:r>
          </m:e>
          <m:sub>
            <m:r>
              <w:rPr>
                <w:color w:val="C00000"/>
              </w:rPr>
              <m:t>C</m:t>
            </m:r>
          </m:sub>
        </m:sSub>
      </m:oMath>
      <w:r>
        <w:rPr>
          <w:rStyle w:val="InsertedText"/>
        </w:rPr>
        <w:t xml:space="preserve"> </w:t>
      </w:r>
      <w:r>
        <w:rPr>
          <w:rStyle w:val="InsertedText"/>
        </w:rPr>
        <w:t xml:space="preserve">before any data are returned; a failed check produces an ACCESS DENIED result that is recorded in the audit log. Purpose compatibility</w:t>
      </w:r>
      <w:r>
        <w:rPr>
          <w:rStyle w:val="InsertedText"/>
        </w:rPr>
        <w:t xml:space="preserve"> </w:t>
      </w:r>
      <m:oMath>
        <m:sSub>
          <m:e>
            <m:r>
              <w:rPr>
                <w:color w:val="C00000"/>
              </w:rPr>
              <m:t>V</m:t>
            </m:r>
          </m:e>
          <m:sub>
            <m:r>
              <w:rPr>
                <w:color w:val="C00000"/>
              </w:rPr>
              <m:t>U</m:t>
            </m:r>
          </m:sub>
        </m:sSub>
        <m:r>
          <m:rPr>
            <m:sty m:val="p"/>
          </m:rPr>
          <w:rPr>
            <w:color w:val="C00000"/>
          </w:rPr>
          <m:t>(</m:t>
        </m:r>
        <m:r>
          <w:rPr>
            <w:color w:val="C00000"/>
          </w:rPr>
          <m:t>C</m:t>
        </m:r>
        <m:r>
          <m:rPr>
            <m:sty m:val="p"/>
          </m:rPr>
          <w:rPr>
            <w:color w:val="C00000"/>
          </w:rPr>
          <m:t>,</m:t>
        </m:r>
        <m:r>
          <w:rPr>
            <w:color w:val="C00000"/>
          </w:rPr>
          <m:t>R</m:t>
        </m:r>
        <m:r>
          <m:rPr>
            <m:sty m:val="p"/>
          </m:rPr>
          <w:rPr>
            <w:color w:val="C00000"/>
          </w:rPr>
          <m:t>)</m:t>
        </m:r>
      </m:oMath>
      <w:r>
        <w:rPr>
          <w:rStyle w:val="InsertedText"/>
        </w:rPr>
        <w:t xml:space="preserve"> </w:t>
      </w:r>
      <w:r>
        <w:rPr>
          <w:rStyle w:val="InsertedText"/>
        </w:rPr>
        <w:t xml:space="preserve">is only partly implemented: the consent purpose is checked against the permitted set {Treatment, Research, Emergency}, but the requester does not yet declare a purpose, so the comparison</w:t>
      </w:r>
      <w:r>
        <w:rPr>
          <w:rStyle w:val="InsertedText"/>
        </w:rPr>
        <w:t xml:space="preserve"> </w:t>
      </w:r>
      <m:oMath>
        <m:sSub>
          <m:e>
            <m:r>
              <w:rPr>
                <w:color w:val="C00000"/>
              </w:rPr>
              <m:t>P</m:t>
            </m:r>
          </m:e>
          <m:sub>
            <m:r>
              <w:rPr>
                <w:color w:val="C00000"/>
              </w:rPr>
              <m:t>R</m:t>
            </m:r>
          </m:sub>
        </m:sSub>
        <m:r>
          <m:rPr>
            <m:sty m:val="p"/>
          </m:rPr>
          <w:rPr>
            <w:color w:val="C00000"/>
          </w:rPr>
          <m:t>⊨</m:t>
        </m:r>
        <m:sSub>
          <m:e>
            <m:r>
              <w:rPr>
                <w:color w:val="C00000"/>
              </w:rPr>
              <m:t>P</m:t>
            </m:r>
          </m:e>
          <m:sub>
            <m:r>
              <w:rPr>
                <w:color w:val="C00000"/>
              </w:rPr>
              <m:t>C</m:t>
            </m:r>
          </m:sub>
        </m:sSub>
      </m:oMath>
      <w:r>
        <w:rPr>
          <w:rStyle w:val="InsertedText"/>
        </w:rPr>
        <w:t xml:space="preserve"> </w:t>
      </w:r>
      <w:r>
        <w:rPr>
          <w:rStyle w:val="InsertedText"/>
        </w:rPr>
        <w:t xml:space="preserve">is scheduled for Stage 2. In addition, the full decision matrix (</w:t>
      </w:r>
      <m:oMath>
        <m:sSub>
          <m:e>
            <m:r>
              <w:rPr>
                <w:color w:val="C00000"/>
              </w:rPr>
              <m:t>V</m:t>
            </m:r>
          </m:e>
          <m:sub>
            <m:r>
              <w:rPr>
                <w:color w:val="C00000"/>
              </w:rPr>
              <m:t>I</m:t>
            </m:r>
          </m:sub>
        </m:sSub>
      </m:oMath>
      <w:r>
        <w:rPr>
          <w:rStyle w:val="InsertedText"/>
        </w:rPr>
        <w:t xml:space="preserve">,</w:t>
      </w:r>
      <w:r>
        <w:rPr>
          <w:rStyle w:val="InsertedText"/>
        </w:rPr>
        <w:t xml:space="preserve"> </w:t>
      </w:r>
      <m:oMath>
        <m:sSub>
          <m:e>
            <m:r>
              <w:rPr>
                <w:color w:val="C00000"/>
              </w:rPr>
              <m:t>V</m:t>
            </m:r>
          </m:e>
          <m:sub>
            <m:r>
              <w:rPr>
                <w:color w:val="C00000"/>
              </w:rPr>
              <m:t>A</m:t>
            </m:r>
          </m:sub>
        </m:sSub>
      </m:oMath>
      <w:r>
        <w:rPr>
          <w:rStyle w:val="InsertedText"/>
        </w:rPr>
        <w:t xml:space="preserve">,</w:t>
      </w:r>
      <w:r>
        <w:rPr>
          <w:rStyle w:val="InsertedText"/>
        </w:rPr>
        <w:t xml:space="preserve"> </w:t>
      </w:r>
      <m:oMath>
        <m:sSub>
          <m:e>
            <m:r>
              <w:rPr>
                <w:color w:val="C00000"/>
              </w:rPr>
              <m:t>V</m:t>
            </m:r>
          </m:e>
          <m:sub>
            <m:r>
              <w:rPr>
                <w:color w:val="C00000"/>
              </w:rPr>
              <m:t>P</m:t>
            </m:r>
          </m:sub>
        </m:sSub>
      </m:oMath>
      <w:r>
        <w:rPr>
          <w:rStyle w:val="InsertedText"/>
        </w:rPr>
        <w:t xml:space="preserve">,</w:t>
      </w:r>
      <w:r>
        <w:rPr>
          <w:rStyle w:val="InsertedText"/>
        </w:rPr>
        <w:t xml:space="preserve"> </w:t>
      </w:r>
      <m:oMath>
        <m:sSub>
          <m:e>
            <m:r>
              <w:rPr>
                <w:color w:val="C00000"/>
              </w:rPr>
              <m:t>V</m:t>
            </m:r>
          </m:e>
          <m:sub>
            <m:r>
              <w:rPr>
                <w:color w:val="C00000"/>
              </w:rPr>
              <m:t>T</m:t>
            </m:r>
          </m:sub>
        </m:sSub>
      </m:oMath>
      <w:r>
        <w:rPr>
          <w:rStyle w:val="InsertedText"/>
        </w:rPr>
        <w:t xml:space="preserve">,</w:t>
      </w:r>
      <w:r>
        <w:rPr>
          <w:rStyle w:val="InsertedText"/>
        </w:rPr>
        <w:t xml:space="preserve"> </w:t>
      </w:r>
      <m:oMath>
        <m:sSub>
          <m:e>
            <m:r>
              <w:rPr>
                <w:color w:val="C00000"/>
              </w:rPr>
              <m:t>V</m:t>
            </m:r>
          </m:e>
          <m:sub>
            <m:r>
              <w:rPr>
                <w:color w:val="C00000"/>
              </w:rPr>
              <m:t>L</m:t>
            </m:r>
          </m:sub>
        </m:sSub>
      </m:oMath>
      <w:r>
        <w:rPr>
          <w:rStyle w:val="InsertedText"/>
        </w:rPr>
        <w:t xml:space="preserve">) is computed and displayed to the requester, whereas the data-release gate currently requires an ACTIVE consent state, a valid access proof and a valid scope. Routing the release decision through the full matrix is a small planned change that will make the implemented gate identical to Eq. (6).</w:t>
      </w:r>
    </w:p>
    <w:p>
      <w:pPr>
        <w:pStyle w:val="ReviewerNotePara"/>
      </w:pPr>
      <w:r>
        <w:rPr>
          <w:rStyle w:val="ReviewerNote"/>
        </w:rPr>
        <w:t xml:space="preserve">Figure 10 moved up to Section 6.4.1, directly after the paragraph that describes the workflow (it sat in the middle of the step-by-step procedure).</w:t>
      </w:r>
    </w:p>
    <w:p>
      <w:pPr>
        <w:pStyle w:val="DeletedPara"/>
      </w:pPr>
      <w:r>
        <w:rPr>
          <w:rStyle w:val="DeletedText"/>
        </w:rPr>
        <w:t xml:space="preserve">Figure 10: RO4 workflow for policy- and context-aware access control (image moved)</w:t>
      </w:r>
    </w:p>
    <w:p>
      <w:pPr>
        <w:pStyle w:val="ReviewerNotePara"/>
      </w:pPr>
      <w:r>
        <w:rPr>
          <w:rStyle w:val="ReviewerNote"/>
        </w:rPr>
        <w:t xml:space="preserve">MOVED: the procedure</w:t>
      </w:r>
      <w:r>
        <w:rPr>
          <w:rStyle w:val="ReviewerNote"/>
        </w:rPr>
        <w:t xml:space="preserve"> </w:t>
      </w:r>
      <w:r>
        <w:rPr>
          <w:rStyle w:val="ReviewerNote"/>
        </w:rPr>
        <w:t xml:space="preserve">‘Temporal and Lifecycle Validation’</w:t>
      </w:r>
      <w:r>
        <w:rPr>
          <w:rStyle w:val="ReviewerNote"/>
        </w:rPr>
        <w:t xml:space="preserve"> </w:t>
      </w:r>
      <w:r>
        <w:rPr>
          <w:rStyle w:val="ReviewerNote"/>
        </w:rPr>
        <w:t xml:space="preserve">(previously §6.4.2) belongs to RO5 and now appears as §6.5.2 below; The procedure</w:t>
      </w:r>
      <w:r>
        <w:rPr>
          <w:rStyle w:val="ReviewerNote"/>
        </w:rPr>
        <w:t xml:space="preserve"> </w:t>
      </w:r>
      <w:r>
        <w:rPr>
          <w:rStyle w:val="ReviewerNote"/>
        </w:rPr>
        <w:t xml:space="preserve">‘Policy-Aware Access Decision’</w:t>
      </w:r>
      <w:r>
        <w:rPr>
          <w:rStyle w:val="ReviewerNote"/>
        </w:rPr>
        <w:t xml:space="preserve"> </w:t>
      </w:r>
      <w:r>
        <w:rPr>
          <w:rStyle w:val="ReviewerNote"/>
        </w:rPr>
        <w:t xml:space="preserve">is renumbered §6.4.4 → §6.4.2 so that Algorithm 4 (§6.4.3) follows its own procedure. Text unchanged.</w:t>
      </w:r>
    </w:p>
    <w:bookmarkEnd w:id="110"/>
    <w:bookmarkStart w:id="111" w:name="X9b9350abce928b4bfd4821dc61b387a8eede2be"/>
    <w:p>
      <w:pPr>
        <w:pStyle w:val="Heading3"/>
      </w:pPr>
      <w:r>
        <w:rPr>
          <w:rStyle w:val="DeletedText"/>
        </w:rPr>
        <w:t xml:space="preserve">6.4.4</w:t>
      </w:r>
      <w:r>
        <w:rPr>
          <w:rStyle w:val="InsertedText"/>
        </w:rPr>
        <w:t xml:space="preserve">6.4.2</w:t>
      </w:r>
      <w:r>
        <w:t xml:space="preserve"> </w:t>
      </w:r>
      <w:r>
        <w:t xml:space="preserve">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38"/>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39"/>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rPr>
          <w:rStyle w:val="DeletedText"/>
        </w:rPr>
        <w:t xml:space="preserve">Formally,</w:t>
      </w:r>
      <w:r>
        <w:rPr>
          <w:rStyle w:val="InsertedText"/>
        </w:rPr>
        <w:t xml:space="preserve">Formally,</w:t>
      </w:r>
      <w:r>
        <w:t xml:space="preserve"> </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0"/>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41"/>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42"/>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rPr>
          <w:rStyle w:val="DeletedText"/>
        </w:rPr>
        <w:t xml:space="preserve">which means</w:t>
      </w:r>
      <w:r>
        <w:rPr>
          <w:rStyle w:val="DeletedText"/>
        </w:rPr>
        <w:t xml:space="preserve"> </w:t>
      </w:r>
      <w:r>
        <w:rPr>
          <w:rStyle w:val="DeletedText"/>
          <w:i/>
          <w:iCs/>
        </w:rPr>
        <w:t xml:space="preserve">P</w:t>
      </w:r>
      <w:r>
        <w:rPr>
          <w:rStyle w:val="DeletedText"/>
          <w:vertAlign w:val="subscript"/>
        </w:rPr>
        <w:t xml:space="preserve">R</w:t>
      </w:r>
      <w:r>
        <w:rPr>
          <w:rStyle w:val="DeletedText"/>
        </w:rPr>
        <w:t xml:space="preserve"> </w:t>
      </w:r>
      <w:r>
        <w:rPr>
          <w:rStyle w:val="DeletedText"/>
        </w:rPr>
        <w:t xml:space="preserve">guarantees, satisfies, and complies with the privacy constraint</w:t>
      </w:r>
      <w:r>
        <w:rPr>
          <w:rStyle w:val="DeletedText"/>
        </w:rPr>
        <w:t xml:space="preserve"> </w:t>
      </w:r>
      <w:r>
        <w:rPr>
          <w:rStyle w:val="DeletedText"/>
          <w:i/>
          <w:iCs/>
        </w:rPr>
        <w:t xml:space="preserve">P</w:t>
      </w:r>
      <w:r>
        <w:rPr>
          <w:rStyle w:val="DeletedText"/>
          <w:vertAlign w:val="subscript"/>
        </w:rPr>
        <w:t xml:space="preserve">C</w:t>
      </w:r>
      <w:r>
        <w:rPr>
          <w:rStyle w:val="DeletedText"/>
        </w:rPr>
        <w:t xml:space="preserve">. There is no execution path where the system can violate the privacy policy.</w:t>
      </w:r>
      <w:r>
        <w:rPr>
          <w:rStyle w:val="InsertedText"/>
        </w:rPr>
        <w:t xml:space="preserve">where ⊨ denotes that the requested purpose</w:t>
      </w:r>
      <w:r>
        <w:rPr>
          <w:rStyle w:val="InsertedText"/>
        </w:rPr>
        <w:t xml:space="preserve"> </w:t>
      </w:r>
      <m:oMath>
        <m:sSub>
          <m:e>
            <m:r>
              <w:rPr>
                <w:color w:val="C00000"/>
              </w:rPr>
              <m:t>P</m:t>
            </m:r>
          </m:e>
          <m:sub>
            <m:r>
              <w:rPr>
                <w:color w:val="C00000"/>
              </w:rPr>
              <m:t>R</m:t>
            </m:r>
          </m:sub>
        </m:sSub>
      </m:oMath>
      <w:r>
        <w:rPr>
          <w:rStyle w:val="InsertedText"/>
        </w:rPr>
        <w:t xml:space="preserve"> </w:t>
      </w:r>
      <w:r>
        <w:rPr>
          <w:rStyle w:val="InsertedText"/>
        </w:rPr>
        <w:t xml:space="preserve">is permitted by the consented purpose</w:t>
      </w:r>
      <w:r>
        <w:rPr>
          <w:rStyle w:val="InsertedText"/>
        </w:rPr>
        <w:t xml:space="preserve"> </w:t>
      </w:r>
      <m:oMath>
        <m:sSub>
          <m:e>
            <m:r>
              <w:rPr>
                <w:color w:val="C00000"/>
              </w:rPr>
              <m:t>P</m:t>
            </m:r>
          </m:e>
          <m:sub>
            <m:r>
              <w:rPr>
                <w:color w:val="C00000"/>
              </w:rPr>
              <m:t>C</m:t>
            </m:r>
          </m:sub>
        </m:sSub>
      </m:oMath>
      <w:r>
        <w:rPr>
          <w:rStyle w:val="InsertedText"/>
        </w:rPr>
        <w:t xml:space="preserve">.</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43"/>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44"/>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45"/>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46"/>
        </w:numPr>
      </w:pPr>
      <w:r>
        <w:rPr>
          <w:b/>
          <w:bCs/>
        </w:rPr>
        <w:t xml:space="preserve">Step 9 – Retrieve the Authorised Healthcare Data.</w:t>
      </w:r>
    </w:p>
    <w:p>
      <w:pPr>
        <w:pStyle w:val="FirstParagraph"/>
      </w:pPr>
      <w:r>
        <w:t xml:space="preserve">Once the request has been successfully authorised, the system retrieves only the healthcare data</w:t>
      </w:r>
      <w:r>
        <w:t xml:space="preserve"> </w:t>
      </w:r>
      <w:r>
        <w:rPr>
          <w:rStyle w:val="DeletedText"/>
        </w:rPr>
        <w:t xml:space="preserve">satisfying the authorised scope</w:t>
      </w:r>
      <w:r>
        <w:rPr>
          <w:rStyle w:val="DeletedText"/>
        </w:rPr>
        <w:t xml:space="preserve"> </w:t>
      </w:r>
      <w:r>
        <w:rPr>
          <w:rStyle w:val="DeletedText"/>
          <w:i/>
          <w:iCs/>
        </w:rPr>
        <w:t xml:space="preserve">S</w:t>
      </w:r>
      <w:r>
        <w:rPr>
          <w:rStyle w:val="DeletedText"/>
          <w:vertAlign w:val="subscript"/>
        </w:rPr>
        <w:t xml:space="preserve">R</w:t>
      </w:r>
      <w:r>
        <w:rPr>
          <w:rStyle w:val="InsertedText"/>
        </w:rPr>
        <w:t xml:space="preserve">within the requested scope</w:t>
      </w:r>
      <w:r>
        <w:rPr>
          <w:rStyle w:val="InsertedText"/>
        </w:rPr>
        <w:t xml:space="preserve"> </w:t>
      </w:r>
      <w:r>
        <w:rPr>
          <w:rStyle w:val="InsertedText"/>
          <w:i/>
          <w:iCs/>
        </w:rPr>
        <w:t xml:space="preserve">S</w:t>
      </w:r>
      <w:r>
        <w:rPr>
          <w:rStyle w:val="InsertedText"/>
          <w:vertAlign w:val="subscript"/>
        </w:rPr>
        <w:t xml:space="preserve">R</w:t>
      </w:r>
      <w:r>
        <w:rPr>
          <w:rStyle w:val="InsertedText"/>
        </w:rPr>
        <w:t xml:space="preserve"> </w:t>
      </w:r>
      <w:r>
        <w:rPr>
          <w:rStyle w:val="InsertedText"/>
        </w:rPr>
        <w:t xml:space="preserve">⊆</w:t>
      </w:r>
      <w:r>
        <w:rPr>
          <w:rStyle w:val="InsertedText"/>
        </w:rPr>
        <w:t xml:space="preserve"> </w:t>
      </w:r>
      <w:r>
        <w:rPr>
          <w:rStyle w:val="InsertedText"/>
          <w:i/>
          <w:iCs/>
        </w:rPr>
        <w:t xml:space="preserve">S</w:t>
      </w:r>
      <w:r>
        <w:rPr>
          <w:rStyle w:val="InsertedText"/>
          <w:vertAlign w:val="subscript"/>
        </w:rPr>
        <w:t xml:space="preserve">C</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47"/>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48"/>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rPr>
          <w:rStyle w:val="DeletedText"/>
        </w:rPr>
        <w:t xml:space="preserve">Consent Creation Identity Verification Multi-Party Auth Policy Decision</w:t>
      </w:r>
      <w:r>
        <w:rPr>
          <w:rStyle w:val="InsertedText"/>
        </w:rPr>
        <w:t xml:space="preserve">Consent Creation → Identity Verification → Multi-Party Authorisation →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1"/>
    <w:bookmarkStart w:id="112"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2"/>
    <w:bookmarkEnd w:id="113"/>
    <w:bookmarkStart w:id="120" w:name="temporal-and-lifecycle-trust-for-ro5"/>
    <w:p>
      <w:pPr>
        <w:pStyle w:val="Heading2"/>
      </w:pPr>
      <w:r>
        <w:t xml:space="preserve">6.5 Temporal and Lifecycle Trust for RO5</w:t>
      </w:r>
    </w:p>
    <w:p>
      <w:pPr>
        <w:pStyle w:val="FirstParagraph"/>
      </w:pPr>
      <w:r>
        <w:t xml:space="preserve">RO5 addresses</w:t>
      </w:r>
      <w:r>
        <w:t xml:space="preserve"> </w:t>
      </w:r>
      <w:r>
        <w:rPr>
          <w:rStyle w:val="DeletedText"/>
        </w:rPr>
        <w:t xml:space="preserve">RQ5</w:t>
      </w:r>
      <w:r>
        <w:rPr>
          <w:rStyle w:val="InsertedText"/>
        </w:rPr>
        <w:t xml:space="preserve">SRQ5</w:t>
      </w:r>
      <w:r>
        <w:t xml:space="preserve"> </w:t>
      </w:r>
      <w:r>
        <w:t xml:space="preserve">and</w:t>
      </w:r>
      <w:r>
        <w:t xml:space="preserve"> </w:t>
      </w:r>
      <w:r>
        <w:rPr>
          <w:rStyle w:val="DeletedText"/>
        </w:rPr>
        <w:t xml:space="preserve">extends the foundational current stage works on authorisation model</w:t>
      </w:r>
      <w:r>
        <w:rPr>
          <w:rStyle w:val="InsertedText"/>
        </w:rPr>
        <w:t xml:space="preserve">extends the foundational current-stage authorisation model</w:t>
      </w:r>
      <w:r>
        <w:t xml:space="preserve"> </w:t>
      </w:r>
      <w:r>
        <w:t xml:space="preserve">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 stage model evaluates identity, collective authorisation, and policy compliance.</w:t>
      </w:r>
      <w:r>
        <w:t xml:space="preserve"> </w:t>
      </w:r>
      <w:r>
        <w:rPr>
          <w:rStyle w:val="DeletedText"/>
        </w:rPr>
        <w:t xml:space="preserve">RO5 extends this model by introducing temporal and lifecycle conditions that</w:t>
      </w:r>
      <w:r>
        <w:rPr>
          <w:rStyle w:val="InsertedText"/>
        </w:rPr>
        <w:t xml:space="preserve">RO5 extends this model by introducing temporal validity</w:t>
      </w:r>
      <w:r>
        <w:rPr>
          <w:rStyle w:val="InsertedText"/>
        </w:rPr>
        <w:t xml:space="preserve"> </w:t>
      </w:r>
      <m:oMath>
        <m:sSub>
          <m:e>
            <m:r>
              <w:rPr>
                <w:color w:val="C00000"/>
              </w:rPr>
              <m:t>V</m:t>
            </m:r>
          </m:e>
          <m:sub>
            <m:r>
              <w:rPr>
                <w:color w:val="C00000"/>
              </w:rPr>
              <m:t>T</m:t>
            </m:r>
          </m:sub>
        </m:sSub>
        <m:r>
          <m:rPr>
            <m:sty m:val="p"/>
          </m:rPr>
          <w:rPr>
            <w:color w:val="C00000"/>
          </w:rPr>
          <m:t>(</m:t>
        </m:r>
        <m:r>
          <w:rPr>
            <w:color w:val="C00000"/>
          </w:rPr>
          <m:t>C</m:t>
        </m:r>
        <m:r>
          <m:rPr>
            <m:sty m:val="p"/>
          </m:rPr>
          <w:rPr>
            <w:color w:val="C00000"/>
          </w:rPr>
          <m:t>,</m:t>
        </m:r>
        <m:r>
          <w:rPr>
            <w:color w:val="C00000"/>
          </w:rPr>
          <m:t>t</m:t>
        </m:r>
        <m:r>
          <m:rPr>
            <m:sty m:val="p"/>
          </m:rPr>
          <w:rPr>
            <w:color w:val="C00000"/>
          </w:rPr>
          <m:t>)</m:t>
        </m:r>
      </m:oMath>
      <w:r>
        <w:rPr>
          <w:rStyle w:val="InsertedText"/>
        </w:rPr>
        <w:t xml:space="preserve"> </w:t>
      </w:r>
      <w:r>
        <w:rPr>
          <w:rStyle w:val="InsertedText"/>
        </w:rPr>
        <w:t xml:space="preserve">(Eq. (15)).</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sSub>
                      <m:e>
                        <m:r>
                          <w:rPr>
                            <w:color w:val="C00000"/>
                            <w:strike/>
                          </w:rPr>
                          <m:t>t</m:t>
                        </m:r>
                      </m:e>
                      <m:sub>
                        <m:r>
                          <w:rPr>
                            <w:color w:val="C00000"/>
                            <w:strike/>
                          </w:rPr>
                          <m:t>s</m:t>
                        </m:r>
                      </m:sub>
                    </m:sSub>
                    <m:r>
                      <m:rPr>
                        <m:sty m:val="p"/>
                      </m:rPr>
                      <w:rPr>
                        <w:color w:val="C00000"/>
                        <w:strike/>
                      </w:rPr>
                      <m:t>≤</m:t>
                    </m:r>
                    <m:r>
                      <w:rPr>
                        <w:color w:val="C00000"/>
                        <w:strike/>
                      </w:rPr>
                      <m:t>t</m:t>
                    </m:r>
                    <m:r>
                      <m:rPr>
                        <m:sty m:val="p"/>
                      </m:rPr>
                      <w:rPr>
                        <w:color w:val="C00000"/>
                        <w:strike/>
                      </w:rPr>
                      <m:t>≤</m:t>
                    </m:r>
                    <m:sSub>
                      <m:e>
                        <m:r>
                          <w:rPr>
                            <w:color w:val="C00000"/>
                            <w:strike/>
                          </w:rPr>
                          <m:t>t</m:t>
                        </m:r>
                      </m:e>
                      <m:sub>
                        <m:r>
                          <w:rPr>
                            <w:color w:val="C00000"/>
                            <w:strike/>
                          </w:rPr>
                          <m:t>e</m:t>
                        </m:r>
                      </m:sub>
                    </m:sSub>
                    <m:r>
                      <m:rPr>
                        <m:sty m:val="p"/>
                      </m:rPr>
                      <w:rPr>
                        <w:color w:val="C00000"/>
                        <w:strike/>
                      </w:rPr>
                      <m:t>,</m:t>
                    </m:r>
                  </m:e>
                </m:mr>
                <m:mr>
                  <m:e>
                    <m:r>
                      <w:rPr>
                        <w:color w:val="C00000"/>
                        <w:strike/>
                      </w:rPr>
                      <m:t>0</m:t>
                    </m:r>
                    <m:r>
                      <m:rPr>
                        <m:sty m:val="p"/>
                      </m:rPr>
                      <w:rPr>
                        <w:color w:val="C00000"/>
                        <w:strike/>
                      </w:rPr>
                      <m:t>,</m:t>
                    </m:r>
                  </m:e>
                  <m:e>
                    <m:r>
                      <w:rPr>
                        <w:color w:val="C00000"/>
                        <w:strike/>
                      </w:rPr>
                      <m:t> </m:t>
                    </m:r>
                    <m:r>
                      <m:rPr>
                        <m:nor/>
                      </m:rPr>
                      <w:rPr>
                        <w:color w:val="C00000"/>
                        <w:strike/>
                      </w:rPr>
                      <m:t>otherwise</m:t>
                    </m:r>
                    <m:r>
                      <w:rPr>
                        <w:color w:val="C00000"/>
                        <w:strike/>
                      </w:rPr>
                      <m:t> </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63</m:t>
          </m:r>
          <m:r>
            <m:rPr>
              <m:sty m:val="p"/>
            </m:rPr>
            <w:rPr>
              <w:color w:val="C00000"/>
              <w:strike/>
            </w:rPr>
            <m:t>)</m:t>
          </m:r>
        </m:oMath>
      </m:oMathPara>
    </w:p>
    <w:p>
      <w:pPr>
        <w:pStyle w:val="FirstParagraph"/>
      </w:pPr>
      <w:r>
        <w:rPr>
          <w:rStyle w:val="DeletedText"/>
        </w:rPr>
        <w:t xml:space="preserve">The lifecycle condition can be expressed as</w:t>
      </w:r>
      <w:r>
        <w:rPr>
          <w:rStyle w:val="InsertedText"/>
        </w:rPr>
        <w:t xml:space="preserve">It also introduces lifecycle validity</w:t>
      </w:r>
      <w:r>
        <w:rPr>
          <w:rStyle w:val="InsertedText"/>
        </w:rPr>
        <w:t xml:space="preserve"> </w:t>
      </w:r>
      <m:oMath>
        <m:sSub>
          <m:e>
            <m:r>
              <w:rPr>
                <w:color w:val="C00000"/>
              </w:rPr>
              <m:t>V</m:t>
            </m:r>
          </m:e>
          <m:sub>
            <m:r>
              <w:rPr>
                <w:color w:val="C00000"/>
              </w:rPr>
              <m:t>L</m:t>
            </m:r>
          </m:sub>
        </m:sSub>
        <m:r>
          <m:rPr>
            <m:sty m:val="p"/>
          </m:rPr>
          <w:rPr>
            <w:color w:val="C00000"/>
          </w:rPr>
          <m:t>(</m:t>
        </m:r>
        <m:r>
          <w:rPr>
            <w:color w:val="C00000"/>
          </w:rPr>
          <m:t>C</m:t>
        </m:r>
        <m:r>
          <m:rPr>
            <m:sty m:val="p"/>
          </m:rPr>
          <w:rPr>
            <w:color w:val="C00000"/>
          </w:rPr>
          <m:t>)</m:t>
        </m:r>
      </m:oMath>
      <w:r>
        <w:rPr>
          <w:rStyle w:val="InsertedText"/>
        </w:rPr>
        <w:t xml:space="preserve"> </w:t>
      </w:r>
      <w:r>
        <w:rPr>
          <w:rStyle w:val="InsertedText"/>
        </w:rPr>
        <w:t xml:space="preserve">(Eq. (18)).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V</m:t>
          </m:r>
          <m:r>
            <w:rPr>
              <w:color w:val="C00000"/>
              <w:strike/>
            </w:rPr>
            <m:t>a</m:t>
          </m:r>
          <m:r>
            <w:rPr>
              <w:color w:val="C00000"/>
              <w:strike/>
            </w:rPr>
            <m:t>l</m:t>
          </m:r>
          <m:r>
            <w:rPr>
              <w:color w:val="C00000"/>
              <w:strike/>
            </w:rPr>
            <m:t>i</m:t>
          </m:r>
          <m:r>
            <w:rPr>
              <w:color w:val="C00000"/>
              <w:strike/>
            </w:rPr>
            <m:t>d</m:t>
          </m:r>
          <m:r>
            <w:rPr>
              <w:color w:val="C00000"/>
              <w:strike/>
            </w:rPr>
            <m:t>S</m:t>
          </m:r>
          <m:r>
            <w:rPr>
              <w:color w:val="C00000"/>
              <w:strike/>
            </w:rPr>
            <m:t>t</m:t>
          </m:r>
          <m:r>
            <w:rPr>
              <w:color w:val="C00000"/>
              <w:strike/>
            </w:rPr>
            <m:t>a</m:t>
          </m:r>
          <m:r>
            <w:rPr>
              <w:color w:val="C00000"/>
              <w:strike/>
            </w:rPr>
            <m:t>t</m:t>
          </m:r>
          <m:r>
            <w:rPr>
              <w:color w:val="C00000"/>
              <w:strike/>
            </w:rPr>
            <m:t>e</m:t>
          </m:r>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V</m:t>
          </m:r>
          <m:r>
            <w:rPr>
              <w:color w:val="C00000"/>
              <w:strike/>
            </w:rPr>
            <m:t>a</m:t>
          </m:r>
          <m:r>
            <w:rPr>
              <w:color w:val="C00000"/>
              <w:strike/>
            </w:rPr>
            <m:t>l</m:t>
          </m:r>
          <m:r>
            <w:rPr>
              <w:color w:val="C00000"/>
              <w:strike/>
            </w:rPr>
            <m:t>i</m:t>
          </m:r>
          <m:r>
            <w:rPr>
              <w:color w:val="C00000"/>
              <w:strike/>
            </w:rPr>
            <m:t>d</m:t>
          </m:r>
          <m:r>
            <w:rPr>
              <w:color w:val="C00000"/>
              <w:strike/>
            </w:rPr>
            <m:t>T</m:t>
          </m:r>
          <m:r>
            <w:rPr>
              <w:color w:val="C00000"/>
              <w:strike/>
            </w:rPr>
            <m:t>r</m:t>
          </m:r>
          <m:r>
            <w:rPr>
              <w:color w:val="C00000"/>
              <w:strike/>
            </w:rPr>
            <m:t>a</m:t>
          </m:r>
          <m:r>
            <w:rPr>
              <w:color w:val="C00000"/>
              <w:strike/>
            </w:rPr>
            <m:t>n</m:t>
          </m:r>
          <m:r>
            <w:rPr>
              <w:color w:val="C00000"/>
              <w:strike/>
            </w:rPr>
            <m:t>s</m:t>
          </m:r>
          <m:r>
            <w:rPr>
              <w:color w:val="C00000"/>
              <w:strike/>
            </w:rPr>
            <m:t>i</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64</m:t>
          </m:r>
          <m:r>
            <m:rPr>
              <m:sty m:val="p"/>
            </m:rPr>
            <w:rPr>
              <w:color w:val="C00000"/>
              <w:strike/>
            </w:rPr>
            <m:t>)</m:t>
          </m:r>
        </m:oMath>
      </m:oMathPara>
    </w:p>
    <w:p>
      <w:pPr>
        <w:pStyle w:val="FirstParagraph"/>
      </w:pPr>
      <w:r>
        <w:rPr>
          <w:rStyle w:val="DeletedText"/>
        </w:rPr>
        <w:t xml:space="preserve">The extended authorisation decision is therefore</w:t>
      </w:r>
      <w:r>
        <w:rPr>
          <w:rStyle w:val="InsertedText"/>
        </w:rPr>
        <w:t xml:space="preserve">The extended authorisation decision is therefore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65</m:t>
          </m:r>
          <m:r>
            <m:rPr>
              <m:sty m:val="p"/>
            </m:rPr>
            <w:rPr>
              <w:color w:val="C00000"/>
              <w:strike/>
            </w:rPr>
            <m:t>)</m:t>
          </m:r>
        </m:oMath>
      </m:oMathPara>
    </w:p>
    <w:p>
      <w:pPr>
        <w:pStyle w:val="FirstParagraph"/>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17" w:name="ro5-temporal-and-lifecycle-workflow"/>
    <w:p>
      <w:pPr>
        <w:pStyle w:val="Heading3"/>
      </w:pPr>
      <w:r>
        <w:t xml:space="preserve">6.5.1 RO5 Temporal and Lifecycle Workflow</w:t>
      </w:r>
    </w:p>
    <w:p>
      <w:pPr>
        <w:pStyle w:val="FirstParagraph"/>
      </w:pPr>
      <w:r>
        <w:t xml:space="preserve">The planned workflow</w:t>
      </w:r>
      <w:r>
        <w:rPr>
          <w:rStyle w:val="InsertedText"/>
        </w:rPr>
        <w:t xml:space="preserve">, shown in Figure 11,</w:t>
      </w:r>
      <w:r>
        <w:t xml:space="preserve"> </w:t>
      </w:r>
      <w:r>
        <w:t xml:space="preserve">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tbl>
      <w:tblPr>
        <w:tblStyle w:val="FigureTable"/>
        <w:tblW w:type="dxa" w:w="9072"/>
        <w:jc w:val="center"/>
        <w:tblLook w:firstRow="0" w:lastRow="0" w:firstColumn="0" w:lastColumn="0"/>
      </w:tblPr>
      <w:tblGrid>
        <w:gridCol w:w="9072"/>
      </w:tblGrid>
      <w:tr>
        <w:trPr>
          <w:cantSplit/>
        </w:trPr>
        <w:tc>
          <w:tcPr/>
          <w:p>
            <w:pPr>
              <w:pStyle w:val="Compact"/>
              <w:jc w:val="center"/>
            </w:pPr>
            <w:r>
              <w:drawing>
                <wp:inline>
                  <wp:extent cx="2907792" cy="7687670"/>
                  <wp:effectExtent b="0" l="0" r="0" t="0"/>
                  <wp:docPr descr="Figure 11: RO5 planned workflow for temporal and consent lifecycle trust" title="" id="115" name="Picture"/>
                  <a:graphic>
                    <a:graphicData uri="http://schemas.openxmlformats.org/drawingml/2006/picture">
                      <pic:pic>
                        <pic:nvPicPr>
                          <pic:cNvPr descr="media_col/fig11.png" id="116" name="Picture"/>
                          <pic:cNvPicPr>
                            <a:picLocks noChangeArrowheads="1" noChangeAspect="1"/>
                          </pic:cNvPicPr>
                        </pic:nvPicPr>
                        <pic:blipFill>
                          <a:blip r:embed="rId114"/>
                          <a:stretch>
                            <a:fillRect/>
                          </a:stretch>
                        </pic:blipFill>
                        <pic:spPr bwMode="auto">
                          <a:xfrm>
                            <a:off x="0" y="0"/>
                            <a:ext cx="2907792" cy="7687670"/>
                          </a:xfrm>
                          <a:prstGeom prst="rect">
                            <a:avLst/>
                          </a:prstGeom>
                          <a:noFill/>
                          <a:ln w="9525">
                            <a:noFill/>
                            <a:headEnd/>
                            <a:tailEnd/>
                          </a:ln>
                        </pic:spPr>
                      </pic:pic>
                    </a:graphicData>
                  </a:graphic>
                </wp:inline>
              </w:drawing>
            </w:r>
          </w:p>
        </w:tc>
      </w:tr>
    </w:tbl>
    <w:p>
      <w:pPr>
        <w:pStyle w:val="ImageCaption"/>
      </w:pPr>
      <w:r>
        <w:rPr>
          <w:rStyle w:val="InsertedText"/>
        </w:rPr>
        <w:t xml:space="preserve">Figure 11: RO5 planned workflow for temporal and consent lifecycle trust</w:t>
      </w:r>
    </w:p>
    <w:p>
      <w:pPr>
        <w:pStyle w:val="ReviewerNotePara"/>
      </w:pPr>
      <w:r>
        <w:rPr>
          <w:rStyle w:val="ReviewerNote"/>
        </w:rPr>
        <w:t xml:space="preserve">Figure re-drawn in the same design and colours. Fix (to match Algorithm 5, lines 16–20):</w:t>
      </w:r>
      <w:r>
        <w:rPr>
          <w:rStyle w:val="ReviewerNote"/>
        </w:rPr>
        <w:t xml:space="preserve"> </w:t>
      </w:r>
      <w:r>
        <w:rPr>
          <w:rStyle w:val="ReviewerNote"/>
        </w:rPr>
        <w:t xml:space="preserve">‘Validate Requested Transition / Transition Permitted?’</w:t>
      </w:r>
      <w:r>
        <w:rPr>
          <w:rStyle w:val="ReviewerNote"/>
        </w:rPr>
        <w:t xml:space="preserve"> </w:t>
      </w:r>
      <w:r>
        <w:rPr>
          <w:rStyle w:val="ReviewerNote"/>
        </w:rPr>
        <w:t xml:space="preserve">added before the evaluation continues.</w:t>
      </w:r>
    </w:p>
    <w:p>
      <w:pPr>
        <w:pStyle w:val="DeletedPara"/>
      </w:pPr>
      <w:r>
        <w:rPr>
          <w:rStyle w:val="DeletedText"/>
        </w:rPr>
        <w:t xml:space="preserve">The current HALAH code already collects a start time and expiry time during consent creation, but the complete temporal and lifecycle enforcement mechanism remains part of the planned CA3 extension.</w:t>
      </w:r>
    </w:p>
    <w:p>
      <w:pPr>
        <w:pStyle w:val="InsertedPara"/>
      </w:pPr>
      <w:r>
        <w:rPr>
          <w:rStyle w:val="InsertedText"/>
        </w:rPr>
        <w:t xml:space="preserve">The HALAH prototype already implements a first version of this workflow. The consent engine evaluates the consent state in the order REVOKED, PENDING_SIGNATURE, PENDING_TOKEN, NOT_STARTED, EXPIRED and ACTIVE, and only an ACTIVE consent can release data;</w:t>
      </w:r>
      <w:r>
        <w:rPr>
          <w:rStyle w:val="InsertedText"/>
        </w:rPr>
        <w:t xml:space="preserve"> </w:t>
      </w:r>
      <m:oMath>
        <m:sSub>
          <m:e>
            <m:r>
              <w:rPr>
                <w:color w:val="C00000"/>
              </w:rPr>
              <m:t>V</m:t>
            </m:r>
          </m:e>
          <m:sub>
            <m:r>
              <w:rPr>
                <w:color w:val="C00000"/>
              </w:rPr>
              <m:t>T</m:t>
            </m:r>
          </m:sub>
        </m:sSub>
        <m:r>
          <m:rPr>
            <m:sty m:val="p"/>
          </m:rPr>
          <w:rPr>
            <w:color w:val="C00000"/>
          </w:rPr>
          <m:t>(</m:t>
        </m:r>
        <m:r>
          <w:rPr>
            <w:color w:val="C00000"/>
          </w:rPr>
          <m:t>C</m:t>
        </m:r>
        <m:r>
          <m:rPr>
            <m:sty m:val="p"/>
          </m:rPr>
          <w:rPr>
            <w:color w:val="C00000"/>
          </w:rPr>
          <m:t>,</m:t>
        </m:r>
        <m:r>
          <w:rPr>
            <w:color w:val="C00000"/>
          </w:rPr>
          <m:t>t</m:t>
        </m:r>
        <m:r>
          <m:rPr>
            <m:sty m:val="p"/>
          </m:rPr>
          <w:rPr>
            <w:color w:val="C00000"/>
          </w:rPr>
          <m:t>)</m:t>
        </m:r>
      </m:oMath>
      <w:r>
        <w:rPr>
          <w:rStyle w:val="InsertedText"/>
        </w:rPr>
        <w:t xml:space="preserve"> </w:t>
      </w:r>
      <w:r>
        <w:rPr>
          <w:rStyle w:val="InsertedText"/>
        </w:rPr>
        <w:t xml:space="preserve">is also computed in the decision matrix. A patient can revoke a consent, which sets the local state to REVOKED and calls revoke() on the consent contract, and the v3 contract additionally enforces the validity interval on-chain. What remains for Stage 2 (CA3) is the explicit specification of legal state transitions, formal analysis of the lifecycle properties (Eqs. (23)–(24)) and adversarial evaluation.</w:t>
      </w:r>
    </w:p>
    <w:p>
      <w:pPr>
        <w:pStyle w:val="InsertedPara"/>
      </w:pPr>
      <w:r>
        <w:rPr>
          <w:rStyle w:val="InsertedText"/>
          <w:b/>
          <w:bCs/>
        </w:rPr>
        <w:t xml:space="preserve">Notation note.</w:t>
      </w:r>
      <w:r>
        <w:rPr>
          <w:rStyle w:val="InsertedText"/>
        </w:rPr>
        <w:t xml:space="preserve"> </w:t>
      </w:r>
      <w:r>
        <w:rPr>
          <w:rStyle w:val="InsertedText"/>
        </w:rPr>
        <w:t xml:space="preserve">The prototype’s decision matrix currently uses the label VL for a jurisdiction check (consent jurisdiction equals requester jurisdiction, default</w:t>
      </w:r>
      <w:r>
        <w:rPr>
          <w:rStyle w:val="InsertedText"/>
        </w:rPr>
        <w:t xml:space="preserve"> </w:t>
      </w:r>
      <w:r>
        <w:rPr>
          <w:rStyle w:val="InsertedText"/>
        </w:rPr>
        <w:t xml:space="preserve">‘AU’</w:t>
      </w:r>
      <w:r>
        <w:rPr>
          <w:rStyle w:val="InsertedText"/>
        </w:rPr>
        <w:t xml:space="preserve">), whereas this report defines</w:t>
      </w:r>
      <w:r>
        <w:rPr>
          <w:rStyle w:val="InsertedText"/>
        </w:rPr>
        <w:t xml:space="preserve"> </w:t>
      </w:r>
      <m:oMath>
        <m:sSub>
          <m:e>
            <m:r>
              <w:rPr>
                <w:color w:val="C00000"/>
              </w:rPr>
              <m:t>V</m:t>
            </m:r>
          </m:e>
          <m:sub>
            <m:r>
              <w:rPr>
                <w:color w:val="C00000"/>
              </w:rPr>
              <m:t>L</m:t>
            </m:r>
          </m:sub>
        </m:sSub>
        <m:r>
          <m:rPr>
            <m:sty m:val="p"/>
          </m:rPr>
          <w:rPr>
            <w:color w:val="C00000"/>
          </w:rPr>
          <m:t>(</m:t>
        </m:r>
        <m:r>
          <w:rPr>
            <w:color w:val="C00000"/>
          </w:rPr>
          <m:t>C</m:t>
        </m:r>
        <m:r>
          <m:rPr>
            <m:sty m:val="p"/>
          </m:rPr>
          <w:rPr>
            <w:color w:val="C00000"/>
          </w:rPr>
          <m:t>)</m:t>
        </m:r>
      </m:oMath>
      <w:r>
        <w:rPr>
          <w:rStyle w:val="InsertedText"/>
        </w:rPr>
        <w:t xml:space="preserve"> </w:t>
      </w:r>
      <w:r>
        <w:rPr>
          <w:rStyle w:val="InsertedText"/>
        </w:rPr>
        <w:t xml:space="preserve">as lifecycle validity (Eq. (18)). To avoid ambiguity, the jurisdiction predicate will be renamed</w:t>
      </w:r>
      <w:r>
        <w:rPr>
          <w:rStyle w:val="InsertedText"/>
        </w:rPr>
        <w:t xml:space="preserve"> </w:t>
      </w:r>
      <m:oMath>
        <m:sSub>
          <m:e>
            <m:r>
              <w:rPr>
                <w:color w:val="C00000"/>
              </w:rPr>
              <m:t>V</m:t>
            </m:r>
          </m:e>
          <m:sub>
            <m:r>
              <w:rPr>
                <w:color w:val="C00000"/>
              </w:rPr>
              <m:t>J</m:t>
            </m:r>
          </m:sub>
        </m:sSub>
      </m:oMath>
      <w:r>
        <w:rPr>
          <w:rStyle w:val="InsertedText"/>
        </w:rPr>
        <w:t xml:space="preserve"> </w:t>
      </w:r>
      <w:r>
        <w:rPr>
          <w:rStyle w:val="InsertedText"/>
        </w:rPr>
        <w:t xml:space="preserve">in the code and contract, and</w:t>
      </w:r>
      <w:r>
        <w:rPr>
          <w:rStyle w:val="InsertedText"/>
        </w:rPr>
        <w:t xml:space="preserve"> </w:t>
      </w:r>
      <m:oMath>
        <m:sSub>
          <m:e>
            <m:r>
              <w:rPr>
                <w:color w:val="C00000"/>
              </w:rPr>
              <m:t>V</m:t>
            </m:r>
          </m:e>
          <m:sub>
            <m:r>
              <w:rPr>
                <w:color w:val="C00000"/>
              </w:rPr>
              <m:t>L</m:t>
            </m:r>
          </m:sub>
        </m:sSub>
      </m:oMath>
      <w:r>
        <w:rPr>
          <w:rStyle w:val="InsertedText"/>
        </w:rPr>
        <w:t xml:space="preserve"> </w:t>
      </w:r>
      <w:r>
        <w:rPr>
          <w:rStyle w:val="InsertedText"/>
        </w:rPr>
        <w:t xml:space="preserve">is reserved for lifecycle validity as defined here.</w:t>
      </w:r>
    </w:p>
    <w:bookmarkEnd w:id="117"/>
    <w:bookmarkStart w:id="118" w:name="X76e1ecd5ca9116901ef2fba9faaf6fcb0ec1702"/>
    <w:p>
      <w:pPr>
        <w:pStyle w:val="Heading3"/>
      </w:pPr>
      <w:r>
        <w:rPr>
          <w:rStyle w:val="DeletedText"/>
        </w:rPr>
        <w:t xml:space="preserve">6.4.2</w:t>
      </w:r>
      <w:r>
        <w:rPr>
          <w:rStyle w:val="InsertedText"/>
        </w:rPr>
        <w:t xml:space="preserve">6.5.2</w:t>
      </w:r>
      <w:r>
        <w:t xml:space="preserve"> </w:t>
      </w:r>
      <w:r>
        <w:t xml:space="preserve">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49"/>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50"/>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51"/>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52"/>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transition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53"/>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54"/>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55"/>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w:t>
      </w:r>
      <w:r>
        <w:rPr>
          <w:i/>
          <w:iCs/>
        </w:rPr>
        <w:t xml:space="preserve">StateValid</w:t>
      </w:r>
      <w:r>
        <w:t xml:space="preserve">(</w:t>
      </w:r>
      <w:r>
        <w:rPr>
          <w:i/>
          <w:iCs/>
        </w:rPr>
        <w:t xml:space="preserve">C, q</w:t>
      </w:r>
      <w:r>
        <w:t xml:space="preserve">)∧¬</w:t>
      </w:r>
      <w:r>
        <w:rPr>
          <w:i/>
          <w:iCs/>
        </w:rPr>
        <w:t xml:space="preserve">Revoked</w:t>
      </w:r>
      <w:r>
        <w:t xml:space="preserve">(</w:t>
      </w:r>
      <w:r>
        <w:rPr>
          <w:i/>
          <w:iCs/>
        </w:rPr>
        <w:t xml:space="preserve">C</w:t>
      </w:r>
      <w:r>
        <w:t xml:space="preserve">)∧</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56"/>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57"/>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 that</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w:t>
      </w:r>
      <w:r>
        <w:t xml:space="preserve"> </w:t>
      </w:r>
      <w:r>
        <w:rPr>
          <w:i/>
          <w:iCs/>
        </w:rPr>
        <w:t xml:space="preserve">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18"/>
    <w:bookmarkStart w:id="119" w:name="X43f085cbe35cf9229d124bd6c8707d40ef3f488"/>
    <w:p>
      <w:pPr>
        <w:pStyle w:val="Heading3"/>
      </w:pPr>
      <w:r>
        <w:rPr>
          <w:rStyle w:val="DeletedText"/>
        </w:rPr>
        <w:t xml:space="preserve">6.5.2</w:t>
      </w:r>
      <w:r>
        <w:rPr>
          <w:rStyle w:val="InsertedText"/>
        </w:rPr>
        <w:t xml:space="preserve">6.5.3</w:t>
      </w:r>
      <w:r>
        <w:t xml:space="preserve"> </w:t>
      </w:r>
      <w:r>
        <w:t xml:space="preserve">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ReviewerNotePara"/>
      </w:pPr>
      <w:r>
        <w:rPr>
          <w:rStyle w:val="ReviewerNote"/>
        </w:rPr>
        <w:t xml:space="preserve">Figure 11 moved up to Section 6.5.1, directly after the paragraph that describes the workflow (it sat in the middle of the step-by-step procedure).</w:t>
      </w:r>
    </w:p>
    <w:p>
      <w:pPr>
        <w:pStyle w:val="DeletedPara"/>
      </w:pPr>
      <w:r>
        <w:rPr>
          <w:rStyle w:val="DeletedText"/>
        </w:rPr>
        <w:t xml:space="preserve">Figure 11: RO5 planned workflow for temporal and consent lifecycle trust (image moved)</w:t>
      </w:r>
    </w:p>
    <w:p>
      <w:pPr>
        <w:pStyle w:val="BodyText"/>
      </w:pPr>
      <w:r>
        <w:t xml:space="preserve">Algorithm 5</w:t>
      </w:r>
      <w:r>
        <w:t xml:space="preserve"> </w:t>
      </w:r>
      <w:r>
        <w:rPr>
          <w:rStyle w:val="DeletedText"/>
        </w:rPr>
        <w:t xml:space="preserve">extends the current stage works on decision process</w:t>
      </w:r>
      <w:r>
        <w:rPr>
          <w:rStyle w:val="InsertedText"/>
        </w:rPr>
        <w:t xml:space="preserve">extends the current-stage decision process</w:t>
      </w:r>
      <w:r>
        <w:t xml:space="preserve"> </w:t>
      </w:r>
      <w:r>
        <w:t xml:space="preserve">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19"/>
    <w:bookmarkEnd w:id="120"/>
    <w:bookmarkStart w:id="127" w:name="X28e4c471c7af957781c5be37513d338d1f9028e"/>
    <w:p>
      <w:pPr>
        <w:pStyle w:val="Heading2"/>
      </w:pPr>
      <w:r>
        <w:t xml:space="preserve">6.6 Formal Security Assurance and Empirical Validation for RO6</w:t>
      </w:r>
    </w:p>
    <w:p>
      <w:pPr>
        <w:pStyle w:val="FirstParagraph"/>
      </w:pPr>
      <w:r>
        <w:t xml:space="preserve">RO6 addresses</w:t>
      </w:r>
      <w:r>
        <w:t xml:space="preserve"> </w:t>
      </w:r>
      <w:r>
        <w:rPr>
          <w:rStyle w:val="DeletedText"/>
        </w:rPr>
        <w:t xml:space="preserve">RQ6</w:t>
      </w:r>
      <w:r>
        <w:rPr>
          <w:rStyle w:val="InsertedText"/>
        </w:rPr>
        <w:t xml:space="preserve">SRQ6</w:t>
      </w:r>
      <w:r>
        <w:t xml:space="preserve"> </w:t>
      </w:r>
      <w:r>
        <w:t xml:space="preserve">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rPr>
          <w:rStyle w:val="DeletedText"/>
        </w:rPr>
        <w:t xml:space="preserve">The formal decision model is expressed as</w:t>
      </w:r>
      <w:r>
        <w:rPr>
          <w:rStyle w:val="InsertedText"/>
        </w:rPr>
        <w:t xml:space="preserve">The formal decision model is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66</m:t>
          </m:r>
          <m:r>
            <m:rPr>
              <m:sty m:val="p"/>
            </m:rPr>
            <w:rPr>
              <w:color w:val="C00000"/>
              <w:strike/>
            </w:rPr>
            <m:t>)</m:t>
          </m:r>
        </m:oMath>
      </m:oMathPara>
    </w:p>
    <w:p>
      <w:pPr>
        <w:pStyle w:val="FirstParagraph"/>
      </w:pPr>
      <w:r>
        <w:rPr>
          <w:rStyle w:val="DeletedText"/>
        </w:rPr>
        <w:t xml:space="preserve">For current stage,</w:t>
      </w:r>
      <w:r>
        <w:rPr>
          <w:rStyle w:val="InsertedText"/>
        </w:rPr>
        <w:t xml:space="preserve">For the current stage,</w:t>
      </w:r>
      <w:r>
        <w:t xml:space="preserve"> </w:t>
      </w:r>
      <w:r>
        <w:t xml:space="preserve">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67</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68</m:t>
          </m:r>
          <m:r>
            <m:rPr>
              <m:sty m:val="p"/>
            </m:rPr>
            <m:t>)</m:t>
          </m:r>
        </m:oMath>
      </m:oMathPara>
    </w:p>
    <w:bookmarkStart w:id="124" w:name="ro6-assurance-and-validation-workflow"/>
    <w:p>
      <w:pPr>
        <w:pStyle w:val="Heading3"/>
      </w:pPr>
      <w:r>
        <w:t xml:space="preserve">6.6.1 RO6 Assurance and Validation Workflow</w:t>
      </w:r>
    </w:p>
    <w:p>
      <w:pPr>
        <w:pStyle w:val="FirstParagraph"/>
      </w:pPr>
      <w:r>
        <w:t xml:space="preserve">The validation process</w:t>
      </w:r>
      <w:r>
        <w:rPr>
          <w:rStyle w:val="InsertedText"/>
        </w:rPr>
        <w:t xml:space="preserve">, shown in Figure 12,</w:t>
      </w:r>
      <w:r>
        <w:t xml:space="preserve"> </w:t>
      </w:r>
      <w:r>
        <w:t xml:space="preserve">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tbl>
      <w:tblPr>
        <w:tblStyle w:val="FigureTable"/>
        <w:tblW w:type="dxa" w:w="9072"/>
        <w:jc w:val="center"/>
        <w:tblLook w:firstRow="0" w:lastRow="0" w:firstColumn="0" w:lastColumn="0"/>
      </w:tblPr>
      <w:tblGrid>
        <w:gridCol w:w="9072"/>
      </w:tblGrid>
      <w:tr>
        <w:trPr>
          <w:cantSplit/>
        </w:trPr>
        <w:tc>
          <w:tcPr/>
          <w:p>
            <w:pPr>
              <w:pStyle w:val="Compact"/>
              <w:jc w:val="center"/>
            </w:pPr>
            <w:r>
              <w:drawing>
                <wp:inline>
                  <wp:extent cx="4572000" cy="7676734"/>
                  <wp:effectExtent b="0" l="0" r="0" t="0"/>
                  <wp:docPr descr="Figure 12: RO6 planned workflow for formal security assurance and empirical validation" title="" id="122" name="Picture"/>
                  <a:graphic>
                    <a:graphicData uri="http://schemas.openxmlformats.org/drawingml/2006/picture">
                      <pic:pic>
                        <pic:nvPicPr>
                          <pic:cNvPr descr="media_col/fig12.png" id="123" name="Picture"/>
                          <pic:cNvPicPr>
                            <a:picLocks noChangeArrowheads="1" noChangeAspect="1"/>
                          </pic:cNvPicPr>
                        </pic:nvPicPr>
                        <pic:blipFill>
                          <a:blip r:embed="rId121"/>
                          <a:stretch>
                            <a:fillRect/>
                          </a:stretch>
                        </pic:blipFill>
                        <pic:spPr bwMode="auto">
                          <a:xfrm>
                            <a:off x="0" y="0"/>
                            <a:ext cx="4572000" cy="7676734"/>
                          </a:xfrm>
                          <a:prstGeom prst="rect">
                            <a:avLst/>
                          </a:prstGeom>
                          <a:noFill/>
                          <a:ln w="9525">
                            <a:noFill/>
                            <a:headEnd/>
                            <a:tailEnd/>
                          </a:ln>
                        </pic:spPr>
                      </pic:pic>
                    </a:graphicData>
                  </a:graphic>
                </wp:inline>
              </w:drawing>
            </w:r>
          </w:p>
        </w:tc>
      </w:tr>
    </w:tbl>
    <w:p>
      <w:pPr>
        <w:pStyle w:val="ImageCaption"/>
      </w:pPr>
      <w:r>
        <w:rPr>
          <w:rStyle w:val="InsertedText"/>
        </w:rPr>
        <w:t xml:space="preserve">Figure 12: RO6 planned workflow for formal security assurance and empirical validation</w:t>
      </w:r>
    </w:p>
    <w:p>
      <w:pPr>
        <w:pStyle w:val="ReviewerNotePara"/>
      </w:pPr>
      <w:r>
        <w:rPr>
          <w:rStyle w:val="ReviewerNote"/>
        </w:rPr>
        <w:t xml:space="preserve">Figure re-drawn in the same design and colours. Fix (to match Algorithm 6, lines 9 and 12–16):</w:t>
      </w:r>
      <w:r>
        <w:rPr>
          <w:rStyle w:val="ReviewerNote"/>
        </w:rPr>
        <w:t xml:space="preserve"> </w:t>
      </w:r>
      <w:r>
        <w:rPr>
          <w:rStyle w:val="ReviewerNote"/>
        </w:rPr>
        <w:t xml:space="preserve">‘Compare Observed and Expected Decisions’</w:t>
      </w:r>
      <w:r>
        <w:rPr>
          <w:rStyle w:val="ReviewerNote"/>
        </w:rPr>
        <w:t xml:space="preserve"> </w:t>
      </w:r>
      <w:r>
        <w:rPr>
          <w:rStyle w:val="ReviewerNote"/>
        </w:rPr>
        <w:t xml:space="preserve">added, and the security properties evaluated are named (soundness, denial, threshold, policy scope, audit consistency).</w:t>
      </w:r>
    </w:p>
    <w:p>
      <w:pPr>
        <w:pStyle w:val="BodyText"/>
      </w:pPr>
      <w:r>
        <w:t xml:space="preserve">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w:t>
      </w:r>
      <w:r>
        <w:t xml:space="preserve"> </w:t>
      </w:r>
      <w:r>
        <w:rPr>
          <w:rStyle w:val="InsertedText"/>
        </w:rPr>
        <w:t xml:space="preserve">Current evidence from the prototype is reported in Sections 7.11–7.12.</w:t>
      </w:r>
    </w:p>
    <w:bookmarkEnd w:id="124"/>
    <w:bookmarkStart w:id="125"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ReviewerNotePara"/>
      </w:pPr>
      <w:r>
        <w:rPr>
          <w:rStyle w:val="ReviewerNote"/>
        </w:rPr>
        <w:t xml:space="preserve">Figure 12 moved up to Section 6.6.1, directly after the paragraph that describes the workflow (it sat in the middle of the step-by-step procedure).</w:t>
      </w:r>
    </w:p>
    <w:p>
      <w:pPr>
        <w:pStyle w:val="DeletedPara"/>
      </w:pPr>
      <w:r>
        <w:rPr>
          <w:rStyle w:val="DeletedText"/>
        </w:rPr>
        <w:t xml:space="preserve">Figure 12: RO6 planned workflow for formal security assurance and empirical validation (image moved)</w:t>
      </w:r>
    </w:p>
    <w:p>
      <w:pPr>
        <w:pStyle w:val="Compact"/>
        <w:numPr>
          <w:ilvl w:val="0"/>
          <w:numId w:val="1058"/>
        </w:numPr>
      </w:pPr>
      <w:r>
        <w:rPr>
          <w:b/>
          <w:bCs/>
        </w:rPr>
        <w:t xml:space="preserve">Step 1 – Define the Expected Authorisation Properties.</w:t>
      </w:r>
    </w:p>
    <w:p>
      <w:pPr>
        <w:pStyle w:val="FirstParagraph"/>
      </w:pPr>
      <w:r>
        <w:t xml:space="preserve">The first step is to define the security and authorisation properties P 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59"/>
        </w:numPr>
      </w:pPr>
      <w:r>
        <w:rPr>
          <w:b/>
          <w:bCs/>
        </w:rPr>
        <w:t xml:space="preserve">Step 2 – Define Valid Scenarios.</w:t>
      </w:r>
    </w:p>
    <w:p>
      <w:pPr>
        <w:pStyle w:val="FirstParagraph"/>
      </w:pPr>
      <w:r>
        <w:t xml:space="preserve">The system defines a set of valid scenarios 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0"/>
        </w:numPr>
      </w:pPr>
      <w:r>
        <w:rPr>
          <w:b/>
          <w:bCs/>
        </w:rPr>
        <w:t xml:space="preserve">Step 3 – Define Negative Scenarios.</w:t>
      </w:r>
    </w:p>
    <w:p>
      <w:pPr>
        <w:pStyle w:val="FirstParagraph"/>
      </w:pPr>
      <w:r>
        <w:t xml:space="preserve">The system defines a set of negative scenarios 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1"/>
        </w:numPr>
      </w:pPr>
      <w:r>
        <w:rPr>
          <w:b/>
          <w:bCs/>
        </w:rPr>
        <w:t xml:space="preserve">Step 4 – Define Adversarial Scenarios.</w:t>
      </w:r>
    </w:p>
    <w:p>
      <w:pPr>
        <w:pStyle w:val="FirstParagraph"/>
      </w:pPr>
      <w:r>
        <w:t xml:space="preserve">The system defines adversarial scenarios 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2"/>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∈S is associated with an expected authorisation outcome and the security properties that it is intended to evaluate.</w:t>
      </w:r>
    </w:p>
    <w:p>
      <w:pPr>
        <w:pStyle w:val="Compact"/>
        <w:numPr>
          <w:ilvl w:val="0"/>
          <w:numId w:val="1063"/>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4"/>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5"/>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6"/>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7"/>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8"/>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69"/>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0"/>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1"/>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2"/>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3"/>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4"/>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t xml:space="preserve">, validation scenarios</w:t>
      </w:r>
      <w:r>
        <w:t xml:space="preserve"> </w:t>
      </w:r>
      <m:oMath>
        <m:r>
          <m:t>S</m:t>
        </m:r>
      </m:oMath>
      <w:r>
        <w:t xml:space="preserve">, security properties</w:t>
      </w:r>
      <w:r>
        <w:t xml:space="preserve"> </w:t>
      </w:r>
      <m:oMath>
        <m:r>
          <m:t>P</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w:r>
        <w:rPr>
          <w:rStyle w:val="DeletedText"/>
        </w:rPr>
        <w:t xml:space="preserve">S*valid</w:t>
      </w:r>
      <m:oMath>
        <m:sSub>
          <m:e>
            <m:r>
              <w:rPr>
                <w:color w:val="C00000"/>
              </w:rPr>
              <m:t>S</m:t>
            </m:r>
          </m:e>
          <m:sub>
            <m:r>
              <w:rPr>
                <w:color w:val="C00000"/>
              </w:rPr>
              <m:t>v</m:t>
            </m:r>
            <m:r>
              <w:rPr>
                <w:color w:val="C00000"/>
              </w:rPr>
              <m:t>a</m:t>
            </m:r>
            <m:r>
              <w:rPr>
                <w:color w:val="C00000"/>
              </w:rPr>
              <m:t>l</m:t>
            </m:r>
            <m:r>
              <w:rPr>
                <w:color w:val="C00000"/>
              </w:rPr>
              <m:t>i</m:t>
            </m:r>
            <m:r>
              <w:rPr>
                <w:color w:val="C00000"/>
              </w:rPr>
              <m:t>d</m:t>
            </m:r>
          </m:sub>
        </m:sSub>
      </m:oMath>
      <w:r>
        <w:br/>
      </w:r>
      <w:r>
        <w:t xml:space="preserve">3: Define negative scenarios</w:t>
      </w:r>
      <w:r>
        <w:t xml:space="preserve"> </w:t>
      </w:r>
      <w:r>
        <w:rPr>
          <w:rStyle w:val="DeletedText"/>
        </w:rPr>
        <w:t xml:space="preserve">S*negative</w:t>
      </w:r>
      <m:oMath>
        <m:sSub>
          <m:e>
            <m:r>
              <w:rPr>
                <w:color w:val="C00000"/>
              </w:rPr>
              <m:t>S</m:t>
            </m:r>
          </m:e>
          <m:sub>
            <m:r>
              <w:rPr>
                <w:color w:val="C00000"/>
              </w:rPr>
              <m:t>n</m:t>
            </m:r>
            <m:r>
              <w:rPr>
                <w:color w:val="C00000"/>
              </w:rPr>
              <m:t>e</m:t>
            </m:r>
            <m:r>
              <w:rPr>
                <w:color w:val="C00000"/>
              </w:rPr>
              <m:t>g</m:t>
            </m:r>
            <m:r>
              <w:rPr>
                <w:color w:val="C00000"/>
              </w:rPr>
              <m:t>a</m:t>
            </m:r>
            <m:r>
              <w:rPr>
                <w:color w:val="C00000"/>
              </w:rPr>
              <m:t>t</m:t>
            </m:r>
            <m:r>
              <w:rPr>
                <w:color w:val="C00000"/>
              </w:rPr>
              <m:t>i</m:t>
            </m:r>
            <m:r>
              <w:rPr>
                <w:color w:val="C00000"/>
              </w:rPr>
              <m:t>v</m:t>
            </m:r>
            <m:r>
              <w:rPr>
                <w:color w:val="C00000"/>
              </w:rPr>
              <m:t>e</m:t>
            </m:r>
          </m:sub>
        </m:sSub>
      </m:oMath>
      <w:r>
        <w:br/>
      </w:r>
      <w:r>
        <w:t xml:space="preserve">4: Define adversarial scenarios</w:t>
      </w:r>
      <w:r>
        <w:t xml:space="preserve"> </w:t>
      </w:r>
      <w:r>
        <w:rPr>
          <w:rStyle w:val="DeletedText"/>
        </w:rPr>
        <w:t xml:space="preserve">S*adv</w:t>
      </w:r>
      <m:oMath>
        <m:sSub>
          <m:e>
            <m:r>
              <w:rPr>
                <w:color w:val="C00000"/>
              </w:rPr>
              <m:t>S</m:t>
            </m:r>
          </m:e>
          <m:sub>
            <m:r>
              <w:rPr>
                <w:color w:val="C00000"/>
              </w:rPr>
              <m:t>a</m:t>
            </m:r>
            <m:r>
              <w:rPr>
                <w:color w:val="C00000"/>
              </w:rPr>
              <m:t>d</m:t>
            </m:r>
            <m:r>
              <w:rPr>
                <w:color w:val="C00000"/>
              </w:rPr>
              <m:t>v</m:t>
            </m:r>
          </m:sub>
        </m:sSub>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w:r>
        <w:rPr>
          <w:rStyle w:val="DeletedText"/>
        </w:rPr>
        <w:t xml:space="preserve">S*valid ∪ S*negative ∪ S*adv</w:t>
      </w:r>
      <m:oMath>
        <m:sSub>
          <m:e>
            <m:r>
              <w:rPr>
                <w:color w:val="C00000"/>
              </w:rPr>
              <m:t>S</m:t>
            </m:r>
          </m:e>
          <m:sub>
            <m:r>
              <w:rPr>
                <w:color w:val="C00000"/>
              </w:rPr>
              <m:t>v</m:t>
            </m:r>
            <m:r>
              <w:rPr>
                <w:color w:val="C00000"/>
              </w:rPr>
              <m:t>a</m:t>
            </m:r>
            <m:r>
              <w:rPr>
                <w:color w:val="C00000"/>
              </w:rPr>
              <m:t>l</m:t>
            </m:r>
            <m:r>
              <w:rPr>
                <w:color w:val="C00000"/>
              </w:rPr>
              <m:t>i</m:t>
            </m:r>
            <m:r>
              <w:rPr>
                <w:color w:val="C00000"/>
              </w:rPr>
              <m:t>d</m:t>
            </m:r>
          </m:sub>
        </m:sSub>
        <m:r>
          <m:rPr>
            <m:sty m:val="p"/>
          </m:rPr>
          <w:rPr>
            <w:color w:val="C00000"/>
          </w:rPr>
          <m:t>∪</m:t>
        </m:r>
        <m:sSub>
          <m:e>
            <m:r>
              <w:rPr>
                <w:color w:val="C00000"/>
              </w:rPr>
              <m:t>S</m:t>
            </m:r>
          </m:e>
          <m:sub>
            <m:r>
              <w:rPr>
                <w:color w:val="C00000"/>
              </w:rPr>
              <m:t>n</m:t>
            </m:r>
            <m:r>
              <w:rPr>
                <w:color w:val="C00000"/>
              </w:rPr>
              <m:t>e</m:t>
            </m:r>
            <m:r>
              <w:rPr>
                <w:color w:val="C00000"/>
              </w:rPr>
              <m:t>g</m:t>
            </m:r>
            <m:r>
              <w:rPr>
                <w:color w:val="C00000"/>
              </w:rPr>
              <m:t>a</m:t>
            </m:r>
            <m:r>
              <w:rPr>
                <w:color w:val="C00000"/>
              </w:rPr>
              <m:t>t</m:t>
            </m:r>
            <m:r>
              <w:rPr>
                <w:color w:val="C00000"/>
              </w:rPr>
              <m:t>i</m:t>
            </m:r>
            <m:r>
              <w:rPr>
                <w:color w:val="C00000"/>
              </w:rPr>
              <m:t>v</m:t>
            </m:r>
            <m:r>
              <w:rPr>
                <w:color w:val="C00000"/>
              </w:rPr>
              <m:t>e</m:t>
            </m:r>
          </m:sub>
        </m:sSub>
        <m:r>
          <m:rPr>
            <m:sty m:val="p"/>
          </m:rPr>
          <w:rPr>
            <w:color w:val="C00000"/>
          </w:rPr>
          <m:t>∪</m:t>
        </m:r>
        <m:sSub>
          <m:e>
            <m:r>
              <w:rPr>
                <w:color w:val="C00000"/>
              </w:rPr>
              <m:t>S</m:t>
            </m:r>
          </m:e>
          <m:sub>
            <m:r>
              <w:rPr>
                <w:color w:val="C00000"/>
              </w:rPr>
              <m:t>a</m:t>
            </m:r>
            <m:r>
              <w:rPr>
                <w:color w:val="C00000"/>
              </w:rPr>
              <m:t>d</m:t>
            </m:r>
            <m:r>
              <w:rPr>
                <w:color w:val="C00000"/>
              </w:rPr>
              <m:t>v</m:t>
            </m:r>
          </m:sub>
        </m:sSub>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bookmarkEnd w:id="125"/>
    <w:bookmarkStart w:id="126" w:name="Xb697f75e4cb43d67a9074b27c380a0731d6d029"/>
    <w:p>
      <w:pPr>
        <w:pStyle w:val="Heading3"/>
      </w:pPr>
      <w:r>
        <w:t xml:space="preserve">6.6.3 Algorithm 6: Formal and Empirical Authorisation Validation</w:t>
      </w:r>
    </w:p>
    <w:p>
      <w:pPr>
        <w:pStyle w:val="FirstParagraph"/>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26"/>
    <w:bookmarkEnd w:id="127"/>
    <w:bookmarkStart w:id="128"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w:t>
      </w:r>
      <w:r>
        <w:t xml:space="preserve"> </w:t>
      </w:r>
      <w:r>
        <w:rPr>
          <w:rStyle w:val="DeletedText"/>
        </w:rPr>
        <w:t xml:space="preserve">1) Identity Trust Authority Trust</w:t>
      </w:r>
      <w:r>
        <w:rPr>
          <w:rStyle w:val="InsertedText"/>
        </w:rPr>
        <w:t xml:space="preserve">1) Identity and Authority Trust</w:t>
      </w:r>
      <w:r>
        <w:t xml:space="preserve">, 2) Collective Authorisation, 3) Policy Compliance,</w:t>
      </w:r>
      <w:r>
        <w:t xml:space="preserve"> </w:t>
      </w:r>
      <w:r>
        <w:rPr>
          <w:rStyle w:val="DeletedText"/>
        </w:rPr>
        <w:t xml:space="preserve">4)Temporal</w:t>
      </w:r>
      <w:r>
        <w:rPr>
          <w:rStyle w:val="InsertedText"/>
        </w:rPr>
        <w:t xml:space="preserve">4) Temporal</w:t>
      </w:r>
      <w:r>
        <w:t xml:space="preserve"> </w:t>
      </w:r>
      <w:r>
        <w:t xml:space="preserve">and Lifecycle Trust. For the current stage implementation,</w:t>
      </w:r>
      <w:r>
        <w:t xml:space="preserve"> </w:t>
      </w:r>
      <w:r>
        <w:rPr>
          <w:rStyle w:val="DeletedText"/>
        </w:rPr>
        <w:t xml:space="preserve">the operational decision is based on</w:t>
      </w:r>
      <w:r>
        <w:rPr>
          <w:rStyle w:val="InsertedText"/>
        </w:rPr>
        <w:t xml:space="preserve">the operational decision is based on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69</m:t>
          </m:r>
          <m:r>
            <m:rPr>
              <m:sty m:val="p"/>
            </m:rPr>
            <w:rPr>
              <w:color w:val="C00000"/>
              <w:strike/>
            </w:rPr>
            <m:t>)</m:t>
          </m:r>
        </m:oMath>
      </m:oMathPara>
    </w:p>
    <w:p>
      <w:pPr>
        <w:pStyle w:val="FirstParagraph"/>
      </w:pPr>
      <w:r>
        <w:t xml:space="preserve">The CA3 extension</w:t>
      </w:r>
      <w:r>
        <w:t xml:space="preserve"> </w:t>
      </w:r>
      <w:r>
        <w:rPr>
          <w:rStyle w:val="DeletedText"/>
        </w:rPr>
        <w:t xml:space="preserve">incorporates temporal and lifecycle conditions that</w:t>
      </w:r>
      <w:r>
        <w:rPr>
          <w:rStyle w:val="InsertedText"/>
        </w:rPr>
        <w:t xml:space="preserve">incorporates temporal and lifecycle conditions, as in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70</m:t>
          </m:r>
          <m:r>
            <m:rPr>
              <m:sty m:val="p"/>
            </m:rPr>
            <w:rPr>
              <w:color w:val="C00000"/>
              <w:strike/>
            </w:rPr>
            <m:t>)</m:t>
          </m:r>
        </m:oMath>
      </m:oMathPara>
    </w:p>
    <w:p>
      <w:pPr>
        <w:pStyle w:val="FirstParagraph"/>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pStyle w:val="ReviewerNotePara"/>
      </w:pPr>
      <w:r>
        <w:rPr>
          <w:rStyle w:val="ReviewerNote"/>
        </w:rPr>
        <w:t xml:space="preserve">NEW CHAPTER 7: the HALAH implementation document is inserted here, between the proposed solution (Chapter 6) and the progress report (now Chapter 8). Sections 7.1–7.9 reproduce the HALAH document without change (only its section numbers and figure/table captions were added); Sections 7.10–7.13 add the source-code mapping, test and on-chain evidence, and the current limitations.</w:t>
      </w:r>
    </w:p>
    <w:bookmarkEnd w:id="128"/>
    <w:bookmarkEnd w:id="129"/>
    <w:bookmarkStart w:id="161" w:name="halah-system-and-workflow"/>
    <w:p>
      <w:pPr>
        <w:pStyle w:val="Heading1"/>
      </w:pPr>
      <w:r>
        <w:rPr>
          <w:rStyle w:val="InsertedText"/>
        </w:rPr>
        <w:t xml:space="preserve">7 HALAH System and Workflow</w:t>
      </w:r>
    </w:p>
    <w:p>
      <w:pPr>
        <w:pStyle w:val="InsertedPara"/>
      </w:pPr>
      <w:r>
        <w:rPr>
          <w:rStyle w:val="InsertedText"/>
        </w:rPr>
        <w:t xml:space="preserve">The HALAH implementation provides a role-based patient consent management environment that operationalises the proposed multi-party healthcare data-sharing framework. The subsystem is organised around four principal actors and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cryptographically activated, continuously checked for validity, and subsequently used to control access to specific electronic medical record (EMR) modules.</w:t>
      </w:r>
    </w:p>
    <w:p>
      <w:pPr>
        <w:pStyle w:val="InsertedPara"/>
      </w:pPr>
      <w:r>
        <w:rPr>
          <w:rStyle w:val="InsertedText"/>
        </w:rPr>
        <w:t xml:space="preserve">The overall workflow implemented by the implementation is therefore consistent with the proposed authorisation model as</w:t>
      </w:r>
    </w:p>
    <w:p>
      <w:pPr>
        <w:pStyle w:val="InsertedPara"/>
      </w:pPr>
      <m:oMathPara>
        <m:oMathParaPr>
          <m:jc m:val="center"/>
        </m:oMathParaPr>
        <m:oMath>
          <m:m>
            <m:mPr>
              <m:baseJc m:val="center"/>
              <m:plcHide m:val="on"/>
              <m:mcs>
                <m:mc>
                  <m:mcPr>
                    <m:count m:val="1"/>
                    <m:mcJc m:val="left"/>
                  </m:mcPr>
                </m:mc>
              </m:mcs>
            </m:mPr>
            <m:mr>
              <m:e>
                <m:r>
                  <m:rPr>
                    <m:nor/>
                  </m:rPr>
                  <w:rPr>
                    <w:color w:val="C00000"/>
                  </w:rPr>
                  <m:t>Create Consent</m:t>
                </m:r>
                <m:r>
                  <m:rPr>
                    <m:sty m:val="p"/>
                  </m:rPr>
                  <w:rPr>
                    <w:color w:val="C00000"/>
                  </w:rPr>
                  <m:t>→</m:t>
                </m:r>
                <m:r>
                  <m:rPr>
                    <m:nor/>
                  </m:rPr>
                  <w:rPr>
                    <w:color w:val="C00000"/>
                  </w:rPr>
                  <m:t>Guardian Approval</m:t>
                </m:r>
                <m:r>
                  <m:rPr>
                    <m:sty m:val="p"/>
                  </m:rPr>
                  <w:rPr>
                    <w:color w:val="C00000"/>
                  </w:rPr>
                  <m:t>→</m:t>
                </m:r>
                <m:r>
                  <m:rPr>
                    <m:nor/>
                  </m:rPr>
                  <w:rPr>
                    <w:color w:val="C00000"/>
                  </w:rPr>
                  <m:t>Multi-signature Validation</m:t>
                </m:r>
              </m:e>
            </m:mr>
            <m:mr>
              <m:e>
                <m:r>
                  <m:rPr>
                    <m:sty m:val="p"/>
                  </m:rPr>
                  <w:rPr>
                    <w:color w:val="C00000"/>
                  </w:rPr>
                  <m:t>→</m:t>
                </m:r>
                <m:r>
                  <m:rPr>
                    <m:nor/>
                  </m:rPr>
                  <w:rPr>
                    <w:color w:val="C00000"/>
                  </w:rPr>
                  <m:t>Consent Activation</m:t>
                </m:r>
                <m:r>
                  <m:rPr>
                    <m:sty m:val="p"/>
                  </m:rPr>
                  <w:rPr>
                    <w:color w:val="C00000"/>
                  </w:rPr>
                  <m:t>→</m:t>
                </m:r>
                <m:r>
                  <m:rPr>
                    <m:nor/>
                  </m:rPr>
                  <w:rPr>
                    <w:color w:val="C00000"/>
                  </w:rPr>
                  <m:t>Doctor Access</m:t>
                </m:r>
                <m:r>
                  <m:rPr>
                    <m:sty m:val="p"/>
                  </m:rPr>
                  <w:rPr>
                    <w:color w:val="C00000"/>
                  </w:rPr>
                  <m:t>→</m:t>
                </m:r>
                <m:r>
                  <m:rPr>
                    <m:nor/>
                  </m:rPr>
                  <w:rPr>
                    <w:color w:val="C00000"/>
                  </w:rPr>
                  <m:t>Audit</m:t>
                </m:r>
              </m:e>
            </m:mr>
          </m:m>
        </m:oMath>
      </m:oMathPara>
    </w:p>
    <w:p>
      <w:pPr>
        <w:pStyle w:val="InsertedPara"/>
      </w:pPr>
      <w:r>
        <w:rPr>
          <w:rStyle w:val="InsertedText"/>
        </w:rPr>
        <w:t xml:space="preserve">This sequence provides an end-to-end demonstration of how the conceptual consent model is translated into an operational healthcare data-sharing process.</w:t>
      </w:r>
    </w:p>
    <w:bookmarkStart w:id="130" w:name="halah-system"/>
    <w:p>
      <w:pPr>
        <w:pStyle w:val="Heading2"/>
      </w:pPr>
      <w:r>
        <w:rPr>
          <w:rStyle w:val="InsertedText"/>
        </w:rPr>
        <w:t xml:space="preserve">7.1 HALAH System</w:t>
      </w:r>
    </w:p>
    <w:p>
      <w:pPr>
        <w:pStyle w:val="InsertedPara"/>
      </w:pPr>
      <w:r>
        <w:rPr>
          <w:rStyle w:val="InsertedText"/>
        </w:rPr>
        <w:t xml:space="preserve">The main HALAH subsystem presents the system as a</w:t>
      </w:r>
      <w:r>
        <w:rPr>
          <w:rStyle w:val="InsertedText"/>
        </w:rPr>
        <w:t xml:space="preserve"> </w:t>
      </w:r>
      <w:r>
        <w:rPr>
          <w:rStyle w:val="InsertedText"/>
          <w:b/>
          <w:bCs/>
        </w:rPr>
        <w:t xml:space="preserve">Patient Consent Management Platform for History Access by Authorised Healthcare Providers</w:t>
      </w:r>
      <w:r>
        <w:rPr>
          <w:rStyle w:val="InsertedText"/>
        </w:rPr>
        <w:t xml:space="preserve">. The subsystem provides a role-oriented environment in which different participants interact with the same consent lifecycle according to their respective authorisation responsibilities.</w:t>
      </w:r>
    </w:p>
    <w:p>
      <w:pPr>
        <w:pStyle w:val="InsertedPara"/>
      </w:pPr>
      <w:r>
        <w:rPr>
          <w:rStyle w:val="InsertedText"/>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and audit recording.</w:t>
      </w:r>
    </w:p>
    <w:p>
      <w:pPr>
        <w:pStyle w:val="InsertedPara"/>
      </w:pPr>
      <w:r>
        <w:rPr>
          <w:rStyle w:val="InsertedText"/>
        </w:rPr>
        <w:t xml:space="preserve">This design corresponds to the overall HALAH architecture, in which</w:t>
      </w:r>
      <w:r>
        <w:rPr>
          <w:rStyle w:val="InsertedText"/>
        </w:rPr>
        <w:t xml:space="preserve"> </w:t>
      </w:r>
      <w:r>
        <w:rPr>
          <w:rStyle w:val="InsertedText"/>
          <w:b/>
          <w:bCs/>
        </w:rPr>
        <w:t xml:space="preserve">decentralised identifiers (DIDs)</w:t>
      </w:r>
      <w:r>
        <w:rPr>
          <w:rStyle w:val="InsertedText"/>
        </w:rPr>
        <w:t xml:space="preserve"> </w:t>
      </w:r>
      <w:r>
        <w:rPr>
          <w:rStyle w:val="InsertedText"/>
        </w:rPr>
        <w:t xml:space="preserve">provide identity pointers, the consent object defines the authorisation conditions, cryptographic signatures provide evidence of approval, and the blockchain-based ledger provides lifecycle traceability.</w:t>
      </w:r>
    </w:p>
    <w:p>
      <w:pPr>
        <w:pStyle w:val="InsertedPara"/>
      </w:pPr>
      <w:r>
        <w:rPr>
          <w:rStyle w:val="InsertedText"/>
        </w:rPr>
        <w:t xml:space="preserve">The subsystem therefore serves as the entry point for demonstrating the complete authorisation process rather than functioning merely as a conventional patient-record application.</w:t>
      </w:r>
    </w:p>
    <w:bookmarkEnd w:id="130"/>
    <w:bookmarkStart w:id="134" w:name="X858cfcdf50eeab536ac64fcc0cad8eb3398a81c"/>
    <w:p>
      <w:pPr>
        <w:pStyle w:val="Heading2"/>
      </w:pPr>
      <w:r>
        <w:rPr>
          <w:rStyle w:val="InsertedText"/>
        </w:rPr>
        <w:t xml:space="preserve">7.2 Create Smart Consent Contract: Patient Subsystem</w:t>
      </w:r>
    </w:p>
    <w:p>
      <w:pPr>
        <w:pStyle w:val="InsertedPara"/>
      </w:pPr>
      <w:r>
        <w:rPr>
          <w:rStyle w:val="InsertedText"/>
        </w:rPr>
        <w:t xml:space="preserve">The first functional subsystem is the</w:t>
      </w:r>
      <w:r>
        <w:rPr>
          <w:rStyle w:val="InsertedText"/>
        </w:rPr>
        <w:t xml:space="preserve"> </w:t>
      </w:r>
      <w:r>
        <w:rPr>
          <w:rStyle w:val="InsertedText"/>
          <w:b/>
          <w:bCs/>
        </w:rPr>
        <w:t xml:space="preserve">Create Smart Consent Contract</w:t>
      </w:r>
      <w:r>
        <w:rPr>
          <w:rStyle w:val="InsertedText"/>
        </w:rPr>
        <w:t xml:space="preserve"> </w:t>
      </w:r>
      <w:r>
        <w:rPr>
          <w:rStyle w:val="InsertedText"/>
        </w:rPr>
        <w:t xml:space="preserve">module. This module represents the patient-side initiation of a consent transaction and corresponds directly to the construction of the proposed consent object.</w:t>
      </w:r>
    </w:p>
    <w:p>
      <w:pPr>
        <w:pStyle w:val="InsertedPara"/>
      </w:pPr>
      <w:r>
        <w:rPr>
          <w:rStyle w:val="InsertedText"/>
        </w:rPr>
        <w:t xml:space="preserve">The subsystem requires the patient to specify the</w:t>
      </w:r>
      <w:r>
        <w:rPr>
          <w:rStyle w:val="InsertedText"/>
        </w:rPr>
        <w:t xml:space="preserve"> </w:t>
      </w:r>
      <w:r>
        <w:rPr>
          <w:rStyle w:val="InsertedText"/>
          <w:b/>
          <w:bCs/>
        </w:rPr>
        <w:t xml:space="preserve">Patient DID</w:t>
      </w:r>
      <w:r>
        <w:rPr>
          <w:rStyle w:val="InsertedText"/>
        </w:rPr>
        <w:t xml:space="preserve">,</w:t>
      </w:r>
      <w:r>
        <w:rPr>
          <w:rStyle w:val="InsertedText"/>
        </w:rPr>
        <w:t xml:space="preserve"> </w:t>
      </w:r>
      <w:r>
        <w:rPr>
          <w:rStyle w:val="InsertedText"/>
          <w:b/>
          <w:bCs/>
        </w:rPr>
        <w:t xml:space="preserve">Authorised Doctor DID</w:t>
      </w:r>
      <w:r>
        <w:rPr>
          <w:rStyle w:val="InsertedText"/>
        </w:rPr>
        <w:t xml:space="preserve">,</w:t>
      </w:r>
      <w:r>
        <w:rPr>
          <w:rStyle w:val="InsertedText"/>
        </w:rPr>
        <w:t xml:space="preserve"> </w:t>
      </w:r>
      <w:r>
        <w:rPr>
          <w:rStyle w:val="InsertedText"/>
          <w:b/>
          <w:bCs/>
        </w:rPr>
        <w:t xml:space="preserve">Data Access Scope</w:t>
      </w:r>
      <w:r>
        <w:rPr>
          <w:rStyle w:val="InsertedText"/>
        </w:rPr>
        <w:t xml:space="preserve">,</w:t>
      </w:r>
      <w:r>
        <w:rPr>
          <w:rStyle w:val="InsertedText"/>
        </w:rPr>
        <w:t xml:space="preserve"> </w:t>
      </w:r>
      <w:r>
        <w:rPr>
          <w:rStyle w:val="InsertedText"/>
          <w:b/>
          <w:bCs/>
        </w:rPr>
        <w:t xml:space="preserve">Designated Guardian DIDs</w:t>
      </w:r>
      <w:r>
        <w:rPr>
          <w:rStyle w:val="InsertedText"/>
        </w:rPr>
        <w:t xml:space="preserve">, and the</w:t>
      </w:r>
      <w:r>
        <w:rPr>
          <w:rStyle w:val="InsertedText"/>
        </w:rPr>
        <w:t xml:space="preserve"> </w:t>
      </w:r>
      <w:r>
        <w:rPr>
          <w:rStyle w:val="InsertedText"/>
          <w:b/>
          <w:bCs/>
        </w:rPr>
        <w:t xml:space="preserve">temporal validity of the consent</w:t>
      </w:r>
      <w:r>
        <w:rPr>
          <w:rStyle w:val="InsertedText"/>
        </w:rPr>
        <w:t xml:space="preserve">. These fields collectively operationalise the proposed consent representation:</w:t>
      </w:r>
    </w:p>
    <w:p>
      <w:pPr>
        <w:pStyle w:val="InsertedPara"/>
      </w:pPr>
      <m:oMathPara>
        <m:oMathParaPr>
          <m:jc m:val="center"/>
        </m:oMathParaPr>
        <m:oMath>
          <m:r>
            <w:rPr>
              <w:color w:val="C00000"/>
            </w:rPr>
            <m:t>C</m:t>
          </m:r>
          <m:r>
            <m:rPr>
              <m:sty m:val="p"/>
            </m:rPr>
            <w:rPr>
              <w:color w:val="C00000"/>
            </w:rPr>
            <m:t>=</m:t>
          </m:r>
          <m:d>
            <m:dPr>
              <m:begChr m:val="("/>
              <m:sepChr m:val=""/>
              <m:endChr m:val=")"/>
              <m:grow/>
            </m:dPr>
            <m:e>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e>
          </m:d>
        </m:oMath>
      </m:oMathPara>
    </w:p>
    <w:p>
      <w:pPr>
        <w:pStyle w:val="InsertedPara"/>
      </w:pPr>
      <w:r>
        <w:rPr>
          <w:rStyle w:val="InsertedText"/>
        </w:rPr>
        <w:t xml:space="preserve">where the identity of the patient is represented through a DID, the authorised actor is explicitly specified, the permitted data scope is constrained to selected EMR modules, and the temporal fields define when the authorisation becomes valid and when it expires.</w:t>
      </w:r>
    </w:p>
    <w:tbl>
      <w:tblPr>
        <w:tblStyle w:val="FigureTable"/>
        <w:tblW w:type="dxa" w:w="9072"/>
        <w:jc w:val="center"/>
        <w:tblLook w:firstRow="0" w:lastRow="0" w:firstColumn="0" w:lastColumn="0"/>
      </w:tblPr>
      <w:tblGrid>
        <w:gridCol w:w="9072"/>
      </w:tblGrid>
      <w:tr>
        <w:trPr>
          <w:cantSplit/>
        </w:trPr>
        <w:tc>
          <w:tcPr/>
          <w:p>
            <w:pPr>
              <w:pStyle w:val="Compact"/>
              <w:jc w:val="center"/>
            </w:pPr>
            <w:r>
              <w:drawing>
                <wp:inline>
                  <wp:extent cx="5465445" cy="2746127"/>
                  <wp:effectExtent b="0" l="0" r="0" t="0"/>
                  <wp:docPr descr="Figure 13: HALAH patient subsystem – Create Smart Consent Contract" title="" id="132" name="Picture"/>
                  <a:graphic>
                    <a:graphicData uri="http://schemas.openxmlformats.org/drawingml/2006/picture">
                      <pic:pic>
                        <pic:nvPicPr>
                          <pic:cNvPr descr="halah_media/media/image1.png" id="133" name="Picture"/>
                          <pic:cNvPicPr>
                            <a:picLocks noChangeArrowheads="1" noChangeAspect="1"/>
                          </pic:cNvPicPr>
                        </pic:nvPicPr>
                        <pic:blipFill>
                          <a:blip r:embed="rId131"/>
                          <a:stretch>
                            <a:fillRect/>
                          </a:stretch>
                        </pic:blipFill>
                        <pic:spPr bwMode="auto">
                          <a:xfrm>
                            <a:off x="0" y="0"/>
                            <a:ext cx="5465445" cy="2746127"/>
                          </a:xfrm>
                          <a:prstGeom prst="rect">
                            <a:avLst/>
                          </a:prstGeom>
                          <a:noFill/>
                          <a:ln w="9525">
                            <a:noFill/>
                            <a:headEnd/>
                            <a:tailEnd/>
                          </a:ln>
                        </pic:spPr>
                      </pic:pic>
                    </a:graphicData>
                  </a:graphic>
                </wp:inline>
              </w:drawing>
            </w:r>
          </w:p>
        </w:tc>
      </w:tr>
    </w:tbl>
    <w:p>
      <w:pPr>
        <w:pStyle w:val="ImageCaption"/>
      </w:pPr>
      <w:r>
        <w:rPr>
          <w:rStyle w:val="InsertedText"/>
        </w:rPr>
        <w:t xml:space="preserve">Figure 13: HALAH patient subsystem – Create Smart Consent Contract</w:t>
      </w:r>
    </w:p>
    <w:p>
      <w:pPr>
        <w:pStyle w:val="InsertedPara"/>
      </w:pPr>
      <w:r>
        <w:rPr>
          <w:rStyle w:val="InsertedText"/>
        </w:rPr>
        <w:t xml:space="preserve">As shown in the figure above, the</w:t>
      </w:r>
      <w:r>
        <w:rPr>
          <w:rStyle w:val="InsertedText"/>
        </w:rPr>
        <w:t xml:space="preserve"> </w:t>
      </w:r>
      <w:r>
        <w:rPr>
          <w:rStyle w:val="InsertedText"/>
          <w:b/>
          <w:bCs/>
        </w:rPr>
        <w:t xml:space="preserve">Patient DID</w:t>
      </w:r>
      <w:r>
        <w:rPr>
          <w:rStyle w:val="InsertedText"/>
        </w:rPr>
        <w:t xml:space="preserve"> </w:t>
      </w:r>
      <w:r>
        <w:rPr>
          <w:rStyle w:val="InsertedText"/>
        </w:rPr>
        <w:t xml:space="preserve">provides the identity pointer for the data subject, while the</w:t>
      </w:r>
      <w:r>
        <w:rPr>
          <w:rStyle w:val="InsertedText"/>
        </w:rPr>
        <w:t xml:space="preserve"> </w:t>
      </w:r>
      <w:r>
        <w:rPr>
          <w:rStyle w:val="InsertedText"/>
          <w:b/>
          <w:bCs/>
        </w:rPr>
        <w:t xml:space="preserve">Authorised Doctor DID</w:t>
      </w:r>
      <w:r>
        <w:rPr>
          <w:rStyle w:val="InsertedText"/>
        </w:rPr>
        <w:t xml:space="preserve"> </w:t>
      </w:r>
      <w:r>
        <w:rPr>
          <w:rStyle w:val="InsertedText"/>
        </w:rPr>
        <w:t xml:space="preserve">limits the intended healthcare recipient. This is important because the implementation does not implement consent as a general permission to access a patient's medical information. Instead, the authorisation is bound to a specific identity and therefore supports</w:t>
      </w:r>
      <w:r>
        <w:rPr>
          <w:rStyle w:val="InsertedText"/>
        </w:rPr>
        <w:t xml:space="preserve"> </w:t>
      </w:r>
      <w:r>
        <w:rPr>
          <w:rStyle w:val="InsertedText"/>
          <w:b/>
          <w:bCs/>
        </w:rPr>
        <w:t xml:space="preserve">subject-specific and actor-specific access control</w:t>
      </w:r>
      <w:r>
        <w:rPr>
          <w:rStyle w:val="InsertedText"/>
        </w:rPr>
        <w:t xml:space="preserve">.</w:t>
      </w:r>
    </w:p>
    <w:p>
      <w:pPr>
        <w:pStyle w:val="InsertedPara"/>
      </w:pPr>
      <w:r>
        <w:rPr>
          <w:rStyle w:val="InsertedText"/>
        </w:rPr>
        <w:t xml:space="preserve">The</w:t>
      </w:r>
      <w:r>
        <w:rPr>
          <w:rStyle w:val="InsertedText"/>
        </w:rPr>
        <w:t xml:space="preserve"> </w:t>
      </w:r>
      <w:r>
        <w:rPr>
          <w:rStyle w:val="InsertedText"/>
          <w:b/>
          <w:bCs/>
        </w:rPr>
        <w:t xml:space="preserve">Data Access Scope</w:t>
      </w:r>
      <w:r>
        <w:rPr>
          <w:rStyle w:val="InsertedText"/>
        </w:rPr>
        <w:t xml:space="preserve"> </w:t>
      </w:r>
      <w:r>
        <w:rPr>
          <w:rStyle w:val="InsertedText"/>
        </w:rPr>
        <w:t xml:space="preserve">is particularly important to the proposed framework. Instead of granting access to the complete EMR, the patient can select particular modules, such as medication or procedure information. This implements the principle of</w:t>
      </w:r>
      <w:r>
        <w:rPr>
          <w:rStyle w:val="InsertedText"/>
        </w:rPr>
        <w:t xml:space="preserve"> </w:t>
      </w:r>
      <w:r>
        <w:rPr>
          <w:rStyle w:val="InsertedText"/>
          <w:b/>
          <w:bCs/>
        </w:rPr>
        <w:t xml:space="preserve">purpose- and scope-limited consent</w:t>
      </w:r>
      <w:r>
        <w:rPr>
          <w:rStyle w:val="InsertedText"/>
        </w:rPr>
        <w:t xml:space="preserve"> </w:t>
      </w:r>
      <w:r>
        <w:rPr>
          <w:rStyle w:val="InsertedText"/>
        </w:rPr>
        <w:t xml:space="preserve">and corresponds to the</w:t>
      </w:r>
      <w:r>
        <w:rPr>
          <w:rStyle w:val="InsertedText"/>
        </w:rPr>
        <w:t xml:space="preserve"> </w:t>
      </w:r>
      <m:oMath>
        <m:r>
          <w:rPr>
            <w:color w:val="C00000"/>
          </w:rPr>
          <m:t>P</m:t>
        </m:r>
      </m:oMath>
      <w:r>
        <w:rPr>
          <w:rStyle w:val="InsertedText"/>
        </w:rPr>
        <w:t xml:space="preserve"> </w:t>
      </w:r>
      <w:r>
        <w:rPr>
          <w:rStyle w:val="InsertedText"/>
        </w:rPr>
        <w:t xml:space="preserve">component of the consent object.</w:t>
      </w:r>
    </w:p>
    <w:p>
      <w:pPr>
        <w:pStyle w:val="InsertedPara"/>
      </w:pPr>
      <w:r>
        <w:rPr>
          <w:rStyle w:val="InsertedText"/>
        </w:rPr>
        <w:t xml:space="preserve">The</w:t>
      </w:r>
      <w:r>
        <w:rPr>
          <w:rStyle w:val="InsertedText"/>
        </w:rPr>
        <w:t xml:space="preserve"> </w:t>
      </w:r>
      <w:r>
        <w:rPr>
          <w:rStyle w:val="InsertedText"/>
          <w:b/>
          <w:bCs/>
        </w:rPr>
        <w:t xml:space="preserve">Designated Guardian DIDs</w:t>
      </w:r>
      <w:r>
        <w:rPr>
          <w:rStyle w:val="InsertedText"/>
        </w:rPr>
        <w:t xml:space="preserve"> </w:t>
      </w:r>
      <w:r>
        <w:rPr>
          <w:rStyle w:val="InsertedText"/>
        </w:rPr>
        <w:t xml:space="preserve">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pStyle w:val="InsertedPara"/>
      </w:pPr>
      <w:r>
        <w:rPr>
          <w:rStyle w:val="InsertedText"/>
        </w:rPr>
        <w:t xml:space="preserve">Finally, the</w:t>
      </w:r>
      <w:r>
        <w:rPr>
          <w:rStyle w:val="InsertedText"/>
        </w:rPr>
        <w:t xml:space="preserve"> </w:t>
      </w:r>
      <w:r>
        <w:rPr>
          <w:rStyle w:val="InsertedText"/>
          <w:b/>
          <w:bCs/>
        </w:rPr>
        <w:t xml:space="preserve">Start Time</w:t>
      </w:r>
      <w:r>
        <w:rPr>
          <w:rStyle w:val="InsertedText"/>
        </w:rPr>
        <w:t xml:space="preserve"> </w:t>
      </w:r>
      <w:r>
        <w:rPr>
          <w:rStyle w:val="InsertedText"/>
        </w:rPr>
        <w:t xml:space="preserve">and</w:t>
      </w:r>
      <w:r>
        <w:rPr>
          <w:rStyle w:val="InsertedText"/>
        </w:rPr>
        <w:t xml:space="preserve"> </w:t>
      </w:r>
      <w:r>
        <w:rPr>
          <w:rStyle w:val="InsertedText"/>
          <w:b/>
          <w:bCs/>
        </w:rPr>
        <w:t xml:space="preserve">Expiry Time</w:t>
      </w:r>
      <w:r>
        <w:rPr>
          <w:rStyle w:val="InsertedText"/>
        </w:rPr>
        <w:t xml:space="preserve"> </w:t>
      </w:r>
      <w:r>
        <w:rPr>
          <w:rStyle w:val="InsertedText"/>
        </w:rPr>
        <w:t xml:space="preserve">implement temporal constraints on the consent. Consequently, authorisation is not represented as a permanent permission. Instead, the consent has a defined lifecycle and can subsequently be evaluated by the Consent Engine according to its temporal validity.</w:t>
      </w:r>
    </w:p>
    <w:p>
      <w:pPr>
        <w:pStyle w:val="InsertedPara"/>
      </w:pPr>
      <w:r>
        <w:rPr>
          <w:rStyle w:val="InsertedText"/>
        </w:rPr>
        <w:t xml:space="preserve">From a system perspective, this module therefore corresponds primarily to</w:t>
      </w:r>
      <w:r>
        <w:rPr>
          <w:rStyle w:val="InsertedText"/>
        </w:rPr>
        <w:t xml:space="preserve"> </w:t>
      </w:r>
      <w:r>
        <w:rPr>
          <w:rStyle w:val="InsertedText"/>
          <w:b/>
          <w:bCs/>
        </w:rPr>
        <w:t xml:space="preserve">Consent Object Construction and Patient Initiation</w:t>
      </w:r>
      <w:r>
        <w:rPr>
          <w:rStyle w:val="InsertedText"/>
        </w:rPr>
        <w:t xml:space="preserve">.</w:t>
      </w:r>
    </w:p>
    <w:bookmarkEnd w:id="134"/>
    <w:bookmarkStart w:id="138" w:name="guardian-cryptographic-approval"/>
    <w:p>
      <w:pPr>
        <w:pStyle w:val="Heading2"/>
      </w:pPr>
      <w:r>
        <w:rPr>
          <w:rStyle w:val="InsertedText"/>
        </w:rPr>
        <w:t xml:space="preserve">7.3 Guardian Cryptographic Approval</w:t>
      </w:r>
    </w:p>
    <w:p>
      <w:pPr>
        <w:pStyle w:val="InsertedPara"/>
      </w:pPr>
      <w:r>
        <w:rPr>
          <w:rStyle w:val="InsertedText"/>
        </w:rPr>
        <w:t xml:space="preserve">The second part is the</w:t>
      </w:r>
      <w:r>
        <w:rPr>
          <w:rStyle w:val="InsertedText"/>
        </w:rPr>
        <w:t xml:space="preserve"> </w:t>
      </w:r>
      <w:r>
        <w:rPr>
          <w:rStyle w:val="InsertedText"/>
          <w:b/>
          <w:bCs/>
        </w:rPr>
        <w:t xml:space="preserve">Guardian Cryptographic Approval</w:t>
      </w:r>
      <w:r>
        <w:rPr>
          <w:rStyle w:val="InsertedText"/>
        </w:rPr>
        <w:t xml:space="preserve">. As shown in the figure below, operationalises the multi-party authorisation component of the proposed framework.</w:t>
      </w:r>
    </w:p>
    <w:tbl>
      <w:tblPr>
        <w:tblStyle w:val="FigureTable"/>
        <w:tblW w:type="dxa" w:w="9072"/>
        <w:jc w:val="center"/>
        <w:tblLook w:firstRow="0" w:lastRow="0" w:firstColumn="0" w:lastColumn="0"/>
      </w:tblPr>
      <w:tblGrid>
        <w:gridCol w:w="9072"/>
      </w:tblGrid>
      <w:tr>
        <w:trPr>
          <w:cantSplit/>
        </w:trPr>
        <w:tc>
          <w:tcPr/>
          <w:p>
            <w:pPr>
              <w:pStyle w:val="Compact"/>
              <w:jc w:val="center"/>
            </w:pPr>
            <w:r>
              <w:drawing>
                <wp:inline>
                  <wp:extent cx="5465445" cy="2225799"/>
                  <wp:effectExtent b="0" l="0" r="0" t="0"/>
                  <wp:docPr descr="Figure 14: HALAH guardian subsystem – Guardian Cryptographic Approval" title="" id="136" name="Picture"/>
                  <a:graphic>
                    <a:graphicData uri="http://schemas.openxmlformats.org/drawingml/2006/picture">
                      <pic:pic>
                        <pic:nvPicPr>
                          <pic:cNvPr descr="halah_media/media/image2.png" id="137" name="Picture"/>
                          <pic:cNvPicPr>
                            <a:picLocks noChangeArrowheads="1" noChangeAspect="1"/>
                          </pic:cNvPicPr>
                        </pic:nvPicPr>
                        <pic:blipFill>
                          <a:blip r:embed="rId135"/>
                          <a:stretch>
                            <a:fillRect/>
                          </a:stretch>
                        </pic:blipFill>
                        <pic:spPr bwMode="auto">
                          <a:xfrm>
                            <a:off x="0" y="0"/>
                            <a:ext cx="5465445" cy="2225799"/>
                          </a:xfrm>
                          <a:prstGeom prst="rect">
                            <a:avLst/>
                          </a:prstGeom>
                          <a:noFill/>
                          <a:ln w="9525">
                            <a:noFill/>
                            <a:headEnd/>
                            <a:tailEnd/>
                          </a:ln>
                        </pic:spPr>
                      </pic:pic>
                    </a:graphicData>
                  </a:graphic>
                </wp:inline>
              </w:drawing>
            </w:r>
          </w:p>
        </w:tc>
      </w:tr>
    </w:tbl>
    <w:p>
      <w:pPr>
        <w:pStyle w:val="ImageCaption"/>
      </w:pPr>
      <w:r>
        <w:rPr>
          <w:rStyle w:val="InsertedText"/>
        </w:rPr>
        <w:t xml:space="preserve">Figure 14: HALAH guardian subsystem – Guardian Cryptographic Approval</w:t>
      </w:r>
    </w:p>
    <w:p>
      <w:pPr>
        <w:pStyle w:val="InsertedPara"/>
      </w:pPr>
      <w:r>
        <w:rPr>
          <w:rStyle w:val="InsertedText"/>
        </w:rPr>
        <w:t xml:space="preserve">The guardian first enters the target</w:t>
      </w:r>
      <w:r>
        <w:rPr>
          <w:rStyle w:val="InsertedText"/>
        </w:rPr>
        <w:t xml:space="preserve"> </w:t>
      </w:r>
      <w:r>
        <w:rPr>
          <w:rStyle w:val="InsertedText"/>
          <w:b/>
          <w:bCs/>
        </w:rPr>
        <w:t xml:space="preserve">Consent ID</w:t>
      </w:r>
      <w:r>
        <w:rPr>
          <w:rStyle w:val="InsertedText"/>
        </w:rPr>
        <w:t xml:space="preserve">, after which the system retrieves the corresponding active transaction and displays the associated patient DID. The guardian then selects and verifies their own Guardian DID identity.</w:t>
      </w:r>
    </w:p>
    <w:p>
      <w:pPr>
        <w:pStyle w:val="InsertedPara"/>
      </w:pPr>
      <w:r>
        <w:rPr>
          <w:rStyle w:val="InsertedText"/>
        </w:rPr>
        <w:t xml:space="preserve">The subsystem subsequently reports:</w:t>
      </w:r>
    </w:p>
    <w:p>
      <w:pPr>
        <w:pStyle w:val="InsertedPara"/>
      </w:pPr>
      <w:r>
        <w:rPr>
          <w:rStyle w:val="InsertedText"/>
        </w:rPr>
        <w:t xml:space="preserve">Identity verified. Multi-sig added: (2/2)</w:t>
      </w:r>
    </w:p>
    <w:p>
      <w:pPr>
        <w:pStyle w:val="InsertedPara"/>
      </w:pPr>
      <w:r>
        <w:rPr>
          <w:rStyle w:val="InsertedText"/>
        </w:rPr>
        <w:t xml:space="preserve">This is an important implementation-level demonstration because the consent is not activated merely because the patient created it. Instead, the system requires the predefined guardian approval condition to be satisfied.</w:t>
      </w:r>
    </w:p>
    <w:p>
      <w:pPr>
        <w:pStyle w:val="InsertedPara"/>
      </w:pPr>
      <w:r>
        <w:rPr>
          <w:rStyle w:val="InsertedText"/>
        </w:rPr>
        <w:t xml:space="preserve">The implementation therefore implements the logical authorisation rule:</w:t>
      </w:r>
    </w:p>
    <w:p>
      <w:pPr>
        <w:pStyle w:val="InsertedPara"/>
      </w:pPr>
      <m:oMathPara>
        <m:oMathParaPr>
          <m:jc m:val="center"/>
        </m:oMathParaPr>
        <m:oMath>
          <m:r>
            <w:rPr>
              <w:color w:val="C00000"/>
            </w:rPr>
            <m:t>D</m:t>
          </m:r>
          <m:r>
            <w:rPr>
              <w:color w:val="C00000"/>
            </w:rPr>
            <m:t>e</m:t>
          </m:r>
          <m:r>
            <w:rPr>
              <w:color w:val="C00000"/>
            </w:rPr>
            <m:t>c</m:t>
          </m:r>
          <m:r>
            <w:rPr>
              <w:color w:val="C00000"/>
            </w:rPr>
            <m:t>i</m:t>
          </m:r>
          <m:r>
            <w:rPr>
              <w:color w:val="C00000"/>
            </w:rPr>
            <m:t>s</m:t>
          </m:r>
          <m:r>
            <w:rPr>
              <w:color w:val="C00000"/>
            </w:rPr>
            <m:t>i</m:t>
          </m:r>
          <m:r>
            <w:rPr>
              <w:color w:val="C00000"/>
            </w:rPr>
            <m:t>o</m:t>
          </m:r>
          <m:r>
            <w:rPr>
              <w:color w:val="C00000"/>
            </w:rPr>
            <m:t>n</m:t>
          </m:r>
          <m:r>
            <m:rPr>
              <m:sty m:val="p"/>
            </m:rPr>
            <w:rPr>
              <w:color w:val="C00000"/>
            </w:rPr>
            <m:t>=</m:t>
          </m:r>
          <m:sSub>
            <m:e>
              <m:r>
                <w:rPr>
                  <w:color w:val="C00000"/>
                </w:rPr>
                <m:t>V</m:t>
              </m:r>
            </m:e>
            <m:sub>
              <m:r>
                <w:rPr>
                  <w:color w:val="C00000"/>
                </w:rPr>
                <m:t>I</m:t>
              </m:r>
            </m:sub>
          </m:sSub>
          <m:r>
            <m:rPr>
              <m:sty m:val="p"/>
            </m:rPr>
            <w:rPr>
              <w:color w:val="C00000"/>
            </w:rPr>
            <m:t>∧</m:t>
          </m:r>
          <m:sSub>
            <m:e>
              <m:r>
                <w:rPr>
                  <w:color w:val="C00000"/>
                </w:rPr>
                <m:t>V</m:t>
              </m:r>
            </m:e>
            <m:sub>
              <m:r>
                <w:rPr>
                  <w:color w:val="C00000"/>
                </w:rPr>
                <m:t>A</m:t>
              </m:r>
            </m:sub>
          </m:sSub>
          <m:r>
            <m:rPr>
              <m:sty m:val="p"/>
            </m:rPr>
            <w:rPr>
              <w:color w:val="C00000"/>
            </w:rPr>
            <m:t>∧</m:t>
          </m:r>
          <m:sSub>
            <m:e>
              <m:r>
                <w:rPr>
                  <w:color w:val="C00000"/>
                </w:rPr>
                <m:t>V</m:t>
              </m:r>
            </m:e>
            <m:sub>
              <m:r>
                <w:rPr>
                  <w:color w:val="C00000"/>
                </w:rPr>
                <m:t>P</m:t>
              </m:r>
            </m:sub>
          </m:sSub>
        </m:oMath>
      </m:oMathPara>
    </w:p>
    <w:p>
      <w:pPr>
        <w:pStyle w:val="InsertedPara"/>
      </w:pPr>
      <w:r>
        <w:rPr>
          <w:rStyle w:val="InsertedText"/>
        </w:rPr>
        <w:t xml:space="preserve">where identity verification, authorisation verification, and permission/scope verification must all be satisfied before access can be granted.</w:t>
      </w:r>
    </w:p>
    <w:p>
      <w:pPr>
        <w:pStyle w:val="InsertedPara"/>
      </w:pPr>
      <w:r>
        <w:rPr>
          <w:rStyle w:val="InsertedText"/>
        </w:rPr>
        <w:t xml:space="preserve">For the demonstrated two-party guardian configuration, the approval process can also be represented as:</w:t>
      </w:r>
    </w:p>
    <w:p>
      <w:pPr>
        <w:pStyle w:val="InsertedPara"/>
      </w:pPr>
      <m:oMathPara>
        <m:oMathParaPr>
          <m:jc m:val="center"/>
        </m:oMathParaPr>
        <m:oMath>
          <m:nary>
            <m:naryPr>
              <m:chr m:val="∑"/>
              <m:limLoc m:val="undOvr"/>
              <m:subHide m:val="off"/>
              <m:supHide m:val="on"/>
            </m:naryPr>
            <m:sub>
              <m:r>
                <w:rPr>
                  <w:color w:val="C00000"/>
                </w:rPr>
                <m:t>g</m:t>
              </m:r>
              <m:r>
                <m:rPr>
                  <m:sty m:val="p"/>
                </m:rPr>
                <w:rPr>
                  <w:color w:val="C00000"/>
                </w:rPr>
                <m:t>∈</m:t>
              </m:r>
              <m:r>
                <w:rPr>
                  <w:color w:val="C00000"/>
                </w:rPr>
                <m:t>G</m:t>
              </m:r>
            </m:sub>
            <m:sup>
              <m:r>
                <w:rPr>
                  <w:color w:val="C00000"/>
                </w:rPr>
                <m:t>​</m:t>
              </m:r>
            </m:sup>
            <m:e>
              <m:r>
                <w:rPr>
                  <w:color w:val="C00000"/>
                </w:rPr>
                <m:t>S</m:t>
              </m:r>
            </m:e>
          </m:nary>
          <m:r>
            <w:rPr>
              <w:color w:val="C00000"/>
            </w:rPr>
            <m:t>i</m:t>
          </m:r>
          <m:r>
            <w:rPr>
              <w:color w:val="C00000"/>
            </w:rPr>
            <m:t>g</m:t>
          </m:r>
          <m:r>
            <w:rPr>
              <w:color w:val="C00000"/>
            </w:rPr>
            <m:t>n</m:t>
          </m:r>
          <m:d>
            <m:dPr>
              <m:begChr m:val="("/>
              <m:sepChr m:val=""/>
              <m:endChr m:val=")"/>
              <m:grow/>
            </m:dPr>
            <m:e>
              <m:r>
                <w:rPr>
                  <w:color w:val="C00000"/>
                </w:rPr>
                <m:t>g</m:t>
              </m:r>
              <m:r>
                <m:rPr>
                  <m:sty m:val="p"/>
                </m:rPr>
                <w:rPr>
                  <w:color w:val="C00000"/>
                </w:rPr>
                <m:t>,</m:t>
              </m:r>
              <m:r>
                <w:rPr>
                  <w:color w:val="C00000"/>
                </w:rPr>
                <m:t>C</m:t>
              </m:r>
            </m:e>
          </m:d>
          <m:r>
            <m:rPr>
              <m:sty m:val="p"/>
            </m:rPr>
            <w:rPr>
              <w:color w:val="C00000"/>
            </w:rPr>
            <m:t>≥</m:t>
          </m:r>
          <m:r>
            <w:rPr>
              <w:color w:val="C00000"/>
            </w:rPr>
            <m:t>2</m:t>
          </m:r>
        </m:oMath>
      </m:oMathPara>
    </w:p>
    <w:p>
      <w:pPr>
        <w:pStyle w:val="InsertedPara"/>
      </w:pPr>
      <w:r>
        <w:rPr>
          <w:rStyle w:val="InsertedText"/>
        </w:rPr>
        <w:t xml:space="preserve">where</w:t>
      </w:r>
      <w:r>
        <w:rPr>
          <w:rStyle w:val="InsertedText"/>
        </w:rPr>
        <w:t xml:space="preserve"> </w:t>
      </w:r>
      <m:oMath>
        <m:r>
          <w:rPr>
            <w:color w:val="C00000"/>
          </w:rPr>
          <m:t>G</m:t>
        </m:r>
      </m:oMath>
      <w:r>
        <w:rPr>
          <w:rStyle w:val="InsertedText"/>
        </w:rPr>
        <w:t xml:space="preserve"> </w:t>
      </w:r>
      <w:r>
        <w:rPr>
          <w:rStyle w:val="InsertedText"/>
        </w:rPr>
        <w:t xml:space="preserve">represents the designated guardians and two valid signatures are required for activation. Once the required signatures have been obtained, the subsystem displays</w:t>
      </w:r>
      <w:r>
        <w:rPr>
          <w:rStyle w:val="InsertedText"/>
        </w:rPr>
        <w:t xml:space="preserve"> </w:t>
      </w:r>
      <w:r>
        <w:rPr>
          <w:rStyle w:val="InsertedText"/>
          <w:b/>
          <w:bCs/>
        </w:rPr>
        <w:t xml:space="preserve">SBT MINTED SUCCESS</w:t>
      </w:r>
      <w:r>
        <w:rPr>
          <w:rStyle w:val="InsertedText"/>
        </w:rPr>
        <w:t xml:space="preserve"> </w:t>
      </w:r>
      <w:r>
        <w:rPr>
          <w:rStyle w:val="InsertedText"/>
        </w:rPr>
        <w:t xml:space="preserve">together with the Soulbound Token identifier and the status as Consent Fully Activated. This provides a visible representation of the transition from a</w:t>
      </w:r>
      <w:r>
        <w:rPr>
          <w:rStyle w:val="InsertedText"/>
        </w:rPr>
        <w:t xml:space="preserve"> </w:t>
      </w:r>
      <w:r>
        <w:rPr>
          <w:rStyle w:val="InsertedText"/>
          <w:b/>
          <w:bCs/>
        </w:rPr>
        <w:t xml:space="preserve">pending consent transaction</w:t>
      </w:r>
      <w:r>
        <w:rPr>
          <w:rStyle w:val="InsertedText"/>
        </w:rPr>
        <w:t xml:space="preserve"> </w:t>
      </w:r>
      <w:r>
        <w:rPr>
          <w:rStyle w:val="InsertedText"/>
        </w:rPr>
        <w:t xml:space="preserve">to an</w:t>
      </w:r>
      <w:r>
        <w:rPr>
          <w:rStyle w:val="InsertedText"/>
        </w:rPr>
        <w:t xml:space="preserve"> </w:t>
      </w:r>
      <w:r>
        <w:rPr>
          <w:rStyle w:val="InsertedText"/>
          <w:b/>
          <w:bCs/>
        </w:rPr>
        <w:t xml:space="preserve">activated consent state</w:t>
      </w:r>
      <w:r>
        <w:rPr>
          <w:rStyle w:val="InsertedText"/>
        </w:rPr>
        <w:t xml:space="preserve">. The SBT therefore functions in the implementation as a persistent cryptographic representation of the completed consent authorisation rather than as a transferable asset.</w:t>
      </w:r>
    </w:p>
    <w:p>
      <w:pPr>
        <w:pStyle w:val="InsertedPara"/>
      </w:pPr>
      <w:r>
        <w:rPr>
          <w:rStyle w:val="InsertedText"/>
        </w:rPr>
        <w:t xml:space="preserve">The guardian subsystem consequently corresponds to</w:t>
      </w:r>
      <w:r>
        <w:rPr>
          <w:rStyle w:val="InsertedText"/>
        </w:rPr>
        <w:t xml:space="preserve"> </w:t>
      </w:r>
      <w:r>
        <w:rPr>
          <w:rStyle w:val="InsertedText"/>
          <w:b/>
          <w:bCs/>
        </w:rPr>
        <w:t xml:space="preserve">Multi-Party Approval, Cryptographic Verification and Consent Activation</w:t>
      </w:r>
      <w:r>
        <w:rPr>
          <w:rStyle w:val="InsertedText"/>
        </w:rPr>
        <w:t xml:space="preserve"> </w:t>
      </w:r>
      <w:r>
        <w:rPr>
          <w:rStyle w:val="InsertedText"/>
        </w:rPr>
        <w:t xml:space="preserve">in the proposed architecture.</w:t>
      </w:r>
    </w:p>
    <w:bookmarkEnd w:id="138"/>
    <w:bookmarkStart w:id="145" w:name="secure-patient-data-access-for-doctor"/>
    <w:p>
      <w:pPr>
        <w:pStyle w:val="Heading2"/>
      </w:pPr>
      <w:r>
        <w:rPr>
          <w:rStyle w:val="InsertedText"/>
        </w:rPr>
        <w:t xml:space="preserve">7.4 Secure Patient Data Access for Doctor</w:t>
      </w:r>
    </w:p>
    <w:p>
      <w:pPr>
        <w:pStyle w:val="InsertedPara"/>
      </w:pPr>
      <w:r>
        <w:rPr>
          <w:rStyle w:val="InsertedText"/>
        </w:rPr>
        <w:t xml:space="preserve">The third module is the</w:t>
      </w:r>
      <w:r>
        <w:rPr>
          <w:rStyle w:val="InsertedText"/>
        </w:rPr>
        <w:t xml:space="preserve"> </w:t>
      </w:r>
      <w:r>
        <w:rPr>
          <w:rStyle w:val="InsertedText"/>
          <w:b/>
          <w:bCs/>
        </w:rPr>
        <w:t xml:space="preserve">Secure Patient Data Access</w:t>
      </w:r>
      <w:r>
        <w:rPr>
          <w:rStyle w:val="InsertedText"/>
        </w:rPr>
        <w:t xml:space="preserve"> </w:t>
      </w:r>
      <w:r>
        <w:rPr>
          <w:rStyle w:val="InsertedText"/>
        </w:rPr>
        <w:t xml:space="preserve">module and represents the healthcare-provider side of the authorisation process.</w:t>
      </w:r>
    </w:p>
    <w:p>
      <w:pPr>
        <w:pStyle w:val="InsertedPara"/>
      </w:pPr>
      <w:r>
        <w:rPr>
          <w:rStyle w:val="InsertedText"/>
        </w:rPr>
        <w:t xml:space="preserve">The doctor enters an authorised Consent ID, after which the system retrieves and displays the associated consent information. The subsystem shows the patient DID, Consent ID, purpose, and current consent state:</w:t>
      </w:r>
    </w:p>
    <w:p>
      <w:pPr>
        <w:pStyle w:val="InsertedPara"/>
      </w:pPr>
      <m:oMathPara>
        <m:oMathParaPr>
          <m:jc m:val="center"/>
        </m:oMathParaPr>
        <m:oMath>
          <m:r>
            <w:rPr>
              <w:color w:val="C00000"/>
            </w:rPr>
            <m:t>S</m:t>
          </m:r>
          <m:r>
            <w:rPr>
              <w:color w:val="C00000"/>
            </w:rPr>
            <m:t>t</m:t>
          </m:r>
          <m:r>
            <w:rPr>
              <w:color w:val="C00000"/>
            </w:rPr>
            <m:t>a</m:t>
          </m:r>
          <m:r>
            <w:rPr>
              <w:color w:val="C00000"/>
            </w:rPr>
            <m:t>t</m:t>
          </m:r>
          <m:r>
            <w:rPr>
              <w:color w:val="C00000"/>
            </w:rPr>
            <m:t>e</m:t>
          </m:r>
          <m:r>
            <m:rPr>
              <m:sty m:val="p"/>
            </m:rPr>
            <w:rPr>
              <w:color w:val="C00000"/>
            </w:rPr>
            <m:t>=</m:t>
          </m:r>
          <m:r>
            <w:rPr>
              <w:color w:val="C00000"/>
            </w:rPr>
            <m:t>A</m:t>
          </m:r>
          <m:r>
            <w:rPr>
              <w:color w:val="C00000"/>
            </w:rPr>
            <m:t>C</m:t>
          </m:r>
          <m:r>
            <w:rPr>
              <w:color w:val="C00000"/>
            </w:rPr>
            <m:t>T</m:t>
          </m:r>
          <m:r>
            <w:rPr>
              <w:color w:val="C00000"/>
            </w:rPr>
            <m:t>I</m:t>
          </m:r>
          <m:r>
            <w:rPr>
              <w:color w:val="C00000"/>
            </w:rPr>
            <m:t>V</m:t>
          </m:r>
          <m:r>
            <w:rPr>
              <w:color w:val="C00000"/>
            </w:rPr>
            <m:t>E</m:t>
          </m:r>
        </m:oMath>
      </m:oMathPara>
    </w:p>
    <w:p>
      <w:pPr>
        <w:pStyle w:val="InsertedPara"/>
      </w:pPr>
      <w:r>
        <w:rPr>
          <w:rStyle w:val="InsertedText"/>
        </w:rPr>
        <w:t xml:space="preserve">This is important because the doctor does not directly access patient data based solely on possession of a Consent ID. The system first evaluates whether the underlying authorisation remains valid.</w:t>
      </w:r>
    </w:p>
    <w:tbl>
      <w:tblPr>
        <w:tblStyle w:val="FigureTable"/>
        <w:tblW w:type="dxa" w:w="9072"/>
        <w:jc w:val="center"/>
        <w:tblLook w:firstRow="0" w:lastRow="0" w:firstColumn="0" w:lastColumn="0"/>
      </w:tblPr>
      <w:tblGrid>
        <w:gridCol w:w="9072"/>
      </w:tblGrid>
      <w:tr>
        <w:trPr>
          <w:cantSplit/>
        </w:trPr>
        <w:tc>
          <w:tcPr/>
          <w:p>
            <w:pPr>
              <w:pStyle w:val="Compact"/>
              <w:jc w:val="center"/>
            </w:pPr>
            <w:r>
              <w:drawing>
                <wp:inline>
                  <wp:extent cx="5465445" cy="3388081"/>
                  <wp:effectExtent b="0" l="0" r="0" t="0"/>
                  <wp:docPr descr="Figure 15: HALAH doctor subsystem – consent information, state and authorised data scope" title="" id="140" name="Picture"/>
                  <a:graphic>
                    <a:graphicData uri="http://schemas.openxmlformats.org/drawingml/2006/picture">
                      <pic:pic>
                        <pic:nvPicPr>
                          <pic:cNvPr descr="halah_media/media/image3.png" id="141" name="Picture"/>
                          <pic:cNvPicPr>
                            <a:picLocks noChangeArrowheads="1" noChangeAspect="1"/>
                          </pic:cNvPicPr>
                        </pic:nvPicPr>
                        <pic:blipFill>
                          <a:blip r:embed="rId139"/>
                          <a:stretch>
                            <a:fillRect/>
                          </a:stretch>
                        </pic:blipFill>
                        <pic:spPr bwMode="auto">
                          <a:xfrm>
                            <a:off x="0" y="0"/>
                            <a:ext cx="5465445" cy="3388081"/>
                          </a:xfrm>
                          <a:prstGeom prst="rect">
                            <a:avLst/>
                          </a:prstGeom>
                          <a:noFill/>
                          <a:ln w="9525">
                            <a:noFill/>
                            <a:headEnd/>
                            <a:tailEnd/>
                          </a:ln>
                        </pic:spPr>
                      </pic:pic>
                    </a:graphicData>
                  </a:graphic>
                </wp:inline>
              </w:drawing>
            </w:r>
          </w:p>
        </w:tc>
      </w:tr>
    </w:tbl>
    <w:p>
      <w:pPr>
        <w:pStyle w:val="ImageCaption"/>
      </w:pPr>
      <w:r>
        <w:rPr>
          <w:rStyle w:val="InsertedText"/>
        </w:rPr>
        <w:t xml:space="preserve">Figure 15: HALAH doctor subsystem – consent information, state and authorised data scope</w:t>
      </w:r>
    </w:p>
    <w:p>
      <w:pPr>
        <w:pStyle w:val="InsertedPara"/>
      </w:pPr>
      <w:r>
        <w:rPr>
          <w:rStyle w:val="InsertedText"/>
        </w:rPr>
        <w:t xml:space="preserve">The subsystem then presents the</w:t>
      </w:r>
      <w:r>
        <w:rPr>
          <w:rStyle w:val="InsertedText"/>
        </w:rPr>
        <w:t xml:space="preserve"> </w:t>
      </w:r>
      <w:r>
        <w:rPr>
          <w:rStyle w:val="InsertedText"/>
          <w:b/>
          <w:bCs/>
        </w:rPr>
        <w:t xml:space="preserve">Authorised Data Scope</w:t>
      </w:r>
      <w:r>
        <w:rPr>
          <w:rStyle w:val="InsertedText"/>
        </w:rPr>
        <w:t xml:space="preserve">, showing that only the EMR modules specified in the original consent are available. In the demonstrated transaction, the authorised modules are:</w:t>
      </w:r>
    </w:p>
    <w:p>
      <w:pPr>
        <w:pStyle w:val="InsertedPara"/>
      </w:pPr>
      <m:oMathPara>
        <m:oMathParaPr>
          <m:jc m:val="center"/>
        </m:oMathParaPr>
        <m:oMath>
          <m:r>
            <w:rPr>
              <w:color w:val="C00000"/>
            </w:rPr>
            <m:t>S</m:t>
          </m:r>
          <m:r>
            <w:rPr>
              <w:color w:val="C00000"/>
            </w:rPr>
            <m:t>c</m:t>
          </m:r>
          <m:r>
            <w:rPr>
              <w:color w:val="C00000"/>
            </w:rPr>
            <m:t>o</m:t>
          </m:r>
          <m:r>
            <w:rPr>
              <w:color w:val="C00000"/>
            </w:rPr>
            <m:t>p</m:t>
          </m:r>
          <m:r>
            <w:rPr>
              <w:color w:val="C00000"/>
            </w:rPr>
            <m:t>e</m:t>
          </m:r>
          <m:r>
            <m:rPr>
              <m:sty m:val="p"/>
            </m:rPr>
            <w:rPr>
              <w:color w:val="C00000"/>
            </w:rPr>
            <m:t>=</m:t>
          </m:r>
          <m:d>
            <m:dPr>
              <m:begChr m:val="{"/>
              <m:sepChr m:val=""/>
              <m:endChr m:val="}"/>
              <m:grow/>
            </m:dPr>
            <m:e>
              <m:r>
                <m:rPr>
                  <m:nor/>
                </m:rPr>
                <w:rPr>
                  <w:color w:val="C00000"/>
                </w:rPr>
                <m:t>Medication</m:t>
              </m:r>
              <m:r>
                <m:rPr>
                  <m:sty m:val="p"/>
                </m:rPr>
                <w:rPr>
                  <w:color w:val="C00000"/>
                </w:rPr>
                <m:t>,</m:t>
              </m:r>
              <m:r>
                <m:rPr>
                  <m:nor/>
                </m:rPr>
                <w:rPr>
                  <w:color w:val="C00000"/>
                </w:rPr>
                <m:t>Procedure</m:t>
              </m:r>
            </m:e>
          </m:d>
        </m:oMath>
      </m:oMathPara>
    </w:p>
    <w:p>
      <w:pPr>
        <w:pStyle w:val="InsertedPara"/>
      </w:pPr>
      <w:r>
        <w:rPr>
          <w:rStyle w:val="InsertedText"/>
        </w:rPr>
        <w:t xml:space="preserve">The doctor must subsequently select the modules to request. The system displays the requested modules and performs cryptographic verification before granting access.</w:t>
      </w:r>
    </w:p>
    <w:p>
      <w:pPr>
        <w:pStyle w:val="InsertedPara"/>
      </w:pPr>
      <w:r>
        <w:rPr>
          <w:rStyle w:val="InsertedText"/>
        </w:rPr>
        <w:t xml:space="preserve">The message shows Cryptographic Verification Successful — Access Granted.</w:t>
      </w:r>
    </w:p>
    <w:p>
      <w:pPr>
        <w:pStyle w:val="InsertedPara"/>
      </w:pPr>
      <w:r>
        <w:rPr>
          <w:rStyle w:val="ReviewerNote"/>
        </w:rPr>
        <w:t xml:space="preserve">The next line of the HALAH document begins with</w:t>
      </w:r>
      <w:r>
        <w:rPr>
          <w:rStyle w:val="ReviewerNote"/>
        </w:rPr>
        <w:t xml:space="preserve"> </w:t>
      </w:r>
      <w:r>
        <w:rPr>
          <w:rStyle w:val="ReviewerNote"/>
        </w:rPr>
        <w:t xml:space="preserve">‘demonstrates…’</w:t>
      </w:r>
      <w:r>
        <w:rPr>
          <w:rStyle w:val="ReviewerNote"/>
        </w:rPr>
        <w:t xml:space="preserve"> </w:t>
      </w:r>
      <w:r>
        <w:rPr>
          <w:rStyle w:val="ReviewerNote"/>
        </w:rPr>
        <w:t xml:space="preserve">and has no subject; a display line may be missing there in the HALAH document.</w:t>
      </w:r>
    </w:p>
    <w:p>
      <w:pPr>
        <w:pStyle w:val="InsertedPara"/>
      </w:pPr>
      <w:r>
        <w:rPr>
          <w:rStyle w:val="InsertedText"/>
        </w:rPr>
        <w:t xml:space="preserve">demonstrates the transition from</w:t>
      </w:r>
      <w:r>
        <w:rPr>
          <w:rStyle w:val="InsertedText"/>
        </w:rPr>
        <w:t xml:space="preserve"> </w:t>
      </w:r>
      <w:r>
        <w:rPr>
          <w:rStyle w:val="InsertedText"/>
          <w:b/>
          <w:bCs/>
        </w:rPr>
        <w:t xml:space="preserve">consent verification</w:t>
      </w:r>
      <w:r>
        <w:rPr>
          <w:rStyle w:val="InsertedText"/>
        </w:rPr>
        <w:t xml:space="preserve"> </w:t>
      </w:r>
      <w:r>
        <w:rPr>
          <w:rStyle w:val="InsertedText"/>
        </w:rPr>
        <w:t xml:space="preserve">to</w:t>
      </w:r>
      <w:r>
        <w:rPr>
          <w:rStyle w:val="InsertedText"/>
        </w:rPr>
        <w:t xml:space="preserve"> </w:t>
      </w:r>
      <w:r>
        <w:rPr>
          <w:rStyle w:val="InsertedText"/>
          <w:b/>
          <w:bCs/>
        </w:rPr>
        <w:t xml:space="preserve">data-access authorisation</w:t>
      </w:r>
      <w:r>
        <w:rPr>
          <w:rStyle w:val="InsertedText"/>
        </w:rPr>
        <w:t xml:space="preserve">.</w:t>
      </w:r>
    </w:p>
    <w:tbl>
      <w:tblPr>
        <w:tblStyle w:val="FigureTable"/>
        <w:tblW w:type="dxa" w:w="9072"/>
        <w:jc w:val="center"/>
        <w:tblLook w:firstRow="0" w:lastRow="0" w:firstColumn="0" w:lastColumn="0"/>
      </w:tblPr>
      <w:tblGrid>
        <w:gridCol w:w="9072"/>
      </w:tblGrid>
      <w:tr>
        <w:trPr>
          <w:cantSplit/>
        </w:trPr>
        <w:tc>
          <w:tcPr/>
          <w:p>
            <w:pPr>
              <w:pStyle w:val="Compact"/>
              <w:jc w:val="center"/>
            </w:pPr>
            <w:r>
              <w:drawing>
                <wp:inline>
                  <wp:extent cx="5465445" cy="3048937"/>
                  <wp:effectExtent b="0" l="0" r="0" t="0"/>
                  <wp:docPr descr="Figure 16: HALAH doctor subsystem – requested modules, access decision and authorised medical records" title="" id="143" name="Picture"/>
                  <a:graphic>
                    <a:graphicData uri="http://schemas.openxmlformats.org/drawingml/2006/picture">
                      <pic:pic>
                        <pic:nvPicPr>
                          <pic:cNvPr descr="halah_media/media/image4.png" id="144" name="Picture"/>
                          <pic:cNvPicPr>
                            <a:picLocks noChangeArrowheads="1" noChangeAspect="1"/>
                          </pic:cNvPicPr>
                        </pic:nvPicPr>
                        <pic:blipFill>
                          <a:blip r:embed="rId142"/>
                          <a:stretch>
                            <a:fillRect/>
                          </a:stretch>
                        </pic:blipFill>
                        <pic:spPr bwMode="auto">
                          <a:xfrm>
                            <a:off x="0" y="0"/>
                            <a:ext cx="5465445" cy="3048937"/>
                          </a:xfrm>
                          <a:prstGeom prst="rect">
                            <a:avLst/>
                          </a:prstGeom>
                          <a:noFill/>
                          <a:ln w="9525">
                            <a:noFill/>
                            <a:headEnd/>
                            <a:tailEnd/>
                          </a:ln>
                        </pic:spPr>
                      </pic:pic>
                    </a:graphicData>
                  </a:graphic>
                </wp:inline>
              </w:drawing>
            </w:r>
          </w:p>
        </w:tc>
      </w:tr>
    </w:tbl>
    <w:p>
      <w:pPr>
        <w:pStyle w:val="ImageCaption"/>
      </w:pPr>
      <w:r>
        <w:rPr>
          <w:rStyle w:val="InsertedText"/>
        </w:rPr>
        <w:t xml:space="preserve">Figure 16: HALAH doctor subsystem – requested modules, access decision and authorised medical records</w:t>
      </w:r>
    </w:p>
    <w:p>
      <w:pPr>
        <w:pStyle w:val="InsertedPara"/>
      </w:pPr>
      <w:r>
        <w:rPr>
          <w:rStyle w:val="InsertedText"/>
        </w:rPr>
        <w:t xml:space="preserve">This distinction is central to the HALAH design. Consent and data access are not treated as identical events. Instead, it goes the flow as below</w:t>
      </w:r>
    </w:p>
    <w:p>
      <w:pPr>
        <w:pStyle w:val="InsertedPara"/>
      </w:pPr>
      <m:oMathPara>
        <m:oMathParaPr>
          <m:jc m:val="center"/>
        </m:oMathParaPr>
        <m:oMath>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r>
            <m:rPr>
              <m:sty m:val="p"/>
            </m:rPr>
            <w:rPr>
              <w:color w:val="C00000"/>
            </w:rPr>
            <m:t>→</m:t>
          </m:r>
          <m:r>
            <w:rPr>
              <w:color w:val="C00000"/>
            </w:rPr>
            <m:t>V</m:t>
          </m:r>
          <m:r>
            <w:rPr>
              <w:color w:val="C00000"/>
            </w:rPr>
            <m:t>e</m:t>
          </m:r>
          <m:r>
            <w:rPr>
              <w:color w:val="C00000"/>
            </w:rPr>
            <m:t>r</m:t>
          </m:r>
          <m:r>
            <w:rPr>
              <w:color w:val="C00000"/>
            </w:rPr>
            <m:t>i</m:t>
          </m:r>
          <m:r>
            <w:rPr>
              <w:color w:val="C00000"/>
            </w:rPr>
            <m:t>f</m:t>
          </m:r>
          <m:r>
            <w:rPr>
              <w:color w:val="C00000"/>
            </w:rPr>
            <m:t>i</m:t>
          </m:r>
          <m:r>
            <w:rPr>
              <w:color w:val="C00000"/>
            </w:rPr>
            <m:t>c</m:t>
          </m:r>
          <m:r>
            <w:rPr>
              <w:color w:val="C00000"/>
            </w:rPr>
            <m:t>a</m:t>
          </m:r>
          <m:r>
            <w:rPr>
              <w:color w:val="C00000"/>
            </w:rPr>
            <m:t>t</m:t>
          </m:r>
          <m:r>
            <w:rPr>
              <w:color w:val="C00000"/>
            </w:rPr>
            <m:t>i</m:t>
          </m:r>
          <m:r>
            <w:rPr>
              <w:color w:val="C00000"/>
            </w:rPr>
            <m:t>o</m:t>
          </m:r>
          <m:r>
            <w:rPr>
              <w:color w:val="C00000"/>
            </w:rPr>
            <m:t>n</m:t>
          </m:r>
          <m:r>
            <m:rPr>
              <m:sty m:val="p"/>
            </m:rPr>
            <w:rPr>
              <w:color w:val="C00000"/>
            </w:rPr>
            <m:t>→</m:t>
          </m:r>
          <m:r>
            <w:rPr>
              <w:color w:val="C00000"/>
            </w:rPr>
            <m:t>A</m:t>
          </m:r>
          <m:r>
            <w:rPr>
              <w:color w:val="C00000"/>
            </w:rPr>
            <m:t>c</m:t>
          </m:r>
          <m:r>
            <w:rPr>
              <w:color w:val="C00000"/>
            </w:rPr>
            <m:t>c</m:t>
          </m:r>
          <m:r>
            <w:rPr>
              <w:color w:val="C00000"/>
            </w:rPr>
            <m:t>e</m:t>
          </m:r>
          <m:r>
            <w:rPr>
              <w:color w:val="C00000"/>
            </w:rPr>
            <m:t>s</m:t>
          </m:r>
          <m:r>
            <w:rPr>
              <w:color w:val="C00000"/>
            </w:rPr>
            <m:t>s</m:t>
          </m:r>
          <m:r>
            <w:rPr>
              <w:color w:val="C00000"/>
            </w:rPr>
            <m:t>D</m:t>
          </m:r>
          <m:r>
            <w:rPr>
              <w:color w:val="C00000"/>
            </w:rPr>
            <m:t>e</m:t>
          </m:r>
          <m:r>
            <w:rPr>
              <w:color w:val="C00000"/>
            </w:rPr>
            <m:t>c</m:t>
          </m:r>
          <m:r>
            <w:rPr>
              <w:color w:val="C00000"/>
            </w:rPr>
            <m:t>i</m:t>
          </m:r>
          <m:r>
            <w:rPr>
              <w:color w:val="C00000"/>
            </w:rPr>
            <m:t>s</m:t>
          </m:r>
          <m:r>
            <w:rPr>
              <w:color w:val="C00000"/>
            </w:rPr>
            <m:t>i</m:t>
          </m:r>
          <m:r>
            <w:rPr>
              <w:color w:val="C00000"/>
            </w:rPr>
            <m:t>o</m:t>
          </m:r>
          <m:r>
            <w:rPr>
              <w:color w:val="C00000"/>
            </w:rPr>
            <m:t>n</m:t>
          </m:r>
        </m:oMath>
      </m:oMathPara>
    </w:p>
    <w:p>
      <w:pPr>
        <w:pStyle w:val="InsertedPara"/>
      </w:pPr>
      <w:r>
        <w:rPr>
          <w:rStyle w:val="InsertedText"/>
        </w:rPr>
        <w:t xml:space="preserve">The doctor is therefore authorised only when the requested resources are consistent with the consent object and the consent remains active.</w:t>
      </w:r>
    </w:p>
    <w:p>
      <w:pPr>
        <w:pStyle w:val="InsertedPara"/>
      </w:pPr>
      <w:r>
        <w:rPr>
          <w:rStyle w:val="InsertedText"/>
        </w:rPr>
        <w:t xml:space="preserve">The final</w:t>
      </w:r>
      <w:r>
        <w:rPr>
          <w:rStyle w:val="InsertedText"/>
        </w:rPr>
        <w:t xml:space="preserve"> </w:t>
      </w:r>
      <w:r>
        <w:rPr>
          <w:rStyle w:val="InsertedText"/>
          <w:b/>
          <w:bCs/>
        </w:rPr>
        <w:t xml:space="preserve">Authorised Medical Records</w:t>
      </w:r>
      <w:r>
        <w:rPr>
          <w:rStyle w:val="InsertedText"/>
        </w:rPr>
        <w:t xml:space="preserve"> </w:t>
      </w:r>
      <w:r>
        <w:rPr>
          <w:rStyle w:val="InsertedText"/>
        </w:rPr>
        <w:t xml:space="preserve">section presents the actual data modules available to the doctor. Because the subsystem separates MEDICATION and PROCEDURE modules, it provides a direct visual demonstration of</w:t>
      </w:r>
      <w:r>
        <w:rPr>
          <w:rStyle w:val="InsertedText"/>
        </w:rPr>
        <w:t xml:space="preserve"> </w:t>
      </w:r>
      <w:r>
        <w:rPr>
          <w:rStyle w:val="InsertedText"/>
          <w:b/>
          <w:bCs/>
        </w:rPr>
        <w:t xml:space="preserve">fine-grained EMR access control</w:t>
      </w:r>
      <w:r>
        <w:rPr>
          <w:rStyle w:val="InsertedText"/>
        </w:rPr>
        <w:t xml:space="preserve">.</w:t>
      </w:r>
    </w:p>
    <w:p>
      <w:pPr>
        <w:pStyle w:val="InsertedPara"/>
      </w:pPr>
      <w:r>
        <w:rPr>
          <w:rStyle w:val="InsertedText"/>
        </w:rPr>
        <w:t xml:space="preserve">Thus, the doctor subsystem corresponds to</w:t>
      </w:r>
      <w:r>
        <w:rPr>
          <w:rStyle w:val="InsertedText"/>
        </w:rPr>
        <w:t xml:space="preserve"> </w:t>
      </w:r>
      <w:r>
        <w:rPr>
          <w:rStyle w:val="InsertedText"/>
          <w:b/>
          <w:bCs/>
        </w:rPr>
        <w:t xml:space="preserve">Consent-State Validation, Scope Enforcement and Authorised Data Access</w:t>
      </w:r>
      <w:r>
        <w:rPr>
          <w:rStyle w:val="InsertedText"/>
        </w:rPr>
        <w:t xml:space="preserve">.</w:t>
      </w:r>
    </w:p>
    <w:bookmarkEnd w:id="145"/>
    <w:bookmarkStart w:id="149" w:name="X57c96dacccf675fd0ab00cb69daa4402dc4878a"/>
    <w:p>
      <w:pPr>
        <w:pStyle w:val="Heading2"/>
      </w:pPr>
      <w:r>
        <w:rPr>
          <w:rStyle w:val="InsertedText"/>
        </w:rPr>
        <w:t xml:space="preserve">7.5 Blockchain Audit &amp; Consent Lifecycle for Auditor</w:t>
      </w:r>
    </w:p>
    <w:p>
      <w:pPr>
        <w:pStyle w:val="InsertedPara"/>
      </w:pPr>
      <w:r>
        <w:rPr>
          <w:rStyle w:val="InsertedText"/>
        </w:rPr>
        <w:t xml:space="preserve">The fourth major module is the</w:t>
      </w:r>
      <w:r>
        <w:rPr>
          <w:rStyle w:val="InsertedText"/>
        </w:rPr>
        <w:t xml:space="preserve"> </w:t>
      </w:r>
      <w:r>
        <w:rPr>
          <w:rStyle w:val="InsertedText"/>
          <w:b/>
          <w:bCs/>
        </w:rPr>
        <w:t xml:space="preserve">Blockchain Audit &amp; Consent Lifecycle</w:t>
      </w:r>
      <w:r>
        <w:rPr>
          <w:rStyle w:val="InsertedText"/>
        </w:rPr>
        <w:t xml:space="preserve"> </w:t>
      </w:r>
      <w:r>
        <w:rPr>
          <w:rStyle w:val="InsertedText"/>
        </w:rPr>
        <w:t xml:space="preserve">module. This subsystem provides an independent view of the complete consent process and corresponds to the auditability and accountability component of the HALAH framework.</w:t>
      </w:r>
    </w:p>
    <w:tbl>
      <w:tblPr>
        <w:tblStyle w:val="FigureTable"/>
        <w:tblW w:type="dxa" w:w="9072"/>
        <w:jc w:val="center"/>
        <w:tblLook w:firstRow="0" w:lastRow="0" w:firstColumn="0" w:lastColumn="0"/>
      </w:tblPr>
      <w:tblGrid>
        <w:gridCol w:w="9072"/>
      </w:tblGrid>
      <w:tr>
        <w:trPr>
          <w:cantSplit/>
        </w:trPr>
        <w:tc>
          <w:tcPr/>
          <w:p>
            <w:pPr>
              <w:pStyle w:val="Compact"/>
              <w:jc w:val="center"/>
            </w:pPr>
            <w:r>
              <w:drawing>
                <wp:inline>
                  <wp:extent cx="5465445" cy="2905354"/>
                  <wp:effectExtent b="0" l="0" r="0" t="0"/>
                  <wp:docPr descr="Figure 17: HALAH auditor subsystem – Blockchain Audit &amp; Consent Lifecycle" title="" id="147" name="Picture"/>
                  <a:graphic>
                    <a:graphicData uri="http://schemas.openxmlformats.org/drawingml/2006/picture">
                      <pic:pic>
                        <pic:nvPicPr>
                          <pic:cNvPr descr="halah_media/media/image5.png" id="148" name="Picture"/>
                          <pic:cNvPicPr>
                            <a:picLocks noChangeArrowheads="1" noChangeAspect="1"/>
                          </pic:cNvPicPr>
                        </pic:nvPicPr>
                        <pic:blipFill>
                          <a:blip r:embed="rId146"/>
                          <a:stretch>
                            <a:fillRect/>
                          </a:stretch>
                        </pic:blipFill>
                        <pic:spPr bwMode="auto">
                          <a:xfrm>
                            <a:off x="0" y="0"/>
                            <a:ext cx="5465445" cy="2905354"/>
                          </a:xfrm>
                          <a:prstGeom prst="rect">
                            <a:avLst/>
                          </a:prstGeom>
                          <a:noFill/>
                          <a:ln w="9525">
                            <a:noFill/>
                            <a:headEnd/>
                            <a:tailEnd/>
                          </a:ln>
                        </pic:spPr>
                      </pic:pic>
                    </a:graphicData>
                  </a:graphic>
                </wp:inline>
              </w:drawing>
            </w:r>
          </w:p>
        </w:tc>
      </w:tr>
    </w:tbl>
    <w:p>
      <w:pPr>
        <w:pStyle w:val="ImageCaption"/>
      </w:pPr>
      <w:r>
        <w:rPr>
          <w:rStyle w:val="InsertedText"/>
        </w:rPr>
        <w:t xml:space="preserve">Figure 17: HALAH auditor subsystem – Blockchain Audit &amp; Consent Lifecycle</w:t>
      </w:r>
    </w:p>
    <w:p>
      <w:pPr>
        <w:pStyle w:val="InsertedPara"/>
      </w:pPr>
      <w:r>
        <w:rPr>
          <w:rStyle w:val="InsertedText"/>
        </w:rPr>
        <w:t xml:space="preserve">As shown in the figure above, the system first provides aggregate indicators including:</w:t>
      </w:r>
    </w:p>
    <w:p>
      <w:pPr>
        <w:pStyle w:val="InsertedPara"/>
      </w:pPr>
      <m:oMathPara>
        <m:oMathParaPr>
          <m:jc m:val="center"/>
        </m:oMathParaPr>
        <m:oMath>
          <m:m>
            <m:mPr>
              <m:baseJc m:val="center"/>
              <m:plcHide m:val="on"/>
              <m:mcs>
                <m:mc>
                  <m:mcPr>
                    <m:count m:val="1"/>
                    <m:mcJc m:val="left"/>
                  </m:mcPr>
                </m:mc>
              </m:mcs>
            </m:mPr>
            <m:mr>
              <m:e>
                <m:r>
                  <m:rPr>
                    <m:nor/>
                  </m:rPr>
                  <w:rPr>
                    <w:color w:val="C00000"/>
                  </w:rPr>
                  <m:t>Total Events</m:t>
                </m:r>
                <m:r>
                  <m:rPr>
                    <m:sty m:val="p"/>
                  </m:rPr>
                  <w:rPr>
                    <w:color w:val="C00000"/>
                  </w:rPr>
                  <m:t>=</m:t>
                </m:r>
                <m:r>
                  <w:rPr>
                    <w:color w:val="C00000"/>
                  </w:rPr>
                  <m:t>21</m:t>
                </m:r>
              </m:e>
            </m:mr>
            <m:mr>
              <m:e>
                <m:r>
                  <m:rPr>
                    <m:nor/>
                  </m:rPr>
                  <w:rPr>
                    <w:color w:val="C00000"/>
                  </w:rPr>
                  <m:t>Consent Events</m:t>
                </m:r>
                <m:r>
                  <m:rPr>
                    <m:sty m:val="p"/>
                  </m:rPr>
                  <w:rPr>
                    <w:color w:val="C00000"/>
                  </w:rPr>
                  <m:t>=</m:t>
                </m:r>
                <m:r>
                  <w:rPr>
                    <w:color w:val="C00000"/>
                  </w:rPr>
                  <m:t>3</m:t>
                </m:r>
              </m:e>
            </m:mr>
            <m:mr>
              <m:e>
                <m:r>
                  <m:rPr>
                    <m:nor/>
                  </m:rPr>
                  <w:rPr>
                    <w:color w:val="C00000"/>
                  </w:rPr>
                  <m:t>Access Requests</m:t>
                </m:r>
                <m:r>
                  <m:rPr>
                    <m:sty m:val="p"/>
                  </m:rPr>
                  <w:rPr>
                    <w:color w:val="C00000"/>
                  </w:rPr>
                  <m:t>=</m:t>
                </m:r>
                <m:r>
                  <w:rPr>
                    <w:color w:val="C00000"/>
                  </w:rPr>
                  <m:t>3</m:t>
                </m:r>
              </m:e>
            </m:mr>
          </m:m>
        </m:oMath>
      </m:oMathPara>
    </w:p>
    <w:p>
      <w:pPr>
        <w:pStyle w:val="InsertedPara"/>
      </w:pPr>
      <w:r>
        <w:rPr>
          <w:rStyle w:val="InsertedText"/>
        </w:rPr>
        <w:t xml:space="preserve">and:</w:t>
      </w:r>
    </w:p>
    <w:p>
      <w:pPr>
        <w:pStyle w:val="InsertedPara"/>
      </w:pPr>
      <m:oMathPara>
        <m:oMathParaPr>
          <m:jc m:val="center"/>
        </m:oMathParaPr>
        <m:oMath>
          <m:r>
            <m:rPr>
              <m:nor/>
            </m:rPr>
            <w:rPr>
              <w:color w:val="C00000"/>
            </w:rPr>
            <m:t>Blockchain Integrity</m:t>
          </m:r>
          <m:r>
            <m:rPr>
              <m:sty m:val="p"/>
            </m:rPr>
            <w:rPr>
              <w:color w:val="C00000"/>
            </w:rPr>
            <m:t>=</m:t>
          </m:r>
          <m:r>
            <m:rPr>
              <m:nor/>
            </m:rPr>
            <w:rPr>
              <w:color w:val="C00000"/>
            </w:rPr>
            <m:t>VERIFIED</m:t>
          </m:r>
        </m:oMath>
      </m:oMathPara>
    </w:p>
    <w:p>
      <w:pPr>
        <w:pStyle w:val="InsertedPara"/>
      </w:pPr>
      <w:r>
        <w:rPr>
          <w:rStyle w:val="InsertedText"/>
        </w:rPr>
        <w:t xml:space="preserve">These indicators give the auditor an immediate overview of the recorded system activity and the integrity status of the underlying ledger.</w:t>
      </w:r>
    </w:p>
    <w:p>
      <w:pPr>
        <w:pStyle w:val="InsertedPara"/>
      </w:pPr>
      <w:r>
        <w:rPr>
          <w:rStyle w:val="InsertedText"/>
        </w:rPr>
        <w:t xml:space="preserve">More importantly, the</w:t>
      </w:r>
      <w:r>
        <w:rPr>
          <w:rStyle w:val="InsertedText"/>
        </w:rPr>
        <w:t xml:space="preserve"> </w:t>
      </w:r>
      <w:r>
        <w:rPr>
          <w:rStyle w:val="InsertedText"/>
          <w:b/>
          <w:bCs/>
        </w:rPr>
        <w:t xml:space="preserve">Consent Lifecycle</w:t>
      </w:r>
      <w:r>
        <w:rPr>
          <w:rStyle w:val="InsertedText"/>
        </w:rPr>
        <w:t xml:space="preserve"> </w:t>
      </w:r>
      <w:r>
        <w:rPr>
          <w:rStyle w:val="InsertedText"/>
        </w:rPr>
        <w:t xml:space="preserve">section reconstructs the sequence of events associated with a particular consent. The displayed records include:</w:t>
      </w:r>
      <w:r>
        <w:rPr>
          <w:rStyle w:val="InsertedText"/>
        </w:rPr>
        <w:t xml:space="preserve"> </w:t>
      </w:r>
      <m:oMath>
        <m:r>
          <w:rPr>
            <w:color w:val="C00000"/>
          </w:rPr>
          <m:t>C</m:t>
        </m:r>
        <m:r>
          <w:rPr>
            <w:color w:val="C00000"/>
          </w:rPr>
          <m:t>R</m:t>
        </m:r>
        <m:r>
          <w:rPr>
            <w:color w:val="C00000"/>
          </w:rPr>
          <m:t>E</m:t>
        </m:r>
        <m:r>
          <w:rPr>
            <w:color w:val="C00000"/>
          </w:rPr>
          <m:t>A</m:t>
        </m:r>
        <m:r>
          <w:rPr>
            <w:color w:val="C00000"/>
          </w:rPr>
          <m:t>T</m:t>
        </m:r>
        <m:r>
          <w:rPr>
            <w:color w:val="C00000"/>
          </w:rPr>
          <m:t>E</m:t>
        </m:r>
        <m:r>
          <m:rPr>
            <m:nor/>
          </m:rPr>
          <w:rPr>
            <w:color w:val="C00000"/>
          </w:rPr>
          <m:t>_</m:t>
        </m:r>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oMath>
    </w:p>
    <w:p>
      <w:pPr>
        <w:pStyle w:val="InsertedPara"/>
      </w:pPr>
      <w:r>
        <w:rPr>
          <w:rStyle w:val="InsertedText"/>
        </w:rPr>
        <w:t xml:space="preserve">performed by the patient, followed by:</w:t>
      </w:r>
      <w:r>
        <w:rPr>
          <w:rStyle w:val="InsertedText"/>
        </w:rPr>
        <w:t xml:space="preserve"> </w:t>
      </w:r>
      <m:oMath>
        <m:r>
          <w:rPr>
            <w:color w:val="C00000"/>
          </w:rPr>
          <m:t>S</m:t>
        </m:r>
        <m:r>
          <w:rPr>
            <w:color w:val="C00000"/>
          </w:rPr>
          <m:t>I</m:t>
        </m:r>
        <m:r>
          <w:rPr>
            <w:color w:val="C00000"/>
          </w:rPr>
          <m:t>G</m:t>
        </m:r>
        <m:r>
          <w:rPr>
            <w:color w:val="C00000"/>
          </w:rPr>
          <m:t>N</m:t>
        </m:r>
        <m:r>
          <m:rPr>
            <m:nor/>
          </m:rPr>
          <w:rPr>
            <w:color w:val="C00000"/>
          </w:rPr>
          <m:t>_</m:t>
        </m:r>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oMath>
    </w:p>
    <w:p>
      <w:pPr>
        <w:pStyle w:val="InsertedPara"/>
      </w:pPr>
      <w:r>
        <w:rPr>
          <w:rStyle w:val="InsertedText"/>
        </w:rPr>
        <w:t xml:space="preserve">performed by the guardians, followed by:</w:t>
      </w:r>
      <w:r>
        <w:rPr>
          <w:rStyle w:val="InsertedText"/>
        </w:rPr>
        <w:t xml:space="preserve"> </w:t>
      </w:r>
      <m:oMath>
        <m:r>
          <w:rPr>
            <w:color w:val="C00000"/>
          </w:rPr>
          <m:t>M</m:t>
        </m:r>
        <m:r>
          <w:rPr>
            <w:color w:val="C00000"/>
          </w:rPr>
          <m:t>I</m:t>
        </m:r>
        <m:r>
          <w:rPr>
            <w:color w:val="C00000"/>
          </w:rPr>
          <m:t>N</m:t>
        </m:r>
        <m:r>
          <w:rPr>
            <w:color w:val="C00000"/>
          </w:rPr>
          <m:t>T</m:t>
        </m:r>
        <m:r>
          <m:rPr>
            <m:nor/>
          </m:rPr>
          <w:rPr>
            <w:color w:val="C00000"/>
          </w:rPr>
          <m:t>_</m:t>
        </m:r>
        <m:r>
          <w:rPr>
            <w:color w:val="C00000"/>
          </w:rPr>
          <m:t>S</m:t>
        </m:r>
        <m:r>
          <w:rPr>
            <w:color w:val="C00000"/>
          </w:rPr>
          <m:t>B</m:t>
        </m:r>
        <m:r>
          <w:rPr>
            <w:color w:val="C00000"/>
          </w:rPr>
          <m:t>T</m:t>
        </m:r>
      </m:oMath>
    </w:p>
    <w:p>
      <w:pPr>
        <w:pStyle w:val="InsertedPara"/>
      </w:pPr>
      <w:r>
        <w:rPr>
          <w:rStyle w:val="InsertedText"/>
        </w:rPr>
        <w:t xml:space="preserve">performed by the smart contract.</w:t>
      </w:r>
    </w:p>
    <w:p>
      <w:pPr>
        <w:pStyle w:val="InsertedPara"/>
      </w:pPr>
      <w:r>
        <w:rPr>
          <w:rStyle w:val="InsertedText"/>
        </w:rPr>
        <w:t xml:space="preserve">The subsequent system events:</w:t>
      </w:r>
      <w:r>
        <w:rPr>
          <w:rStyle w:val="InsertedText"/>
        </w:rPr>
        <w:t xml:space="preserve"> </w:t>
      </w:r>
      <m:oMath>
        <m:r>
          <w:rPr>
            <w:color w:val="C00000"/>
          </w:rPr>
          <m:t>S</m:t>
        </m:r>
        <m:r>
          <w:rPr>
            <w:color w:val="C00000"/>
          </w:rPr>
          <m:t>T</m:t>
        </m:r>
        <m:r>
          <w:rPr>
            <w:color w:val="C00000"/>
          </w:rPr>
          <m:t>A</m:t>
        </m:r>
        <m:r>
          <w:rPr>
            <w:color w:val="C00000"/>
          </w:rPr>
          <m:t>T</m:t>
        </m:r>
        <m:r>
          <w:rPr>
            <w:color w:val="C00000"/>
          </w:rPr>
          <m:t>E</m:t>
        </m:r>
        <m:r>
          <m:rPr>
            <m:nor/>
          </m:rPr>
          <w:rPr>
            <w:color w:val="C00000"/>
          </w:rPr>
          <m:t>_</m:t>
        </m:r>
        <m:r>
          <w:rPr>
            <w:color w:val="C00000"/>
          </w:rPr>
          <m:t>C</m:t>
        </m:r>
        <m:r>
          <w:rPr>
            <w:color w:val="C00000"/>
          </w:rPr>
          <m:t>H</m:t>
        </m:r>
        <m:r>
          <w:rPr>
            <w:color w:val="C00000"/>
          </w:rPr>
          <m:t>E</m:t>
        </m:r>
        <m:r>
          <w:rPr>
            <w:color w:val="C00000"/>
          </w:rPr>
          <m:t>C</m:t>
        </m:r>
        <m:r>
          <w:rPr>
            <w:color w:val="C00000"/>
          </w:rPr>
          <m:t>K</m:t>
        </m:r>
      </m:oMath>
    </w:p>
    <w:p>
      <w:pPr>
        <w:pStyle w:val="InsertedPara"/>
      </w:pPr>
      <w:r>
        <w:rPr>
          <w:rStyle w:val="InsertedText"/>
        </w:rPr>
        <w:t xml:space="preserve">demonstrate that the Consent Engine continuously evaluates the state of the authorisation. Finally, the doctor generates:</w:t>
      </w:r>
      <w:r>
        <w:rPr>
          <w:rStyle w:val="InsertedText"/>
        </w:rPr>
        <w:t xml:space="preserve"> </w:t>
      </w:r>
      <m:oMath>
        <m:r>
          <w:rPr>
            <w:color w:val="C00000"/>
          </w:rPr>
          <m:t>D</m:t>
        </m:r>
        <m:r>
          <w:rPr>
            <w:color w:val="C00000"/>
          </w:rPr>
          <m:t>A</m:t>
        </m:r>
        <m:r>
          <w:rPr>
            <w:color w:val="C00000"/>
          </w:rPr>
          <m:t>T</m:t>
        </m:r>
        <m:r>
          <w:rPr>
            <w:color w:val="C00000"/>
          </w:rPr>
          <m:t>A</m:t>
        </m:r>
        <m:r>
          <m:rPr>
            <m:nor/>
          </m:rPr>
          <w:rPr>
            <w:color w:val="C00000"/>
          </w:rPr>
          <m:t>_</m:t>
        </m:r>
        <m:r>
          <w:rPr>
            <w:color w:val="C00000"/>
          </w:rPr>
          <m:t>A</m:t>
        </m:r>
        <m:r>
          <w:rPr>
            <w:color w:val="C00000"/>
          </w:rPr>
          <m:t>C</m:t>
        </m:r>
        <m:r>
          <w:rPr>
            <w:color w:val="C00000"/>
          </w:rPr>
          <m:t>C</m:t>
        </m:r>
        <m:r>
          <w:rPr>
            <w:color w:val="C00000"/>
          </w:rPr>
          <m:t>E</m:t>
        </m:r>
        <m:r>
          <w:rPr>
            <w:color w:val="C00000"/>
          </w:rPr>
          <m:t>S</m:t>
        </m:r>
        <m:r>
          <w:rPr>
            <w:color w:val="C00000"/>
          </w:rPr>
          <m:t>S</m:t>
        </m:r>
      </m:oMath>
    </w:p>
    <w:p>
      <w:pPr>
        <w:pStyle w:val="InsertedPara"/>
      </w:pPr>
      <w:r>
        <w:rPr>
          <w:rStyle w:val="InsertedText"/>
        </w:rPr>
        <w:t xml:space="preserve">with the result:</w:t>
      </w:r>
      <w:r>
        <w:rPr>
          <w:rStyle w:val="InsertedText"/>
        </w:rPr>
        <w:t xml:space="preserve"> </w:t>
      </w:r>
      <m:oMath>
        <m:r>
          <w:rPr>
            <w:color w:val="C00000"/>
          </w:rPr>
          <m:t>G</m:t>
        </m:r>
        <m:r>
          <w:rPr>
            <w:color w:val="C00000"/>
          </w:rPr>
          <m:t>R</m:t>
        </m:r>
        <m:r>
          <w:rPr>
            <w:color w:val="C00000"/>
          </w:rPr>
          <m:t>A</m:t>
        </m:r>
        <m:r>
          <w:rPr>
            <w:color w:val="C00000"/>
          </w:rPr>
          <m:t>N</m:t>
        </m:r>
        <m:r>
          <w:rPr>
            <w:color w:val="C00000"/>
          </w:rPr>
          <m:t>T</m:t>
        </m:r>
        <m:r>
          <w:rPr>
            <w:color w:val="C00000"/>
          </w:rPr>
          <m:t>E</m:t>
        </m:r>
        <m:r>
          <w:rPr>
            <w:color w:val="C00000"/>
          </w:rPr>
          <m:t>D</m:t>
        </m:r>
      </m:oMath>
    </w:p>
    <w:p>
      <w:pPr>
        <w:pStyle w:val="InsertedPara"/>
      </w:pPr>
      <w:r>
        <w:rPr>
          <w:rStyle w:val="InsertedText"/>
        </w:rPr>
        <w:t xml:space="preserve">This produces an explicit chain of evidence as</w:t>
      </w:r>
    </w:p>
    <w:p>
      <w:pPr>
        <w:pStyle w:val="InsertedPara"/>
      </w:pPr>
      <m:oMathPara>
        <m:oMathParaPr>
          <m:jc m:val="center"/>
        </m:oMathParaPr>
        <m:oMath>
          <m:m>
            <m:mPr>
              <m:baseJc m:val="center"/>
              <m:plcHide m:val="on"/>
              <m:mcs>
                <m:mc>
                  <m:mcPr>
                    <m:count m:val="1"/>
                    <m:mcJc m:val="left"/>
                  </m:mcPr>
                </m:mc>
              </m:mcs>
            </m:mPr>
            <m:mr>
              <m:e>
                <m:r>
                  <w:rPr>
                    <w:color w:val="C00000"/>
                  </w:rPr>
                  <m:t>P</m:t>
                </m:r>
                <m:r>
                  <w:rPr>
                    <w:color w:val="C00000"/>
                  </w:rPr>
                  <m:t>a</m:t>
                </m:r>
                <m:r>
                  <w:rPr>
                    <w:color w:val="C00000"/>
                  </w:rPr>
                  <m:t>t</m:t>
                </m:r>
                <m:r>
                  <w:rPr>
                    <w:color w:val="C00000"/>
                  </w:rPr>
                  <m:t>i</m:t>
                </m:r>
                <m:r>
                  <w:rPr>
                    <w:color w:val="C00000"/>
                  </w:rPr>
                  <m:t>e</m:t>
                </m:r>
                <m:r>
                  <w:rPr>
                    <w:color w:val="C00000"/>
                  </w:rPr>
                  <m:t>n</m:t>
                </m:r>
                <m:r>
                  <w:rPr>
                    <w:color w:val="C00000"/>
                  </w:rPr>
                  <m:t>t</m:t>
                </m:r>
                <m:r>
                  <m:rPr>
                    <m:sty m:val="p"/>
                  </m:rPr>
                  <w:rPr>
                    <w:color w:val="C00000"/>
                  </w:rPr>
                  <m:t>→</m:t>
                </m:r>
                <m:r>
                  <w:rPr>
                    <w:color w:val="C00000"/>
                  </w:rPr>
                  <m:t>G</m:t>
                </m:r>
                <m:r>
                  <w:rPr>
                    <w:color w:val="C00000"/>
                  </w:rPr>
                  <m:t>u</m:t>
                </m:r>
                <m:r>
                  <w:rPr>
                    <w:color w:val="C00000"/>
                  </w:rPr>
                  <m:t>a</m:t>
                </m:r>
                <m:r>
                  <w:rPr>
                    <w:color w:val="C00000"/>
                  </w:rPr>
                  <m:t>r</m:t>
                </m:r>
                <m:r>
                  <w:rPr>
                    <w:color w:val="C00000"/>
                  </w:rPr>
                  <m:t>d</m:t>
                </m:r>
                <m:r>
                  <w:rPr>
                    <w:color w:val="C00000"/>
                  </w:rPr>
                  <m:t>i</m:t>
                </m:r>
                <m:r>
                  <w:rPr>
                    <w:color w:val="C00000"/>
                  </w:rPr>
                  <m:t>a</m:t>
                </m:r>
                <m:sSub>
                  <m:e>
                    <m:r>
                      <w:rPr>
                        <w:color w:val="C00000"/>
                      </w:rPr>
                      <m:t>n</m:t>
                    </m:r>
                  </m:e>
                  <m:sub>
                    <m:r>
                      <w:rPr>
                        <w:color w:val="C00000"/>
                      </w:rPr>
                      <m:t>A</m:t>
                    </m:r>
                  </m:sub>
                </m:sSub>
                <m:r>
                  <m:rPr>
                    <m:sty m:val="p"/>
                  </m:rPr>
                  <w:rPr>
                    <w:color w:val="C00000"/>
                  </w:rPr>
                  <m:t>→</m:t>
                </m:r>
                <m:r>
                  <w:rPr>
                    <w:color w:val="C00000"/>
                  </w:rPr>
                  <m:t>G</m:t>
                </m:r>
                <m:r>
                  <w:rPr>
                    <w:color w:val="C00000"/>
                  </w:rPr>
                  <m:t>u</m:t>
                </m:r>
                <m:r>
                  <w:rPr>
                    <w:color w:val="C00000"/>
                  </w:rPr>
                  <m:t>a</m:t>
                </m:r>
                <m:r>
                  <w:rPr>
                    <w:color w:val="C00000"/>
                  </w:rPr>
                  <m:t>r</m:t>
                </m:r>
                <m:r>
                  <w:rPr>
                    <w:color w:val="C00000"/>
                  </w:rPr>
                  <m:t>d</m:t>
                </m:r>
                <m:r>
                  <w:rPr>
                    <w:color w:val="C00000"/>
                  </w:rPr>
                  <m:t>i</m:t>
                </m:r>
                <m:r>
                  <w:rPr>
                    <w:color w:val="C00000"/>
                  </w:rPr>
                  <m:t>a</m:t>
                </m:r>
                <m:sSub>
                  <m:e>
                    <m:r>
                      <w:rPr>
                        <w:color w:val="C00000"/>
                      </w:rPr>
                      <m:t>n</m:t>
                    </m:r>
                  </m:e>
                  <m:sub>
                    <m:r>
                      <w:rPr>
                        <w:color w:val="C00000"/>
                      </w:rPr>
                      <m:t>B</m:t>
                    </m:r>
                  </m:sub>
                </m:sSub>
              </m:e>
            </m:mr>
            <m:mr>
              <m:e>
                <m:r>
                  <m:rPr>
                    <m:sty m:val="p"/>
                  </m:rPr>
                  <w:rPr>
                    <w:color w:val="C00000"/>
                  </w:rPr>
                  <m:t>→</m:t>
                </m:r>
                <m:r>
                  <w:rPr>
                    <w:color w:val="C00000"/>
                  </w:rPr>
                  <m:t>S</m:t>
                </m:r>
                <m:r>
                  <w:rPr>
                    <w:color w:val="C00000"/>
                  </w:rPr>
                  <m:t>m</m:t>
                </m:r>
                <m:r>
                  <w:rPr>
                    <w:color w:val="C00000"/>
                  </w:rPr>
                  <m:t>a</m:t>
                </m:r>
                <m:r>
                  <w:rPr>
                    <w:color w:val="C00000"/>
                  </w:rPr>
                  <m:t>r</m:t>
                </m:r>
                <m:r>
                  <w:rPr>
                    <w:color w:val="C00000"/>
                  </w:rPr>
                  <m:t>t</m:t>
                </m:r>
                <m:r>
                  <w:rPr>
                    <w:color w:val="C00000"/>
                  </w:rPr>
                  <m:t>C</m:t>
                </m:r>
                <m:r>
                  <w:rPr>
                    <w:color w:val="C00000"/>
                  </w:rPr>
                  <m:t>o</m:t>
                </m:r>
                <m:r>
                  <w:rPr>
                    <w:color w:val="C00000"/>
                  </w:rPr>
                  <m:t>n</m:t>
                </m:r>
                <m:r>
                  <w:rPr>
                    <w:color w:val="C00000"/>
                  </w:rPr>
                  <m:t>t</m:t>
                </m:r>
                <m:r>
                  <w:rPr>
                    <w:color w:val="C00000"/>
                  </w:rPr>
                  <m:t>r</m:t>
                </m:r>
                <m:r>
                  <w:rPr>
                    <w:color w:val="C00000"/>
                  </w:rPr>
                  <m:t>a</m:t>
                </m:r>
                <m:r>
                  <w:rPr>
                    <w:color w:val="C00000"/>
                  </w:rPr>
                  <m:t>c</m:t>
                </m:r>
                <m:r>
                  <w:rPr>
                    <w:color w:val="C00000"/>
                  </w:rPr>
                  <m:t>t</m:t>
                </m:r>
                <m:r>
                  <m:rPr>
                    <m:sty m:val="p"/>
                  </m:rPr>
                  <w:rPr>
                    <w:color w:val="C00000"/>
                  </w:rPr>
                  <m:t>→</m:t>
                </m:r>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r>
                  <w:rPr>
                    <w:color w:val="C00000"/>
                  </w:rPr>
                  <m:t>E</m:t>
                </m:r>
                <m:r>
                  <w:rPr>
                    <w:color w:val="C00000"/>
                  </w:rPr>
                  <m:t>n</m:t>
                </m:r>
                <m:r>
                  <w:rPr>
                    <w:color w:val="C00000"/>
                  </w:rPr>
                  <m:t>g</m:t>
                </m:r>
                <m:r>
                  <w:rPr>
                    <w:color w:val="C00000"/>
                  </w:rPr>
                  <m:t>i</m:t>
                </m:r>
                <m:r>
                  <w:rPr>
                    <w:color w:val="C00000"/>
                  </w:rPr>
                  <m:t>n</m:t>
                </m:r>
                <m:r>
                  <w:rPr>
                    <w:color w:val="C00000"/>
                  </w:rPr>
                  <m:t>e</m:t>
                </m:r>
                <m:r>
                  <m:rPr>
                    <m:sty m:val="p"/>
                  </m:rPr>
                  <w:rPr>
                    <w:color w:val="C00000"/>
                  </w:rPr>
                  <m:t>→</m:t>
                </m:r>
                <m:r>
                  <w:rPr>
                    <w:color w:val="C00000"/>
                  </w:rPr>
                  <m:t>D</m:t>
                </m:r>
                <m:r>
                  <w:rPr>
                    <w:color w:val="C00000"/>
                  </w:rPr>
                  <m:t>o</m:t>
                </m:r>
                <m:r>
                  <w:rPr>
                    <w:color w:val="C00000"/>
                  </w:rPr>
                  <m:t>c</m:t>
                </m:r>
                <m:r>
                  <w:rPr>
                    <w:color w:val="C00000"/>
                  </w:rPr>
                  <m:t>t</m:t>
                </m:r>
                <m:r>
                  <w:rPr>
                    <w:color w:val="C00000"/>
                  </w:rPr>
                  <m:t>o</m:t>
                </m:r>
                <m:r>
                  <w:rPr>
                    <w:color w:val="C00000"/>
                  </w:rPr>
                  <m:t>r</m:t>
                </m:r>
              </m:e>
            </m:mr>
          </m:m>
        </m:oMath>
      </m:oMathPara>
    </w:p>
    <w:p>
      <w:pPr>
        <w:pStyle w:val="InsertedPara"/>
      </w:pPr>
      <w:r>
        <w:rPr>
          <w:rStyle w:val="InsertedText"/>
        </w:rPr>
        <w:t xml:space="preserve">The audit subsystem therefore allows an auditor to reconstruct not only</w:t>
      </w:r>
      <w:r>
        <w:rPr>
          <w:rStyle w:val="InsertedText"/>
        </w:rPr>
        <w:t xml:space="preserve"> </w:t>
      </w:r>
      <w:r>
        <w:rPr>
          <w:rStyle w:val="InsertedText"/>
          <w:b/>
          <w:bCs/>
        </w:rPr>
        <w:t xml:space="preserve">who accessed the data</w:t>
      </w:r>
      <w:r>
        <w:rPr>
          <w:rStyle w:val="InsertedText"/>
        </w:rPr>
        <w:t xml:space="preserve">, but also</w:t>
      </w:r>
      <w:r>
        <w:rPr>
          <w:rStyle w:val="InsertedText"/>
        </w:rPr>
        <w:t xml:space="preserve"> </w:t>
      </w:r>
      <w:r>
        <w:rPr>
          <w:rStyle w:val="InsertedText"/>
          <w:b/>
          <w:bCs/>
        </w:rPr>
        <w:t xml:space="preserve">why that access was permitted</w:t>
      </w:r>
      <w:r>
        <w:rPr>
          <w:rStyle w:val="InsertedText"/>
        </w:rPr>
        <w:t xml:space="preserve">, because the access event can be associated with the preceding consent creation, guardian approvals, consent activation, and state checks.</w:t>
      </w:r>
    </w:p>
    <w:p>
      <w:pPr>
        <w:pStyle w:val="InsertedPara"/>
      </w:pPr>
      <w:r>
        <w:rPr>
          <w:rStyle w:val="InsertedText"/>
        </w:rPr>
        <w:t xml:space="preserve">This corresponds to the proposed requirement for</w:t>
      </w:r>
      <w:r>
        <w:rPr>
          <w:rStyle w:val="InsertedText"/>
        </w:rPr>
        <w:t xml:space="preserve"> </w:t>
      </w:r>
      <w:r>
        <w:rPr>
          <w:rStyle w:val="InsertedText"/>
          <w:b/>
          <w:bCs/>
        </w:rPr>
        <w:t xml:space="preserve">traceability, accountability and non-repudiable consent evidence</w:t>
      </w:r>
      <w:r>
        <w:rPr>
          <w:rStyle w:val="InsertedText"/>
        </w:rPr>
        <w:t xml:space="preserve">.</w:t>
      </w:r>
    </w:p>
    <w:bookmarkEnd w:id="149"/>
    <w:bookmarkStart w:id="150" w:name="detailed-audit-records"/>
    <w:p>
      <w:pPr>
        <w:pStyle w:val="Heading2"/>
      </w:pPr>
      <w:r>
        <w:rPr>
          <w:rStyle w:val="InsertedText"/>
        </w:rPr>
        <w:t xml:space="preserve">7.6 Detailed Audit Records</w:t>
      </w:r>
    </w:p>
    <w:p>
      <w:pPr>
        <w:pStyle w:val="InsertedPara"/>
      </w:pPr>
      <w:r>
        <w:rPr>
          <w:rStyle w:val="InsertedText"/>
        </w:rPr>
        <w:t xml:space="preserve">The</w:t>
      </w:r>
      <w:r>
        <w:rPr>
          <w:rStyle w:val="InsertedText"/>
        </w:rPr>
        <w:t xml:space="preserve"> </w:t>
      </w:r>
      <w:r>
        <w:rPr>
          <w:rStyle w:val="InsertedText"/>
          <w:b/>
          <w:bCs/>
        </w:rPr>
        <w:t xml:space="preserve">Detailed Audit Records</w:t>
      </w:r>
      <w:r>
        <w:rPr>
          <w:rStyle w:val="InsertedText"/>
        </w:rPr>
        <w:t xml:space="preserve"> </w:t>
      </w:r>
      <w:r>
        <w:rPr>
          <w:rStyle w:val="InsertedText"/>
        </w:rPr>
        <w:t xml:space="preserve">component provides a lower-level view of the events represented in the lifecycle subsystem.</w:t>
      </w:r>
    </w:p>
    <w:p>
      <w:pPr>
        <w:pStyle w:val="InsertedPara"/>
      </w:pPr>
      <w:r>
        <w:rPr>
          <w:rStyle w:val="InsertedText"/>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and consent context.</w:t>
      </w:r>
    </w:p>
    <w:p>
      <w:pPr>
        <w:pStyle w:val="InsertedPara"/>
      </w:pPr>
      <w:r>
        <w:rPr>
          <w:rStyle w:val="InsertedText"/>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pStyle w:val="InsertedPara"/>
      </w:pPr>
      <w:r>
        <w:rPr>
          <w:rStyle w:val="InsertedText"/>
        </w:rPr>
        <w:t xml:space="preserve">The subsystem therefore implements the distinction between</w:t>
      </w:r>
      <w:r>
        <w:rPr>
          <w:rStyle w:val="InsertedText"/>
        </w:rPr>
        <w:t xml:space="preserve"> </w:t>
      </w:r>
      <w:r>
        <w:rPr>
          <w:rStyle w:val="InsertedText"/>
          <w:b/>
          <w:bCs/>
        </w:rPr>
        <w:t xml:space="preserve">operational access information</w:t>
      </w:r>
      <w:r>
        <w:rPr>
          <w:rStyle w:val="InsertedText"/>
        </w:rPr>
        <w:t xml:space="preserve"> </w:t>
      </w:r>
      <w:r>
        <w:rPr>
          <w:rStyle w:val="InsertedText"/>
        </w:rPr>
        <w:t xml:space="preserve">and</w:t>
      </w:r>
      <w:r>
        <w:rPr>
          <w:rStyle w:val="InsertedText"/>
        </w:rPr>
        <w:t xml:space="preserve"> </w:t>
      </w:r>
      <w:r>
        <w:rPr>
          <w:rStyle w:val="InsertedText"/>
          <w:b/>
          <w:bCs/>
        </w:rPr>
        <w:t xml:space="preserve">forensic/audit information</w:t>
      </w:r>
      <w:r>
        <w:rPr>
          <w:rStyle w:val="InsertedText"/>
        </w:rPr>
        <w:t xml:space="preserve">.</w:t>
      </w:r>
    </w:p>
    <w:p>
      <w:pPr>
        <w:pStyle w:val="InsertedPara"/>
      </w:pPr>
      <w:r>
        <w:rPr>
          <w:rStyle w:val="InsertedText"/>
          <w:b/>
          <w:bCs/>
        </w:rPr>
        <w:t xml:space="preserve">CA 3 Discussion</w:t>
      </w:r>
    </w:p>
    <w:p>
      <w:pPr>
        <w:pStyle w:val="InsertedPara"/>
      </w:pPr>
      <w:r>
        <w:rPr>
          <w:rStyle w:val="ReviewerNote"/>
        </w:rPr>
        <w:t xml:space="preserve">Label carried over unchanged from the HALAH document. It appears to mark Sections 7.7–7.9 as material for the CA3 discussion; either turn it into a proper heading or remove it in the HALAH document.</w:t>
      </w:r>
    </w:p>
    <w:bookmarkEnd w:id="150"/>
    <w:bookmarkStart w:id="151" w:name="complete-blockchain-audit-ledger"/>
    <w:p>
      <w:pPr>
        <w:pStyle w:val="Heading2"/>
      </w:pPr>
      <w:r>
        <w:rPr>
          <w:rStyle w:val="InsertedText"/>
        </w:rPr>
        <w:t xml:space="preserve">7.7 Complete Blockchain Audit Ledger</w:t>
      </w:r>
    </w:p>
    <w:p>
      <w:pPr>
        <w:pStyle w:val="InsertedPara"/>
      </w:pPr>
      <w:r>
        <w:rPr>
          <w:rStyle w:val="InsertedText"/>
        </w:rPr>
        <w:t xml:space="preserve">The</w:t>
      </w:r>
      <w:r>
        <w:rPr>
          <w:rStyle w:val="InsertedText"/>
        </w:rPr>
        <w:t xml:space="preserve"> </w:t>
      </w:r>
      <w:r>
        <w:rPr>
          <w:rStyle w:val="InsertedText"/>
          <w:b/>
          <w:bCs/>
        </w:rPr>
        <w:t xml:space="preserve">Complete Blockchain Audit Ledger</w:t>
      </w:r>
      <w:r>
        <w:rPr>
          <w:rStyle w:val="InsertedText"/>
        </w:rPr>
        <w:t xml:space="preserve"> </w:t>
      </w:r>
      <w:r>
        <w:rPr>
          <w:rStyle w:val="InsertedText"/>
        </w:rPr>
        <w:t xml:space="preserve">provides the most comprehensive representation of the recorded consent history.</w:t>
      </w:r>
    </w:p>
    <w:p>
      <w:pPr>
        <w:pStyle w:val="InsertedPara"/>
      </w:pPr>
      <w:r>
        <w:rPr>
          <w:rStyle w:val="InsertedText"/>
        </w:rPr>
        <w:t xml:space="preserve">This component demonstrates that the audit mechanism is not limited to successful data-access events. Instead, the system records the broader lifecycle of the consent, including creation, signatures, state validation, smart-contract actions and data-access decisions.</w:t>
      </w:r>
    </w:p>
    <w:p>
      <w:pPr>
        <w:pStyle w:val="InsertedPara"/>
      </w:pPr>
      <w:r>
        <w:rPr>
          <w:rStyle w:val="InsertedText"/>
        </w:rPr>
        <w:t xml:space="preserve">Consequently, the ledger provides the evidentiary foundation for evaluating several properties of the proposed framework:</w:t>
      </w:r>
    </w:p>
    <w:p>
      <w:pPr>
        <w:pStyle w:val="InsertedPara"/>
      </w:pPr>
      <m:oMathPara>
        <m:oMathParaPr>
          <m:jc m:val="center"/>
        </m:oMathParaPr>
        <m:oMath>
          <m:r>
            <m:rPr>
              <m:nor/>
            </m:rPr>
            <w:rPr>
              <w:color w:val="C00000"/>
            </w:rPr>
            <m:t>Accountability</m:t>
          </m:r>
          <m:r>
            <m:rPr>
              <m:sty m:val="p"/>
            </m:rPr>
            <w:rPr>
              <w:color w:val="C00000"/>
            </w:rPr>
            <m:t>+</m:t>
          </m:r>
          <m:r>
            <m:rPr>
              <m:nor/>
            </m:rPr>
            <w:rPr>
              <w:color w:val="C00000"/>
            </w:rPr>
            <m:t>Traceability</m:t>
          </m:r>
          <m:r>
            <m:rPr>
              <m:sty m:val="p"/>
            </m:rPr>
            <w:rPr>
              <w:color w:val="C00000"/>
            </w:rPr>
            <m:t>+</m:t>
          </m:r>
          <m:r>
            <m:rPr>
              <m:nor/>
            </m:rPr>
            <w:rPr>
              <w:color w:val="C00000"/>
            </w:rPr>
            <m:t>Integrity</m:t>
          </m:r>
          <m:r>
            <m:rPr>
              <m:sty m:val="p"/>
            </m:rPr>
            <w:rPr>
              <w:color w:val="C00000"/>
            </w:rPr>
            <m:t>+</m:t>
          </m:r>
          <m:r>
            <m:rPr>
              <m:nor/>
            </m:rPr>
            <w:rPr>
              <w:color w:val="C00000"/>
            </w:rPr>
            <m:t>Non-repudiation</m:t>
          </m:r>
        </m:oMath>
      </m:oMathPara>
    </w:p>
    <w:p>
      <w:pPr>
        <w:pStyle w:val="InsertedPara"/>
      </w:pPr>
      <w:r>
        <w:rPr>
          <w:rStyle w:val="InsertedText"/>
        </w:rPr>
        <w:t xml:space="preserve">The complete ledger also provides a mechanism for independently examining whether the observed access event is consistent with the original consent conditions.</w:t>
      </w:r>
    </w:p>
    <w:p>
      <w:pPr>
        <w:pStyle w:val="InsertedPara"/>
      </w:pPr>
      <w:r>
        <w:rPr>
          <w:rStyle w:val="InsertedText"/>
        </w:rPr>
        <w:t xml:space="preserve">For example, the demonstrated sequence shows that the doctor receives a GRANTED result only after the consent has reached the ACTIVE state. This provides an implementation-level demonstration that access decisions are linked to the consent lifecycle rather than being independent application events.</w:t>
      </w:r>
    </w:p>
    <w:bookmarkEnd w:id="151"/>
    <w:bookmarkStart w:id="152" w:name="Xae142eb24e81642c0aa2124fc4bee8c550545ec"/>
    <w:p>
      <w:pPr>
        <w:pStyle w:val="Heading2"/>
      </w:pPr>
      <w:r>
        <w:rPr>
          <w:rStyle w:val="InsertedText"/>
        </w:rPr>
        <w:t xml:space="preserve">7.8 Correspondence Between Subsystems and the HALAH Framework</w:t>
      </w:r>
    </w:p>
    <w:p>
      <w:pPr>
        <w:pStyle w:val="InsertedPara"/>
      </w:pPr>
      <w:r>
        <w:rPr>
          <w:rStyle w:val="InsertedText"/>
        </w:rPr>
        <w:t xml:space="preserve">The four subsystems collectively implement the principal stages of the proposed framework:</w:t>
      </w:r>
    </w:p>
    <w:p>
      <w:pPr>
        <w:pStyle w:val="TableCaption"/>
      </w:pPr>
      <w:r>
        <w:rPr>
          <w:rStyle w:val="InsertedText"/>
        </w:rPr>
        <w:t xml:space="preserve">Table 7: Correspondence Between Subsystems and the HALAH Framework</w:t>
      </w:r>
    </w:p>
    <w:tbl>
      <w:tblPr>
        <w:tblStyle w:val="Table"/>
        <w:tblW w:type="pct" w:w="4937"/>
        <w:tblLayout w:type="fixed"/>
        <w:tblLook w:firstRow="1" w:lastRow="0" w:firstColumn="0" w:lastColumn="0" w:noHBand="0" w:noVBand="0" w:val="0020"/>
        <w:tblCaption w:val="Table 7: Correspondence Between Subsystems and the HALAH Framework"/>
      </w:tblPr>
      <w:tblGrid>
        <w:gridCol w:w="1593"/>
        <w:gridCol w:w="2141"/>
        <w:gridCol w:w="4084"/>
      </w:tblGrid>
      <w:tr>
        <w:trPr>
          <w:cantSplit/>
          <w:tblHeader w:val="on"/>
        </w:trPr>
        <w:tc>
          <w:tcPr>
            <w:tcBorders>
              <w:bottom w:val="single" w:sz="8" w:space="0" w:color="000000"/>
            </w:tcBorders>
            <w:shd w:val="clear" w:color="auto" w:fill="E7E6E6"/>
            <w:vAlign w:val="center"/>
          </w:tcPr>
          <w:p>
            <w:pPr>
              <w:pStyle w:val="Compact"/>
              <w:jc w:val="left"/>
            </w:pPr>
            <w:r>
              <w:rPr>
                <w:rStyle w:val="InsertedText"/>
                <w:b/>
                <w:bCs/>
              </w:rPr>
              <w:t xml:space="preserve">HALAH Framework Component</w:t>
            </w:r>
          </w:p>
        </w:tc>
        <w:tc>
          <w:tcPr>
            <w:tcBorders>
              <w:bottom w:val="single" w:sz="8" w:space="0" w:color="000000"/>
            </w:tcBorders>
            <w:shd w:val="clear" w:color="auto" w:fill="E7E6E6"/>
            <w:vAlign w:val="center"/>
          </w:tcPr>
          <w:p>
            <w:pPr>
              <w:pStyle w:val="Compact"/>
              <w:jc w:val="left"/>
            </w:pPr>
            <w:r>
              <w:rPr>
                <w:rStyle w:val="InsertedText"/>
                <w:b/>
                <w:bCs/>
              </w:rPr>
              <w:t xml:space="preserve">Implementation Subsystem</w:t>
            </w:r>
          </w:p>
        </w:tc>
        <w:tc>
          <w:tcPr>
            <w:tcBorders>
              <w:bottom w:val="single" w:sz="8" w:space="0" w:color="000000"/>
            </w:tcBorders>
            <w:shd w:val="clear" w:color="auto" w:fill="E7E6E6"/>
            <w:vAlign w:val="center"/>
          </w:tcPr>
          <w:p>
            <w:pPr>
              <w:pStyle w:val="Compact"/>
              <w:jc w:val="left"/>
            </w:pPr>
            <w:r>
              <w:rPr>
                <w:rStyle w:val="InsertedText"/>
                <w:b/>
                <w:bCs/>
              </w:rPr>
              <w:t xml:space="preserve">Main Function</w:t>
            </w:r>
          </w:p>
        </w:tc>
      </w:tr>
      <w:tr>
        <w:trPr>
          <w:cantSplit/>
        </w:trPr>
        <w:tc>
          <w:tcPr/>
          <w:p>
            <w:pPr>
              <w:pStyle w:val="Compact"/>
              <w:jc w:val="left"/>
            </w:pPr>
            <w:r>
              <w:rPr>
                <w:rStyle w:val="InsertedText"/>
              </w:rPr>
              <w:t xml:space="preserve">Consent Object Construction</w:t>
            </w:r>
          </w:p>
        </w:tc>
        <w:tc>
          <w:tcPr/>
          <w:p>
            <w:pPr>
              <w:pStyle w:val="Compact"/>
              <w:jc w:val="left"/>
            </w:pPr>
            <w:r>
              <w:rPr>
                <w:rStyle w:val="InsertedText"/>
                <w:b/>
                <w:bCs/>
              </w:rPr>
              <w:t xml:space="preserve">Create Smart Consent Contract</w:t>
            </w:r>
          </w:p>
        </w:tc>
        <w:tc>
          <w:tcPr/>
          <w:p>
            <w:pPr>
              <w:pStyle w:val="Compact"/>
              <w:jc w:val="left"/>
            </w:pPr>
            <w:r>
              <w:rPr>
                <w:rStyle w:val="InsertedText"/>
              </w:rPr>
              <w:t xml:space="preserve">Defines patient, authorised doctor, data scope, guardians and temporal validity</w:t>
            </w:r>
          </w:p>
        </w:tc>
      </w:tr>
      <w:tr>
        <w:trPr>
          <w:cantSplit/>
        </w:trPr>
        <w:tc>
          <w:tcPr/>
          <w:p>
            <w:pPr>
              <w:pStyle w:val="Compact"/>
              <w:jc w:val="left"/>
            </w:pPr>
            <w:r>
              <w:rPr>
                <w:rStyle w:val="InsertedText"/>
              </w:rPr>
              <w:t xml:space="preserve">Identity &amp; Authorisation</w:t>
            </w:r>
          </w:p>
        </w:tc>
        <w:tc>
          <w:tcPr/>
          <w:p>
            <w:pPr>
              <w:pStyle w:val="Compact"/>
              <w:jc w:val="left"/>
            </w:pPr>
            <w:r>
              <w:rPr>
                <w:rStyle w:val="InsertedText"/>
                <w:b/>
                <w:bCs/>
              </w:rPr>
              <w:t xml:space="preserve">Guardian Cryptographic Approval</w:t>
            </w:r>
          </w:p>
        </w:tc>
        <w:tc>
          <w:tcPr/>
          <w:p>
            <w:pPr>
              <w:pStyle w:val="Compact"/>
              <w:jc w:val="left"/>
            </w:pPr>
            <w:r>
              <w:rPr>
                <w:rStyle w:val="InsertedText"/>
              </w:rPr>
              <w:t xml:space="preserve">Verifies guardian identities and records required signatures</w:t>
            </w:r>
          </w:p>
        </w:tc>
      </w:tr>
      <w:tr>
        <w:trPr>
          <w:cantSplit/>
        </w:trPr>
        <w:tc>
          <w:tcPr/>
          <w:p>
            <w:pPr>
              <w:pStyle w:val="Compact"/>
              <w:jc w:val="left"/>
            </w:pPr>
            <w:r>
              <w:rPr>
                <w:rStyle w:val="InsertedText"/>
              </w:rPr>
              <w:t xml:space="preserve">Multi-party Consent</w:t>
            </w:r>
          </w:p>
        </w:tc>
        <w:tc>
          <w:tcPr/>
          <w:p>
            <w:pPr>
              <w:pStyle w:val="Compact"/>
              <w:jc w:val="left"/>
            </w:pPr>
            <w:r>
              <w:rPr>
                <w:rStyle w:val="InsertedText"/>
                <w:b/>
                <w:bCs/>
              </w:rPr>
              <w:t xml:space="preserve">Guardian Cryptographic Approval</w:t>
            </w:r>
          </w:p>
        </w:tc>
        <w:tc>
          <w:tcPr/>
          <w:p>
            <w:pPr>
              <w:pStyle w:val="Compact"/>
              <w:jc w:val="left"/>
            </w:pPr>
            <w:r>
              <w:rPr>
                <w:rStyle w:val="InsertedText"/>
              </w:rPr>
              <w:t xml:space="preserve">Implements the 2-of-2 approval condition</w:t>
            </w:r>
          </w:p>
        </w:tc>
      </w:tr>
      <w:tr>
        <w:trPr>
          <w:cantSplit/>
        </w:trPr>
        <w:tc>
          <w:tcPr/>
          <w:p>
            <w:pPr>
              <w:pStyle w:val="Compact"/>
              <w:jc w:val="left"/>
            </w:pPr>
            <w:r>
              <w:rPr>
                <w:rStyle w:val="InsertedText"/>
              </w:rPr>
              <w:t xml:space="preserve">Consent Activation</w:t>
            </w:r>
          </w:p>
        </w:tc>
        <w:tc>
          <w:tcPr/>
          <w:p>
            <w:pPr>
              <w:pStyle w:val="Compact"/>
              <w:jc w:val="left"/>
            </w:pPr>
            <w:r>
              <w:rPr>
                <w:rStyle w:val="InsertedText"/>
                <w:b/>
                <w:bCs/>
              </w:rPr>
              <w:t xml:space="preserve">Guardian Cryptographic Approval</w:t>
            </w:r>
          </w:p>
        </w:tc>
        <w:tc>
          <w:tcPr/>
          <w:p>
            <w:pPr>
              <w:pStyle w:val="Compact"/>
              <w:jc w:val="left"/>
            </w:pPr>
            <w:r>
              <w:rPr>
                <w:rStyle w:val="InsertedText"/>
              </w:rPr>
              <w:t xml:space="preserve">Generates the SBT and changes consent to fully activated</w:t>
            </w:r>
          </w:p>
        </w:tc>
      </w:tr>
      <w:tr>
        <w:trPr>
          <w:cantSplit/>
        </w:trPr>
        <w:tc>
          <w:tcPr/>
          <w:p>
            <w:pPr>
              <w:pStyle w:val="Compact"/>
              <w:jc w:val="left"/>
            </w:pPr>
            <w:r>
              <w:rPr>
                <w:rStyle w:val="InsertedText"/>
              </w:rPr>
              <w:t xml:space="preserve">Consent-State Management</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Checks whether the consent is ACTIVE</w:t>
            </w:r>
          </w:p>
        </w:tc>
      </w:tr>
      <w:tr>
        <w:trPr>
          <w:cantSplit/>
        </w:trPr>
        <w:tc>
          <w:tcPr/>
          <w:p>
            <w:pPr>
              <w:pStyle w:val="Compact"/>
              <w:jc w:val="left"/>
            </w:pPr>
            <w:r>
              <w:rPr>
                <w:rStyle w:val="InsertedText"/>
              </w:rPr>
              <w:t xml:space="preserve">Scope Enforcement</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Restricts access to authorised EMR modules</w:t>
            </w:r>
          </w:p>
        </w:tc>
      </w:tr>
      <w:tr>
        <w:trPr>
          <w:cantSplit/>
        </w:trPr>
        <w:tc>
          <w:tcPr/>
          <w:p>
            <w:pPr>
              <w:pStyle w:val="Compact"/>
              <w:jc w:val="left"/>
            </w:pPr>
            <w:r>
              <w:rPr>
                <w:rStyle w:val="InsertedText"/>
              </w:rPr>
              <w:t xml:space="preserve">Cryptographic Access Control</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Verifies the access request before granting data</w:t>
            </w:r>
          </w:p>
        </w:tc>
      </w:tr>
      <w:tr>
        <w:trPr>
          <w:cantSplit/>
        </w:trPr>
        <w:tc>
          <w:tcPr/>
          <w:p>
            <w:pPr>
              <w:pStyle w:val="Compact"/>
              <w:jc w:val="left"/>
            </w:pPr>
            <w:r>
              <w:rPr>
                <w:rStyle w:val="InsertedText"/>
              </w:rPr>
              <w:t xml:space="preserve">Healthcare Data Access</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Provides authorised Medication and Procedure records</w:t>
            </w:r>
          </w:p>
        </w:tc>
      </w:tr>
      <w:tr>
        <w:trPr>
          <w:cantSplit/>
        </w:trPr>
        <w:tc>
          <w:tcPr/>
          <w:p>
            <w:pPr>
              <w:pStyle w:val="Compact"/>
              <w:jc w:val="left"/>
            </w:pPr>
            <w:r>
              <w:rPr>
                <w:rStyle w:val="InsertedText"/>
              </w:rPr>
              <w:t xml:space="preserve">Lifecycle Traceability</w:t>
            </w:r>
          </w:p>
        </w:tc>
        <w:tc>
          <w:tcPr/>
          <w:p>
            <w:pPr>
              <w:pStyle w:val="Compact"/>
              <w:jc w:val="left"/>
            </w:pPr>
            <w:r>
              <w:rPr>
                <w:rStyle w:val="InsertedText"/>
                <w:b/>
                <w:bCs/>
              </w:rPr>
              <w:t xml:space="preserve">Blockchain Audit &amp; Consent Lifecycle</w:t>
            </w:r>
          </w:p>
        </w:tc>
        <w:tc>
          <w:tcPr/>
          <w:p>
            <w:pPr>
              <w:pStyle w:val="Compact"/>
              <w:jc w:val="left"/>
            </w:pPr>
            <w:r>
              <w:rPr>
                <w:rStyle w:val="InsertedText"/>
              </w:rPr>
              <w:t xml:space="preserve">Reconstructs the chronological consent process</w:t>
            </w:r>
          </w:p>
        </w:tc>
      </w:tr>
      <w:tr>
        <w:trPr>
          <w:cantSplit/>
        </w:trPr>
        <w:tc>
          <w:tcPr/>
          <w:p>
            <w:pPr>
              <w:pStyle w:val="Compact"/>
              <w:jc w:val="left"/>
            </w:pPr>
            <w:r>
              <w:rPr>
                <w:rStyle w:val="InsertedText"/>
              </w:rPr>
              <w:t xml:space="preserve">Accountability</w:t>
            </w:r>
          </w:p>
        </w:tc>
        <w:tc>
          <w:tcPr/>
          <w:p>
            <w:pPr>
              <w:pStyle w:val="Compact"/>
              <w:jc w:val="left"/>
            </w:pPr>
            <w:r>
              <w:rPr>
                <w:rStyle w:val="InsertedText"/>
                <w:b/>
                <w:bCs/>
              </w:rPr>
              <w:t xml:space="preserve">Detailed Audit Records</w:t>
            </w:r>
          </w:p>
        </w:tc>
        <w:tc>
          <w:tcPr/>
          <w:p>
            <w:pPr>
              <w:pStyle w:val="Compact"/>
              <w:jc w:val="left"/>
            </w:pPr>
            <w:r>
              <w:rPr>
                <w:rStyle w:val="InsertedText"/>
              </w:rPr>
              <w:t xml:space="preserve">Provides event-level evidence</w:t>
            </w:r>
          </w:p>
        </w:tc>
      </w:tr>
      <w:tr>
        <w:trPr>
          <w:cantSplit/>
        </w:trPr>
        <w:tc>
          <w:tcPr/>
          <w:p>
            <w:pPr>
              <w:pStyle w:val="Compact"/>
              <w:jc w:val="left"/>
            </w:pPr>
            <w:r>
              <w:rPr>
                <w:rStyle w:val="InsertedText"/>
              </w:rPr>
              <w:t xml:space="preserve">Ledger Integrity</w:t>
            </w:r>
          </w:p>
        </w:tc>
        <w:tc>
          <w:tcPr/>
          <w:p>
            <w:pPr>
              <w:pStyle w:val="Compact"/>
              <w:jc w:val="left"/>
            </w:pPr>
            <w:r>
              <w:rPr>
                <w:rStyle w:val="InsertedText"/>
                <w:b/>
                <w:bCs/>
              </w:rPr>
              <w:t xml:space="preserve">Complete Blockchain Audit Ledger</w:t>
            </w:r>
          </w:p>
        </w:tc>
        <w:tc>
          <w:tcPr/>
          <w:p>
            <w:pPr>
              <w:pStyle w:val="Compact"/>
              <w:jc w:val="left"/>
            </w:pPr>
            <w:r>
              <w:rPr>
                <w:rStyle w:val="InsertedText"/>
              </w:rPr>
              <w:t xml:space="preserve">Provides the complete recorded transaction history</w:t>
            </w:r>
          </w:p>
        </w:tc>
      </w:tr>
    </w:tbl>
    <w:p>
      <w:pPr>
        <w:pStyle w:val="InsertedPara"/>
      </w:pPr>
      <w:r>
        <w:rPr>
          <w:rStyle w:val="InsertedText"/>
        </w:rPr>
        <w:t xml:space="preserve">This mapping demonstrates that the implementation is not merely a collection of independent user-subsystem modules. Rather, the modules correspond to successive stages of the proposed authorisation protocol.</w:t>
      </w:r>
    </w:p>
    <w:bookmarkEnd w:id="152"/>
    <w:bookmarkStart w:id="153" w:name="overall-system-demonstration"/>
    <w:p>
      <w:pPr>
        <w:pStyle w:val="Heading2"/>
      </w:pPr>
      <w:r>
        <w:rPr>
          <w:rStyle w:val="InsertedText"/>
        </w:rPr>
        <w:t xml:space="preserve">7.9 Overall System Demonstration</w:t>
      </w:r>
    </w:p>
    <w:p>
      <w:pPr>
        <w:pStyle w:val="InsertedPara"/>
      </w:pPr>
      <w:r>
        <w:rPr>
          <w:rStyle w:val="InsertedText"/>
        </w:rPr>
        <w:t xml:space="preserve">Taken together, the subsystems demonstrate an end-to-end implementation of the proposed HALAH authorisation workflow.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The authorised doctor subsequently submits an access request, which is evaluated against the patient's identity, consent state and authorised data scope. Only when these conditions are satisfied does the system provide access to the specified EMR modules. Finally, the complete sequence is recorded and exposed through the auditor subsystem.</w:t>
      </w:r>
    </w:p>
    <w:p>
      <w:pPr>
        <w:pStyle w:val="InsertedPara"/>
      </w:pPr>
      <w:r>
        <w:rPr>
          <w:rStyle w:val="ReviewerNote"/>
        </w:rPr>
        <w:t xml:space="preserve">The HALAH document has no formula before this sentence. If one was intended, add</w:t>
      </w:r>
      <w:r>
        <w:rPr>
          <w:rStyle w:val="ReviewerNote"/>
        </w:rPr>
        <w:t xml:space="preserve"> </w:t>
      </w:r>
      <m:oMath>
        <m:r>
          <w:rPr>
            <w:color w:val="C00000"/>
            <w:color w:val="C00000"/>
          </w:rPr>
          <m:t>C</m:t>
        </m:r>
        <m:r>
          <m:rPr>
            <m:sty m:val="p"/>
          </m:rPr>
          <w:rPr>
            <w:color w:val="C00000"/>
            <w:color w:val="C00000"/>
          </w:rPr>
          <m:t>→</m:t>
        </m:r>
        <m:r>
          <w:rPr>
            <w:color w:val="C00000"/>
            <w:color w:val="C00000"/>
          </w:rPr>
          <m:t>M</m:t>
        </m:r>
        <m:r>
          <w:rPr>
            <w:color w:val="C00000"/>
            <w:color w:val="C00000"/>
          </w:rPr>
          <m:t>S</m:t>
        </m:r>
        <m:r>
          <m:rPr>
            <m:sty m:val="p"/>
          </m:rPr>
          <w:rPr>
            <w:color w:val="C00000"/>
            <w:color w:val="C00000"/>
          </w:rPr>
          <m:t>→</m:t>
        </m:r>
        <m:r>
          <w:rPr>
            <w:color w:val="C00000"/>
            <w:color w:val="C00000"/>
          </w:rPr>
          <m:t>S</m:t>
        </m:r>
        <m:r>
          <w:rPr>
            <w:color w:val="C00000"/>
            <w:color w:val="C00000"/>
          </w:rPr>
          <m:t>B</m:t>
        </m:r>
        <m:r>
          <w:rPr>
            <w:color w:val="C00000"/>
            <w:color w:val="C00000"/>
          </w:rPr>
          <m:t>T</m:t>
        </m:r>
        <m:r>
          <m:rPr>
            <m:sty m:val="p"/>
          </m:rPr>
          <w:rPr>
            <w:color w:val="C00000"/>
            <w:color w:val="C00000"/>
          </w:rPr>
          <m:t>→</m:t>
        </m:r>
        <m:r>
          <w:rPr>
            <w:color w:val="C00000"/>
            <w:color w:val="C00000"/>
          </w:rPr>
          <m:t>S</m:t>
        </m:r>
        <m:r>
          <w:rPr>
            <w:color w:val="C00000"/>
            <w:color w:val="C00000"/>
          </w:rPr>
          <m:t>t</m:t>
        </m:r>
        <m:r>
          <w:rPr>
            <w:color w:val="C00000"/>
            <w:color w:val="C00000"/>
          </w:rPr>
          <m:t>a</m:t>
        </m:r>
        <m:r>
          <w:rPr>
            <w:color w:val="C00000"/>
            <w:color w:val="C00000"/>
          </w:rPr>
          <m:t>t</m:t>
        </m:r>
        <m:r>
          <w:rPr>
            <w:color w:val="C00000"/>
            <w:color w:val="C00000"/>
          </w:rPr>
          <m:t>e</m:t>
        </m:r>
        <m:r>
          <w:rPr>
            <w:color w:val="C00000"/>
            <w:color w:val="C00000"/>
          </w:rPr>
          <m:t>C</m:t>
        </m:r>
        <m:r>
          <w:rPr>
            <w:color w:val="C00000"/>
            <w:color w:val="C00000"/>
          </w:rPr>
          <m:t>h</m:t>
        </m:r>
        <m:r>
          <w:rPr>
            <w:color w:val="C00000"/>
            <w:color w:val="C00000"/>
          </w:rPr>
          <m:t>e</m:t>
        </m:r>
        <m:r>
          <w:rPr>
            <w:color w:val="C00000"/>
            <w:color w:val="C00000"/>
          </w:rPr>
          <m:t>c</m:t>
        </m:r>
        <m:r>
          <w:rPr>
            <w:color w:val="C00000"/>
            <w:color w:val="C00000"/>
          </w:rPr>
          <m:t>k</m:t>
        </m:r>
        <m:r>
          <m:rPr>
            <m:sty m:val="p"/>
          </m:rPr>
          <w:rPr>
            <w:color w:val="C00000"/>
            <w:color w:val="C00000"/>
          </w:rPr>
          <m:t>→</m:t>
        </m:r>
        <m:r>
          <w:rPr>
            <w:color w:val="C00000"/>
            <w:color w:val="C00000"/>
          </w:rPr>
          <m:t>A</m:t>
        </m:r>
        <m:r>
          <w:rPr>
            <w:color w:val="C00000"/>
            <w:color w:val="C00000"/>
          </w:rPr>
          <m:t>c</m:t>
        </m:r>
        <m:r>
          <w:rPr>
            <w:color w:val="C00000"/>
            <w:color w:val="C00000"/>
          </w:rPr>
          <m:t>c</m:t>
        </m:r>
        <m:r>
          <w:rPr>
            <w:color w:val="C00000"/>
            <w:color w:val="C00000"/>
          </w:rPr>
          <m:t>e</m:t>
        </m:r>
        <m:r>
          <w:rPr>
            <w:color w:val="C00000"/>
            <w:color w:val="C00000"/>
          </w:rPr>
          <m:t>s</m:t>
        </m:r>
        <m:r>
          <w:rPr>
            <w:color w:val="C00000"/>
            <w:color w:val="C00000"/>
          </w:rPr>
          <m:t>s</m:t>
        </m:r>
        <m:r>
          <w:rPr>
            <w:color w:val="C00000"/>
            <w:color w:val="C00000"/>
          </w:rPr>
          <m:t>D</m:t>
        </m:r>
        <m:r>
          <w:rPr>
            <w:color w:val="C00000"/>
            <w:color w:val="C00000"/>
          </w:rPr>
          <m:t>e</m:t>
        </m:r>
        <m:r>
          <w:rPr>
            <w:color w:val="C00000"/>
            <w:color w:val="C00000"/>
          </w:rPr>
          <m:t>c</m:t>
        </m:r>
        <m:r>
          <w:rPr>
            <w:color w:val="C00000"/>
            <w:color w:val="C00000"/>
          </w:rPr>
          <m:t>i</m:t>
        </m:r>
        <m:r>
          <w:rPr>
            <w:color w:val="C00000"/>
            <w:color w:val="C00000"/>
          </w:rPr>
          <m:t>s</m:t>
        </m:r>
        <m:r>
          <w:rPr>
            <w:color w:val="C00000"/>
            <w:color w:val="C00000"/>
          </w:rPr>
          <m:t>i</m:t>
        </m:r>
        <m:r>
          <w:rPr>
            <w:color w:val="C00000"/>
            <w:color w:val="C00000"/>
          </w:rPr>
          <m:t>o</m:t>
        </m:r>
        <m:r>
          <w:rPr>
            <w:color w:val="C00000"/>
            <w:color w:val="C00000"/>
          </w:rPr>
          <m:t>n</m:t>
        </m:r>
        <m:r>
          <m:rPr>
            <m:sty m:val="p"/>
          </m:rPr>
          <w:rPr>
            <w:color w:val="C00000"/>
            <w:color w:val="C00000"/>
          </w:rPr>
          <m:t>→</m:t>
        </m:r>
        <m:r>
          <w:rPr>
            <w:color w:val="C00000"/>
            <w:color w:val="C00000"/>
          </w:rPr>
          <m:t>E</m:t>
        </m:r>
        <m:r>
          <w:rPr>
            <w:color w:val="C00000"/>
            <w:color w:val="C00000"/>
          </w:rPr>
          <m:t>M</m:t>
        </m:r>
        <m:r>
          <w:rPr>
            <w:color w:val="C00000"/>
            <w:color w:val="C00000"/>
          </w:rPr>
          <m:t>R</m:t>
        </m:r>
        <m:r>
          <m:rPr>
            <m:sty m:val="p"/>
          </m:rPr>
          <w:rPr>
            <w:color w:val="C00000"/>
            <w:color w:val="C00000"/>
          </w:rPr>
          <m:t>→</m:t>
        </m:r>
        <m:r>
          <w:rPr>
            <w:color w:val="C00000"/>
            <w:color w:val="C00000"/>
          </w:rPr>
          <m:t>A</m:t>
        </m:r>
        <m:r>
          <w:rPr>
            <w:color w:val="C00000"/>
            <w:color w:val="C00000"/>
          </w:rPr>
          <m:t>u</m:t>
        </m:r>
        <m:r>
          <w:rPr>
            <w:color w:val="C00000"/>
            <w:color w:val="C00000"/>
          </w:rPr>
          <m:t>d</m:t>
        </m:r>
        <m:r>
          <w:rPr>
            <w:color w:val="C00000"/>
            <w:color w:val="C00000"/>
          </w:rPr>
          <m:t>i</m:t>
        </m:r>
        <m:r>
          <w:rPr>
            <w:color w:val="C00000"/>
            <w:color w:val="C00000"/>
          </w:rPr>
          <m:t>t</m:t>
        </m:r>
      </m:oMath>
      <w:r>
        <w:rPr>
          <w:rStyle w:val="ReviewerNote"/>
        </w:rPr>
        <w:t xml:space="preserve"> </w:t>
      </w:r>
      <w:r>
        <w:rPr>
          <w:rStyle w:val="ReviewerNote"/>
        </w:rPr>
        <w:t xml:space="preserve">in the HALAH document.</w:t>
      </w:r>
    </w:p>
    <w:p>
      <w:pPr>
        <w:pStyle w:val="InsertedPara"/>
      </w:pPr>
      <w:r>
        <w:rPr>
          <w:rStyle w:val="InsertedText"/>
        </w:rPr>
        <w:t xml:space="preserve">where</w:t>
      </w:r>
      <w:r>
        <w:rPr>
          <w:rStyle w:val="InsertedText"/>
        </w:rPr>
        <w:t xml:space="preserve"> </w:t>
      </w:r>
      <m:oMath>
        <m:r>
          <w:rPr>
            <w:color w:val="C00000"/>
          </w:rPr>
          <m:t>C</m:t>
        </m:r>
      </m:oMath>
      <w:r>
        <w:rPr>
          <w:rStyle w:val="InsertedText"/>
        </w:rPr>
        <w:t xml:space="preserve"> </w:t>
      </w:r>
      <w:r>
        <w:rPr>
          <w:rStyle w:val="InsertedText"/>
        </w:rPr>
        <w:t xml:space="preserve">denotes consent creation,</w:t>
      </w:r>
      <w:r>
        <w:rPr>
          <w:rStyle w:val="InsertedText"/>
        </w:rPr>
        <w:t xml:space="preserve"> </w:t>
      </w:r>
      <m:oMath>
        <m:r>
          <w:rPr>
            <w:color w:val="C00000"/>
          </w:rPr>
          <m:t>M</m:t>
        </m:r>
        <m:r>
          <w:rPr>
            <w:color w:val="C00000"/>
          </w:rPr>
          <m:t>S</m:t>
        </m:r>
      </m:oMath>
      <w:r>
        <w:rPr>
          <w:rStyle w:val="InsertedText"/>
        </w:rPr>
        <w:t xml:space="preserve"> </w:t>
      </w:r>
      <w:r>
        <w:rPr>
          <w:rStyle w:val="InsertedText"/>
        </w:rPr>
        <w:t xml:space="preserve">multi-signature approval,</w:t>
      </w:r>
      <w:r>
        <w:rPr>
          <w:rStyle w:val="InsertedText"/>
        </w:rPr>
        <w:t xml:space="preserve"> </w:t>
      </w:r>
      <m:oMath>
        <m:r>
          <w:rPr>
            <w:color w:val="C00000"/>
          </w:rPr>
          <m:t>S</m:t>
        </m:r>
        <m:r>
          <w:rPr>
            <w:color w:val="C00000"/>
          </w:rPr>
          <m:t>B</m:t>
        </m:r>
        <m:r>
          <w:rPr>
            <w:color w:val="C00000"/>
          </w:rPr>
          <m:t>T</m:t>
        </m:r>
      </m:oMath>
      <w:r>
        <w:rPr>
          <w:rStyle w:val="InsertedText"/>
        </w:rPr>
        <w:t xml:space="preserve"> </w:t>
      </w:r>
      <w:r>
        <w:rPr>
          <w:rStyle w:val="InsertedText"/>
        </w:rPr>
        <w:t xml:space="preserve">consent activation,</w:t>
      </w:r>
      <w:r>
        <w:rPr>
          <w:rStyle w:val="InsertedText"/>
        </w:rPr>
        <w:t xml:space="preserve"> </w:t>
      </w:r>
      <m:oMath>
        <m:r>
          <w:rPr>
            <w:color w:val="C00000"/>
          </w:rPr>
          <m:t>S</m:t>
        </m:r>
        <m:r>
          <w:rPr>
            <w:color w:val="C00000"/>
          </w:rPr>
          <m:t>t</m:t>
        </m:r>
        <m:r>
          <w:rPr>
            <w:color w:val="C00000"/>
          </w:rPr>
          <m:t>a</m:t>
        </m:r>
        <m:r>
          <w:rPr>
            <w:color w:val="C00000"/>
          </w:rPr>
          <m:t>t</m:t>
        </m:r>
        <m:r>
          <w:rPr>
            <w:color w:val="C00000"/>
          </w:rPr>
          <m:t>e</m:t>
        </m:r>
        <m:r>
          <w:rPr>
            <w:color w:val="C00000"/>
          </w:rPr>
          <m:t>C</m:t>
        </m:r>
        <m:r>
          <w:rPr>
            <w:color w:val="C00000"/>
          </w:rPr>
          <m:t>h</m:t>
        </m:r>
        <m:r>
          <w:rPr>
            <w:color w:val="C00000"/>
          </w:rPr>
          <m:t>e</m:t>
        </m:r>
        <m:r>
          <w:rPr>
            <w:color w:val="C00000"/>
          </w:rPr>
          <m:t>c</m:t>
        </m:r>
        <m:r>
          <w:rPr>
            <w:color w:val="C00000"/>
          </w:rPr>
          <m:t>k</m:t>
        </m:r>
      </m:oMath>
      <w:r>
        <w:rPr>
          <w:rStyle w:val="InsertedText"/>
        </w:rPr>
        <w:t xml:space="preserve"> </w:t>
      </w:r>
      <w:r>
        <w:rPr>
          <w:rStyle w:val="InsertedText"/>
        </w:rPr>
        <w:t xml:space="preserve">lifecycle validation,</w:t>
      </w:r>
      <w:r>
        <w:rPr>
          <w:rStyle w:val="InsertedText"/>
        </w:rPr>
        <w:t xml:space="preserve"> </w:t>
      </w:r>
      <m:oMath>
        <m:r>
          <w:rPr>
            <w:color w:val="C00000"/>
          </w:rPr>
          <m:t>A</m:t>
        </m:r>
        <m:r>
          <w:rPr>
            <w:color w:val="C00000"/>
          </w:rPr>
          <m:t>c</m:t>
        </m:r>
        <m:r>
          <w:rPr>
            <w:color w:val="C00000"/>
          </w:rPr>
          <m:t>c</m:t>
        </m:r>
        <m:r>
          <w:rPr>
            <w:color w:val="C00000"/>
          </w:rPr>
          <m:t>e</m:t>
        </m:r>
        <m:r>
          <w:rPr>
            <w:color w:val="C00000"/>
          </w:rPr>
          <m:t>s</m:t>
        </m:r>
        <m:r>
          <w:rPr>
            <w:color w:val="C00000"/>
          </w:rPr>
          <m:t>s</m:t>
        </m:r>
        <m:r>
          <w:rPr>
            <w:color w:val="C00000"/>
          </w:rPr>
          <m:t>D</m:t>
        </m:r>
        <m:r>
          <w:rPr>
            <w:color w:val="C00000"/>
          </w:rPr>
          <m:t>e</m:t>
        </m:r>
        <m:r>
          <w:rPr>
            <w:color w:val="C00000"/>
          </w:rPr>
          <m:t>c</m:t>
        </m:r>
        <m:r>
          <w:rPr>
            <w:color w:val="C00000"/>
          </w:rPr>
          <m:t>i</m:t>
        </m:r>
        <m:r>
          <w:rPr>
            <w:color w:val="C00000"/>
          </w:rPr>
          <m:t>s</m:t>
        </m:r>
        <m:r>
          <w:rPr>
            <w:color w:val="C00000"/>
          </w:rPr>
          <m:t>i</m:t>
        </m:r>
        <m:r>
          <w:rPr>
            <w:color w:val="C00000"/>
          </w:rPr>
          <m:t>o</m:t>
        </m:r>
        <m:r>
          <w:rPr>
            <w:color w:val="C00000"/>
          </w:rPr>
          <m:t>n</m:t>
        </m:r>
      </m:oMath>
      <w:r>
        <w:rPr>
          <w:rStyle w:val="InsertedText"/>
        </w:rPr>
        <w:t xml:space="preserve"> </w:t>
      </w:r>
      <w:r>
        <w:rPr>
          <w:rStyle w:val="InsertedText"/>
        </w:rPr>
        <w:t xml:space="preserve">authorisation enforcement,</w:t>
      </w:r>
      <w:r>
        <w:rPr>
          <w:rStyle w:val="InsertedText"/>
        </w:rPr>
        <w:t xml:space="preserve"> </w:t>
      </w:r>
      <m:oMath>
        <m:r>
          <w:rPr>
            <w:color w:val="C00000"/>
          </w:rPr>
          <m:t>E</m:t>
        </m:r>
        <m:r>
          <w:rPr>
            <w:color w:val="C00000"/>
          </w:rPr>
          <m:t>M</m:t>
        </m:r>
        <m:r>
          <w:rPr>
            <w:color w:val="C00000"/>
          </w:rPr>
          <m:t>R</m:t>
        </m:r>
      </m:oMath>
      <w:r>
        <w:rPr>
          <w:rStyle w:val="InsertedText"/>
        </w:rPr>
        <w:t xml:space="preserve"> </w:t>
      </w:r>
      <w:r>
        <w:rPr>
          <w:rStyle w:val="InsertedText"/>
        </w:rPr>
        <w:t xml:space="preserve">authorised medical-record access, and</w:t>
      </w:r>
      <w:r>
        <w:rPr>
          <w:rStyle w:val="InsertedText"/>
        </w:rPr>
        <w:t xml:space="preserve"> </w:t>
      </w:r>
      <m:oMath>
        <m:r>
          <w:rPr>
            <w:color w:val="C00000"/>
          </w:rPr>
          <m:t>A</m:t>
        </m:r>
        <m:r>
          <w:rPr>
            <w:color w:val="C00000"/>
          </w:rPr>
          <m:t>u</m:t>
        </m:r>
        <m:r>
          <w:rPr>
            <w:color w:val="C00000"/>
          </w:rPr>
          <m:t>d</m:t>
        </m:r>
        <m:r>
          <w:rPr>
            <w:color w:val="C00000"/>
          </w:rPr>
          <m:t>i</m:t>
        </m:r>
        <m:r>
          <w:rPr>
            <w:color w:val="C00000"/>
          </w:rPr>
          <m:t>t</m:t>
        </m:r>
      </m:oMath>
      <w:r>
        <w:rPr>
          <w:rStyle w:val="InsertedText"/>
        </w:rPr>
        <w:t xml:space="preserve"> </w:t>
      </w:r>
      <w:r>
        <w:rPr>
          <w:rStyle w:val="InsertedText"/>
        </w:rPr>
        <w:t xml:space="preserve">immutable lifecycle recording.</w:t>
      </w:r>
    </w:p>
    <w:p>
      <w:pPr>
        <w:pStyle w:val="InsertedPara"/>
      </w:pPr>
      <w:r>
        <w:rPr>
          <w:rStyle w:val="InsertedText"/>
        </w:rPr>
        <w:t xml:space="preserve">From a research-implementation perspective, the most significant feature of the presented subsystems is therefore the</w:t>
      </w:r>
      <w:r>
        <w:rPr>
          <w:rStyle w:val="InsertedText"/>
        </w:rPr>
        <w:t xml:space="preserve"> </w:t>
      </w:r>
      <w:r>
        <w:rPr>
          <w:rStyle w:val="InsertedText"/>
          <w:b/>
          <w:bCs/>
        </w:rPr>
        <w:t xml:space="preserve">continuity between consent specification, multi-party authorisation, access enforcement and audit evidence</w:t>
      </w:r>
      <w:r>
        <w:rPr>
          <w:rStyle w:val="InsertedText"/>
        </w:rPr>
        <w:t xml:space="preserve">. The user subsystems provide a visible representation of this continuity, allowing the proposed HALAH model to be demonstrated as an operational authorisation workflow rather than only as a conceptual framework.</w:t>
      </w:r>
    </w:p>
    <w:bookmarkEnd w:id="153"/>
    <w:bookmarkStart w:id="157" w:name="X88b3d53607b792a9f4430f1be3c348b9a46cb27"/>
    <w:p>
      <w:pPr>
        <w:pStyle w:val="Heading2"/>
      </w:pPr>
      <w:r>
        <w:rPr>
          <w:rStyle w:val="InsertedText"/>
        </w:rPr>
        <w:t xml:space="preserve">7.10 Implementation Mapping to the Source Code</w:t>
      </w:r>
    </w:p>
    <w:p>
      <w:pPr>
        <w:pStyle w:val="InsertedPara"/>
      </w:pPr>
      <w:r>
        <w:rPr>
          <w:rStyle w:val="InsertedText"/>
        </w:rPr>
        <w:t xml:space="preserve">Table 8 shows how the MVC layers of Chapter 5 are realised in the HALAH prototype (repository commit 0a960ca, 22 September 2026), so that the architectural claims can be checked directly against the source code.</w:t>
      </w:r>
    </w:p>
    <w:p>
      <w:pPr>
        <w:pStyle w:val="TableCaption"/>
      </w:pPr>
      <w:r>
        <w:rPr>
          <w:rStyle w:val="InsertedText"/>
        </w:rPr>
        <w:t xml:space="preserve">Table 8: MVC layers and their HALAH implementation</w:t>
      </w:r>
    </w:p>
    <w:tbl>
      <w:tblPr>
        <w:tblStyle w:val="Table"/>
        <w:tblW w:type="pct" w:w="5000"/>
        <w:tblLayout w:type="fixed"/>
        <w:tblLook w:firstRow="1" w:lastRow="0" w:firstColumn="0" w:lastColumn="0" w:noHBand="0" w:noVBand="0" w:val="0020"/>
        <w:tblCaption w:val="Table 8: MVC layers and their HALAH implementation"/>
      </w:tblPr>
      <w:tblGrid>
        <w:gridCol w:w="1096"/>
        <w:gridCol w:w="3168"/>
        <w:gridCol w:w="3655"/>
      </w:tblGrid>
      <w:tr>
        <w:trPr>
          <w:cantSplit/>
          <w:tblHeader w:val="on"/>
        </w:trPr>
        <w:tc>
          <w:tcPr>
            <w:tcBorders>
              <w:bottom w:val="single" w:sz="8" w:space="0" w:color="000000"/>
            </w:tcBorders>
            <w:shd w:val="clear" w:color="auto" w:fill="E7E6E6"/>
            <w:vAlign w:val="center"/>
          </w:tcPr>
          <w:p>
            <w:pPr>
              <w:pStyle w:val="Compact"/>
              <w:jc w:val="left"/>
            </w:pPr>
            <w:r>
              <w:rPr>
                <w:rStyle w:val="InsertedText"/>
                <w:b/>
                <w:bCs/>
              </w:rPr>
              <w:t xml:space="preserve">Layer</w:t>
            </w:r>
          </w:p>
        </w:tc>
        <w:tc>
          <w:tcPr>
            <w:tcBorders>
              <w:bottom w:val="single" w:sz="8" w:space="0" w:color="000000"/>
            </w:tcBorders>
            <w:shd w:val="clear" w:color="auto" w:fill="E7E6E6"/>
            <w:vAlign w:val="center"/>
          </w:tcPr>
          <w:p>
            <w:pPr>
              <w:pStyle w:val="Compact"/>
              <w:jc w:val="left"/>
            </w:pPr>
            <w:r>
              <w:rPr>
                <w:rStyle w:val="InsertedText"/>
                <w:b/>
                <w:bCs/>
              </w:rPr>
              <w:t xml:space="preserve">HALAH module(s)</w:t>
            </w:r>
          </w:p>
        </w:tc>
        <w:tc>
          <w:tcPr>
            <w:tcBorders>
              <w:bottom w:val="single" w:sz="8" w:space="0" w:color="000000"/>
            </w:tcBorders>
            <w:shd w:val="clear" w:color="auto" w:fill="E7E6E6"/>
            <w:vAlign w:val="center"/>
          </w:tcPr>
          <w:p>
            <w:pPr>
              <w:pStyle w:val="Compact"/>
              <w:jc w:val="left"/>
            </w:pPr>
            <w:r>
              <w:rPr>
                <w:rStyle w:val="InsertedText"/>
                <w:b/>
                <w:bCs/>
              </w:rPr>
              <w:t xml:space="preserve">Responsibility</w:t>
            </w:r>
          </w:p>
        </w:tc>
      </w:tr>
      <w:tr>
        <w:trPr>
          <w:cantSplit/>
        </w:trPr>
        <w:tc>
          <w:tcPr/>
          <w:p>
            <w:pPr>
              <w:pStyle w:val="Compact"/>
              <w:jc w:val="left"/>
            </w:pPr>
            <w:r>
              <w:rPr>
                <w:rStyle w:val="InsertedText"/>
              </w:rPr>
              <w:t xml:space="preserve">View</w:t>
            </w:r>
          </w:p>
        </w:tc>
        <w:tc>
          <w:tcPr/>
          <w:p>
            <w:pPr>
              <w:pStyle w:val="Compact"/>
              <w:jc w:val="left"/>
            </w:pPr>
            <w:r>
              <w:rPr>
                <w:rStyle w:val="InsertedText"/>
              </w:rPr>
              <w:t xml:space="preserve">app.py (Patient, Guardian, Doctor and Auditor pages); halah_theme.py</w:t>
            </w:r>
          </w:p>
        </w:tc>
        <w:tc>
          <w:tcPr/>
          <w:p>
            <w:pPr>
              <w:pStyle w:val="Compact"/>
              <w:jc w:val="left"/>
            </w:pPr>
            <w:r>
              <w:rPr>
                <w:rStyle w:val="InsertedText"/>
              </w:rPr>
              <w:t xml:space="preserve">Role-specific interaction; submits requests only</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services/consent_service.py</w:t>
            </w:r>
          </w:p>
        </w:tc>
        <w:tc>
          <w:tcPr/>
          <w:p>
            <w:pPr>
              <w:pStyle w:val="Compact"/>
              <w:jc w:val="left"/>
            </w:pPr>
            <w:r>
              <w:rPr>
                <w:rStyle w:val="InsertedText"/>
              </w:rPr>
              <w:t xml:space="preserve">Consent creation (Algorithm 1)</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services/identity_service.py</w:t>
            </w:r>
          </w:p>
        </w:tc>
        <w:tc>
          <w:tcPr/>
          <w:p>
            <w:pPr>
              <w:pStyle w:val="Compact"/>
              <w:jc w:val="left"/>
            </w:pPr>
            <w:r>
              <w:rPr>
                <w:rStyle w:val="InsertedText"/>
              </w:rPr>
              <w:t xml:space="preserve">DID check; EIP-712 approval signing and verification (Algorithm 2,</w:t>
            </w:r>
            <w:r>
              <w:rPr>
                <w:rStyle w:val="InsertedText"/>
              </w:rPr>
              <w:t xml:space="preserve"> </w:t>
            </w:r>
            <m:oMath>
              <m:sSub>
                <m:e>
                  <m:r>
                    <w:rPr>
                      <w:color w:val="C00000"/>
                    </w:rPr>
                    <m:t>V</m:t>
                  </m:r>
                </m:e>
                <m:sub>
                  <m:r>
                    <w:rPr>
                      <w:color w:val="C00000"/>
                    </w:rPr>
                    <m:t>I</m:t>
                  </m:r>
                </m:sub>
              </m:sSub>
            </m:oMath>
            <w:r>
              <w:rPr>
                <w:rStyle w:val="InsertedText"/>
              </w:rPr>
              <w:t xml:space="preserve">)</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services/state_service.py</w:t>
            </w:r>
          </w:p>
        </w:tc>
        <w:tc>
          <w:tcPr/>
          <w:p>
            <w:pPr>
              <w:pStyle w:val="Compact"/>
              <w:jc w:val="left"/>
            </w:pPr>
            <w:r>
              <w:rPr>
                <w:rStyle w:val="InsertedText"/>
              </w:rPr>
              <w:t xml:space="preserve">Consent state: PENDING_SIGNATURE, PENDING_TOKEN, NOT_STARTED, EXPIRED, REVOKED, ACTIVE (</w:t>
            </w:r>
            <m:oMath>
              <m:sSub>
                <m:e>
                  <m:r>
                    <w:rPr>
                      <w:color w:val="C00000"/>
                    </w:rPr>
                    <m:t>V</m:t>
                  </m:r>
                </m:e>
                <m:sub>
                  <m:r>
                    <w:rPr>
                      <w:color w:val="C00000"/>
                    </w:rPr>
                    <m:t>A</m:t>
                  </m:r>
                </m:sub>
              </m:sSub>
            </m:oMath>
            <w:r>
              <w:rPr>
                <w:rStyle w:val="InsertedText"/>
              </w:rPr>
              <w:t xml:space="preserve">,</w:t>
            </w:r>
            <w:r>
              <w:rPr>
                <w:rStyle w:val="InsertedText"/>
              </w:rPr>
              <w:t xml:space="preserve"> </w:t>
            </w:r>
            <m:oMath>
              <m:sSub>
                <m:e>
                  <m:r>
                    <w:rPr>
                      <w:color w:val="C00000"/>
                    </w:rPr>
                    <m:t>V</m:t>
                  </m:r>
                </m:e>
                <m:sub>
                  <m:r>
                    <w:rPr>
                      <w:color w:val="C00000"/>
                    </w:rPr>
                    <m:t>T</m:t>
                  </m:r>
                </m:sub>
              </m:sSub>
            </m:oMath>
            <w:r>
              <w:rPr>
                <w:rStyle w:val="InsertedText"/>
              </w:rPr>
              <w:t xml:space="preserve">)</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services/access_service.py</w:t>
            </w:r>
          </w:p>
        </w:tc>
        <w:tc>
          <w:tcPr/>
          <w:p>
            <w:pPr>
              <w:pStyle w:val="Compact"/>
              <w:jc w:val="left"/>
            </w:pPr>
            <w:r>
              <w:rPr>
                <w:rStyle w:val="InsertedText"/>
              </w:rPr>
              <w:t xml:space="preserve">Scope check, release gate and decision matrix (Algorithm 4,</w:t>
            </w:r>
            <w:r>
              <w:rPr>
                <w:rStyle w:val="InsertedText"/>
              </w:rPr>
              <w:t xml:space="preserve"> </w:t>
            </w:r>
            <m:oMath>
              <m:sSub>
                <m:e>
                  <m:r>
                    <w:rPr>
                      <w:color w:val="C00000"/>
                    </w:rPr>
                    <m:t>V</m:t>
                  </m:r>
                </m:e>
                <m:sub>
                  <m:r>
                    <w:rPr>
                      <w:color w:val="C00000"/>
                    </w:rPr>
                    <m:t>P</m:t>
                  </m:r>
                </m:sub>
              </m:sSub>
            </m:oMath>
            <w:r>
              <w:rPr>
                <w:rStyle w:val="InsertedText"/>
              </w:rPr>
              <w:t xml:space="preserve">)</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services/blockchain_service.py; services/anchor_service.py</w:t>
            </w:r>
          </w:p>
        </w:tc>
        <w:tc>
          <w:tcPr/>
          <w:p>
            <w:pPr>
              <w:pStyle w:val="Compact"/>
              <w:jc w:val="left"/>
            </w:pPr>
            <w:r>
              <w:rPr>
                <w:rStyle w:val="InsertedText"/>
              </w:rPr>
              <w:t xml:space="preserve">SBT minting, revocation and on-chain anchoring (evidence</w:t>
            </w:r>
            <w:r>
              <w:rPr>
                <w:rStyle w:val="InsertedText"/>
              </w:rPr>
              <w:t xml:space="preserve"> </w:t>
            </w:r>
            <m:oMath>
              <m:r>
                <w:rPr>
                  <w:color w:val="C00000"/>
                </w:rPr>
                <m:t>E</m:t>
              </m:r>
            </m:oMath>
            <w:r>
              <w:rPr>
                <w:rStyle w:val="InsertedText"/>
              </w:rPr>
              <w:t xml:space="preserve">)</w:t>
            </w:r>
          </w:p>
        </w:tc>
      </w:tr>
      <w:tr>
        <w:trPr>
          <w:cantSplit/>
        </w:trPr>
        <w:tc>
          <w:tcPr/>
          <w:p>
            <w:pPr>
              <w:pStyle w:val="Compact"/>
              <w:jc w:val="left"/>
            </w:pPr>
            <w:r>
              <w:rPr>
                <w:rStyle w:val="InsertedText"/>
              </w:rPr>
              <w:t xml:space="preserve">Model</w:t>
            </w:r>
          </w:p>
        </w:tc>
        <w:tc>
          <w:tcPr/>
          <w:p>
            <w:pPr>
              <w:pStyle w:val="Compact"/>
              <w:jc w:val="left"/>
            </w:pPr>
            <w:r>
              <w:rPr>
                <w:rStyle w:val="InsertedText"/>
              </w:rPr>
              <w:t xml:space="preserve">models/consent.py; models/access.py</w:t>
            </w:r>
          </w:p>
        </w:tc>
        <w:tc>
          <w:tcPr/>
          <w:p>
            <w:pPr>
              <w:pStyle w:val="Compact"/>
              <w:jc w:val="left"/>
            </w:pPr>
            <w:r>
              <w:rPr>
                <w:rStyle w:val="InsertedText"/>
              </w:rPr>
              <w:t xml:space="preserve">Consent object</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and access request</w:t>
            </w:r>
            <w:r>
              <w:rPr>
                <w:rStyle w:val="InsertedText"/>
              </w:rPr>
              <w:t xml:space="preserve"> </w:t>
            </w:r>
            <m:oMath>
              <m:r>
                <w:rPr>
                  <w:color w:val="C00000"/>
                </w:rPr>
                <m:t>R</m:t>
              </m:r>
            </m:oMath>
          </w:p>
        </w:tc>
      </w:tr>
      <w:tr>
        <w:trPr>
          <w:cantSplit/>
        </w:trPr>
        <w:tc>
          <w:tcPr/>
          <w:p>
            <w:pPr>
              <w:pStyle w:val="Compact"/>
              <w:jc w:val="left"/>
            </w:pPr>
            <w:r>
              <w:rPr>
                <w:rStyle w:val="InsertedText"/>
              </w:rPr>
              <w:t xml:space="preserve">Model</w:t>
            </w:r>
          </w:p>
        </w:tc>
        <w:tc>
          <w:tcPr/>
          <w:p>
            <w:pPr>
              <w:pStyle w:val="Compact"/>
              <w:jc w:val="left"/>
            </w:pPr>
            <w:r>
              <w:rPr>
                <w:rStyle w:val="InsertedText"/>
              </w:rPr>
              <w:t xml:space="preserve">database/ (SQLite persistence, audit log, DID mapping)</w:t>
            </w:r>
          </w:p>
        </w:tc>
        <w:tc>
          <w:tcPr/>
          <w:p>
            <w:pPr>
              <w:pStyle w:val="Compact"/>
              <w:jc w:val="left"/>
            </w:pPr>
            <w:r>
              <w:rPr>
                <w:rStyle w:val="InsertedText"/>
              </w:rPr>
              <w:t xml:space="preserve">Persistent consent, approval and audit state</w:t>
            </w:r>
          </w:p>
        </w:tc>
      </w:tr>
      <w:tr>
        <w:trPr>
          <w:cantSplit/>
        </w:trPr>
        <w:tc>
          <w:tcPr/>
          <w:p>
            <w:pPr>
              <w:pStyle w:val="Compact"/>
              <w:jc w:val="left"/>
            </w:pPr>
            <w:r>
              <w:rPr>
                <w:rStyle w:val="InsertedText"/>
              </w:rPr>
              <w:t xml:space="preserve">Protected resource</w:t>
            </w:r>
          </w:p>
        </w:tc>
        <w:tc>
          <w:tcPr/>
          <w:p>
            <w:pPr>
              <w:pStyle w:val="Compact"/>
              <w:jc w:val="left"/>
            </w:pPr>
            <w:r>
              <w:rPr>
                <w:rStyle w:val="InsertedText"/>
              </w:rPr>
              <w:t xml:space="preserve">data/synthea/*.csv via database/repository.py</w:t>
            </w:r>
          </w:p>
        </w:tc>
        <w:tc>
          <w:tcPr/>
          <w:p>
            <w:pPr>
              <w:pStyle w:val="Compact"/>
              <w:jc w:val="left"/>
            </w:pPr>
            <w:r>
              <w:rPr>
                <w:rStyle w:val="InsertedText"/>
              </w:rPr>
              <w:t xml:space="preserve">Synthetic EMR modules [38], released only after authorisation</w:t>
            </w:r>
          </w:p>
        </w:tc>
      </w:tr>
      <w:tr>
        <w:trPr>
          <w:cantSplit/>
        </w:trPr>
        <w:tc>
          <w:tcPr/>
          <w:p>
            <w:pPr>
              <w:pStyle w:val="Compact"/>
              <w:jc w:val="left"/>
            </w:pPr>
            <w:r>
              <w:rPr>
                <w:rStyle w:val="InsertedText"/>
              </w:rPr>
              <w:t xml:space="preserve">Smart contract</w:t>
            </w:r>
          </w:p>
        </w:tc>
        <w:tc>
          <w:tcPr/>
          <w:p>
            <w:pPr>
              <w:pStyle w:val="Compact"/>
              <w:jc w:val="left"/>
            </w:pPr>
            <w:r>
              <w:rPr>
                <w:rStyle w:val="InsertedText"/>
              </w:rPr>
              <w:t xml:space="preserve">contracts/ConsentSBTv3.sol</w:t>
            </w:r>
          </w:p>
        </w:tc>
        <w:tc>
          <w:tcPr/>
          <w:p>
            <w:pPr>
              <w:pStyle w:val="Compact"/>
              <w:jc w:val="left"/>
            </w:pPr>
            <w:r>
              <w:rPr>
                <w:rStyle w:val="InsertedText"/>
              </w:rPr>
              <w:t xml:space="preserve">Soulbound consent token; on-chain validity; ERC-5484 burn [40]</w:t>
            </w:r>
          </w:p>
        </w:tc>
      </w:tr>
    </w:tbl>
    <w:p>
      <w:pPr>
        <w:pStyle w:val="InsertedPara"/>
      </w:pPr>
      <w:r>
        <w:rPr>
          <w:rStyle w:val="InsertedText"/>
        </w:rPr>
        <w:t xml:space="preserve">Figure 18 traces one consent through the four subsystems of the prototype and shows where each check is enforced and which events are written to the audit log.</w:t>
      </w:r>
    </w:p>
    <w:tbl>
      <w:tblPr>
        <w:tblStyle w:val="FigureTable"/>
        <w:tblW w:type="dxa" w:w="9072"/>
        <w:jc w:val="center"/>
        <w:tblLook w:firstRow="0" w:lastRow="0" w:firstColumn="0" w:lastColumn="0"/>
      </w:tblPr>
      <w:tblGrid>
        <w:gridCol w:w="9072"/>
      </w:tblGrid>
      <w:tr>
        <w:trPr>
          <w:cantSplit/>
        </w:trPr>
        <w:tc>
          <w:tcPr/>
          <w:p>
            <w:pPr>
              <w:pStyle w:val="Compact"/>
              <w:jc w:val="center"/>
            </w:pPr>
            <w:r>
              <w:drawing>
                <wp:inline>
                  <wp:extent cx="3922776" cy="7689606"/>
                  <wp:effectExtent b="0" l="0" r="0" t="0"/>
                  <wp:docPr descr="Figure 18: HALAH prototype workflow from consent creation to audited access decision" title="" id="155" name="Picture"/>
                  <a:graphic>
                    <a:graphicData uri="http://schemas.openxmlformats.org/drawingml/2006/picture">
                      <pic:pic>
                        <pic:nvPicPr>
                          <pic:cNvPr descr="media_col/fig_halah.png" id="156" name="Picture"/>
                          <pic:cNvPicPr>
                            <a:picLocks noChangeArrowheads="1" noChangeAspect="1"/>
                          </pic:cNvPicPr>
                        </pic:nvPicPr>
                        <pic:blipFill>
                          <a:blip r:embed="rId154"/>
                          <a:stretch>
                            <a:fillRect/>
                          </a:stretch>
                        </pic:blipFill>
                        <pic:spPr bwMode="auto">
                          <a:xfrm>
                            <a:off x="0" y="0"/>
                            <a:ext cx="3922776" cy="7689606"/>
                          </a:xfrm>
                          <a:prstGeom prst="rect">
                            <a:avLst/>
                          </a:prstGeom>
                          <a:noFill/>
                          <a:ln w="9525">
                            <a:noFill/>
                            <a:headEnd/>
                            <a:tailEnd/>
                          </a:ln>
                        </pic:spPr>
                      </pic:pic>
                    </a:graphicData>
                  </a:graphic>
                </wp:inline>
              </w:drawing>
            </w:r>
          </w:p>
        </w:tc>
      </w:tr>
    </w:tbl>
    <w:p>
      <w:pPr>
        <w:pStyle w:val="ImageCaption"/>
      </w:pPr>
      <w:r>
        <w:rPr>
          <w:rStyle w:val="InsertedText"/>
        </w:rPr>
        <w:t xml:space="preserve">Figure 18: HALAH prototype workflow from consent creation to audited access decision</w:t>
      </w:r>
    </w:p>
    <w:bookmarkEnd w:id="157"/>
    <w:bookmarkStart w:id="158" w:name="automated-test-evidence"/>
    <w:p>
      <w:pPr>
        <w:pStyle w:val="Heading2"/>
      </w:pPr>
      <w:r>
        <w:rPr>
          <w:rStyle w:val="InsertedText"/>
        </w:rPr>
        <w:t xml:space="preserve">7.11 Automated Test Evidence</w:t>
      </w:r>
    </w:p>
    <w:p>
      <w:pPr>
        <w:pStyle w:val="InsertedPara"/>
      </w:pPr>
      <w:r>
        <w:rPr>
          <w:rStyle w:val="InsertedText"/>
        </w:rPr>
        <w:t xml:space="preserve">Table 9 summarises the automated tests of the prototype (pytest 9.1.1, Python 3.11, run on 28 September 2026): 16 tests passed, 2 were skipped and none failed.</w:t>
      </w:r>
    </w:p>
    <w:p>
      <w:pPr>
        <w:pStyle w:val="TableCaption"/>
      </w:pPr>
      <w:r>
        <w:rPr>
          <w:rStyle w:val="InsertedText"/>
        </w:rPr>
        <w:t xml:space="preserve">Table 9: Automated test results of the HALAH prototype</w:t>
      </w:r>
    </w:p>
    <w:tbl>
      <w:tblPr>
        <w:tblStyle w:val="Table"/>
        <w:tblW w:type="pct" w:w="5000"/>
        <w:tblLayout w:type="fixed"/>
        <w:tblLook w:firstRow="1" w:lastRow="0" w:firstColumn="0" w:lastColumn="0" w:noHBand="0" w:noVBand="0" w:val="0020"/>
        <w:tblCaption w:val="Table 9: Automated test results of the HALAH prototype"/>
      </w:tblPr>
      <w:tblGrid>
        <w:gridCol w:w="446"/>
        <w:gridCol w:w="1338"/>
        <w:gridCol w:w="4127"/>
        <w:gridCol w:w="892"/>
        <w:gridCol w:w="1115"/>
      </w:tblGrid>
      <w:tr>
        <w:trPr>
          <w:cantSplit/>
          <w:tblHeader w:val="on"/>
        </w:trPr>
        <w:tc>
          <w:tcPr>
            <w:tcBorders>
              <w:bottom w:val="single" w:sz="8" w:space="0" w:color="000000"/>
            </w:tcBorders>
            <w:shd w:val="clear" w:color="auto" w:fill="E7E6E6"/>
            <w:vAlign w:val="center"/>
          </w:tcPr>
          <w:p>
            <w:pPr>
              <w:pStyle w:val="Compact"/>
              <w:jc w:val="left"/>
            </w:pPr>
            <w:r>
              <w:rPr>
                <w:rStyle w:val="InsertedText"/>
                <w:b/>
                <w:bCs/>
              </w:rPr>
              <w:t xml:space="preserve">ID</w:t>
            </w:r>
          </w:p>
        </w:tc>
        <w:tc>
          <w:tcPr>
            <w:tcBorders>
              <w:bottom w:val="single" w:sz="8" w:space="0" w:color="000000"/>
            </w:tcBorders>
            <w:shd w:val="clear" w:color="auto" w:fill="E7E6E6"/>
            <w:vAlign w:val="center"/>
          </w:tcPr>
          <w:p>
            <w:pPr>
              <w:pStyle w:val="Compact"/>
              <w:jc w:val="left"/>
            </w:pPr>
            <w:r>
              <w:rPr>
                <w:rStyle w:val="InsertedText"/>
                <w:b/>
                <w:bCs/>
              </w:rPr>
              <w:t xml:space="preserve">Scenario</w:t>
            </w:r>
          </w:p>
        </w:tc>
        <w:tc>
          <w:tcPr>
            <w:tcBorders>
              <w:bottom w:val="single" w:sz="8" w:space="0" w:color="000000"/>
            </w:tcBorders>
            <w:shd w:val="clear" w:color="auto" w:fill="E7E6E6"/>
            <w:vAlign w:val="center"/>
          </w:tcPr>
          <w:p>
            <w:pPr>
              <w:pStyle w:val="Compact"/>
              <w:jc w:val="left"/>
            </w:pPr>
            <w:r>
              <w:rPr>
                <w:rStyle w:val="InsertedText"/>
                <w:b/>
                <w:bCs/>
              </w:rPr>
              <w:t xml:space="preserve">Condition tested → expected outcome</w:t>
            </w:r>
          </w:p>
        </w:tc>
        <w:tc>
          <w:tcPr>
            <w:tcBorders>
              <w:bottom w:val="single" w:sz="8" w:space="0" w:color="000000"/>
            </w:tcBorders>
            <w:shd w:val="clear" w:color="auto" w:fill="E7E6E6"/>
            <w:vAlign w:val="center"/>
          </w:tcPr>
          <w:p>
            <w:pPr>
              <w:pStyle w:val="Compact"/>
              <w:jc w:val="left"/>
            </w:pPr>
            <w:r>
              <w:rPr>
                <w:rStyle w:val="InsertedText"/>
                <w:b/>
                <w:bCs/>
              </w:rPr>
              <w:t xml:space="preserve">Predicate</w:t>
            </w:r>
          </w:p>
        </w:tc>
        <w:tc>
          <w:tcPr>
            <w:tcBorders>
              <w:bottom w:val="single" w:sz="8" w:space="0" w:color="000000"/>
            </w:tcBorders>
            <w:shd w:val="clear" w:color="auto" w:fill="E7E6E6"/>
            <w:vAlign w:val="center"/>
          </w:tcPr>
          <w:p>
            <w:pPr>
              <w:pStyle w:val="Compact"/>
              <w:jc w:val="left"/>
            </w:pPr>
            <w:r>
              <w:rPr>
                <w:rStyle w:val="InsertedText"/>
                <w:b/>
                <w:bCs/>
              </w:rPr>
              <w:t xml:space="preserve">Observed</w:t>
            </w:r>
          </w:p>
        </w:tc>
      </w:tr>
      <w:tr>
        <w:trPr>
          <w:cantSplit/>
        </w:trPr>
        <w:tc>
          <w:tcPr/>
          <w:p>
            <w:pPr>
              <w:pStyle w:val="Compact"/>
              <w:jc w:val="left"/>
            </w:pPr>
            <w:r>
              <w:rPr>
                <w:rStyle w:val="InsertedText"/>
              </w:rPr>
              <w:t xml:space="preserve">T1</w:t>
            </w:r>
          </w:p>
        </w:tc>
        <w:tc>
          <w:tcPr/>
          <w:p>
            <w:pPr>
              <w:pStyle w:val="Compact"/>
              <w:jc w:val="left"/>
            </w:pPr>
            <w:r>
              <w:rPr>
                <w:rStyle w:val="InsertedText"/>
              </w:rPr>
              <w:t xml:space="preserve">EIP-712 guardian approval</w:t>
            </w:r>
          </w:p>
        </w:tc>
        <w:tc>
          <w:tcPr/>
          <w:p>
            <w:pPr>
              <w:pStyle w:val="Compact"/>
              <w:jc w:val="left"/>
            </w:pPr>
            <w:r>
              <w:rPr>
                <w:rStyle w:val="InsertedText"/>
              </w:rPr>
              <w:t xml:space="preserve">Valid signature accepted; wrong guardian, wrong consent ID and missing signature rejected</w:t>
            </w:r>
          </w:p>
        </w:tc>
        <w:tc>
          <w:tcPr/>
          <w:p>
            <w:pPr>
              <w:pStyle w:val="Compact"/>
              <w:jc w:val="left"/>
            </w:pPr>
            <m:oMath>
              <m:sSub>
                <m:e>
                  <m:r>
                    <w:rPr>
                      <w:color w:val="C00000"/>
                    </w:rPr>
                    <m:t>V</m:t>
                  </m:r>
                </m:e>
                <m:sub>
                  <m:r>
                    <w:rPr>
                      <w:color w:val="C00000"/>
                    </w:rPr>
                    <m:t>I</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T2</w:t>
            </w:r>
          </w:p>
        </w:tc>
        <w:tc>
          <w:tcPr/>
          <w:p>
            <w:pPr>
              <w:pStyle w:val="Compact"/>
              <w:jc w:val="left"/>
            </w:pPr>
            <w:r>
              <w:rPr>
                <w:rStyle w:val="InsertedText"/>
              </w:rPr>
              <w:t xml:space="preserve">Decision matrix</w:t>
            </w:r>
          </w:p>
        </w:tc>
        <w:tc>
          <w:tcPr/>
          <w:p>
            <w:pPr>
              <w:pStyle w:val="Compact"/>
              <w:jc w:val="left"/>
            </w:pPr>
            <w:r>
              <w:rPr>
                <w:rStyle w:val="InsertedText"/>
              </w:rPr>
              <w:t xml:space="preserve">All conditions true → ALLOW; wrong jurisdiction, expired consent, revoked consent, purpose</w:t>
            </w:r>
            <w:r>
              <w:rPr>
                <w:rStyle w:val="InsertedText"/>
              </w:rPr>
              <w:t xml:space="preserve"> </w:t>
            </w:r>
            <w:r>
              <w:rPr>
                <w:rStyle w:val="InsertedText"/>
              </w:rPr>
              <w:t xml:space="preserve">‘Marketing’</w:t>
            </w:r>
            <w:r>
              <w:rPr>
                <w:rStyle w:val="InsertedText"/>
              </w:rPr>
              <w:t xml:space="preserve"> </w:t>
            </w:r>
            <w:r>
              <w:rPr>
                <w:rStyle w:val="InsertedText"/>
              </w:rPr>
              <w:t xml:space="preserve">and forged signature each make the corresponding predicate fail</w:t>
            </w:r>
          </w:p>
        </w:tc>
        <w:tc>
          <w:tcPr/>
          <w:p>
            <w:pPr>
              <w:pStyle w:val="Compact"/>
              <w:jc w:val="left"/>
            </w:pPr>
            <m:oMath>
              <m:sSub>
                <m:e>
                  <m:r>
                    <w:rPr>
                      <w:color w:val="C00000"/>
                    </w:rPr>
                    <m:t>V</m:t>
                  </m:r>
                </m:e>
                <m:sub>
                  <m:r>
                    <w:rPr>
                      <w:color w:val="C00000"/>
                    </w:rPr>
                    <m:t>I</m:t>
                  </m:r>
                </m:sub>
              </m:sSub>
            </m:oMath>
            <w:r>
              <w:rPr>
                <w:rStyle w:val="InsertedText"/>
              </w:rPr>
              <w:t xml:space="preserve">–</w:t>
            </w:r>
            <m:oMath>
              <m:sSub>
                <m:e>
                  <m:r>
                    <w:rPr>
                      <w:color w:val="C00000"/>
                    </w:rPr>
                    <m:t>V</m:t>
                  </m:r>
                </m:e>
                <m:sub>
                  <m:r>
                    <w:rPr>
                      <w:color w:val="C00000"/>
                    </w:rPr>
                    <m:t>L</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T3</w:t>
            </w:r>
          </w:p>
        </w:tc>
        <w:tc>
          <w:tcPr/>
          <w:p>
            <w:pPr>
              <w:pStyle w:val="Compact"/>
              <w:jc w:val="left"/>
            </w:pPr>
            <w:r>
              <w:rPr>
                <w:rStyle w:val="InsertedText"/>
              </w:rPr>
              <w:t xml:space="preserve">End-to-end lifecycle (chain mocked)</w:t>
            </w:r>
          </w:p>
        </w:tc>
        <w:tc>
          <w:tcPr/>
          <w:p>
            <w:pPr>
              <w:pStyle w:val="Compact"/>
              <w:jc w:val="left"/>
            </w:pPr>
            <w:r>
              <w:rPr>
                <w:rStyle w:val="InsertedText"/>
              </w:rPr>
              <w:t xml:space="preserve">Create → PENDING_SIGNATURE; two signatures and mint → ACTIVE; revoke → REVOKED</w:t>
            </w:r>
          </w:p>
        </w:tc>
        <w:tc>
          <w:tcPr/>
          <w:p>
            <w:pPr>
              <w:pStyle w:val="Compact"/>
              <w:jc w:val="left"/>
            </w:pPr>
            <m:oMath>
              <m:sSub>
                <m:e>
                  <m:r>
                    <w:rPr>
                      <w:color w:val="C00000"/>
                    </w:rPr>
                    <m:t>V</m:t>
                  </m:r>
                </m:e>
                <m:sub>
                  <m:r>
                    <w:rPr>
                      <w:color w:val="C00000"/>
                    </w:rPr>
                    <m:t>A</m:t>
                  </m:r>
                </m:sub>
              </m:sSub>
            </m:oMath>
            <w:r>
              <w:rPr>
                <w:rStyle w:val="InsertedText"/>
              </w:rPr>
              <w:t xml:space="preserve">,</w:t>
            </w:r>
            <w:r>
              <w:rPr>
                <w:rStyle w:val="InsertedText"/>
              </w:rPr>
              <w:t xml:space="preserve"> </w:t>
            </w:r>
            <m:oMath>
              <m:sSub>
                <m:e>
                  <m:r>
                    <w:rPr>
                      <w:color w:val="C00000"/>
                    </w:rPr>
                    <m:t>V</m:t>
                  </m:r>
                </m:e>
                <m:sub>
                  <m:r>
                    <w:rPr>
                      <w:color w:val="C00000"/>
                    </w:rPr>
                    <m:t>L</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T4</w:t>
            </w:r>
          </w:p>
        </w:tc>
        <w:tc>
          <w:tcPr/>
          <w:p>
            <w:pPr>
              <w:pStyle w:val="Compact"/>
              <w:jc w:val="left"/>
            </w:pPr>
            <w:r>
              <w:rPr>
                <w:rStyle w:val="InsertedText"/>
              </w:rPr>
              <w:t xml:space="preserve">Revocation state</w:t>
            </w:r>
          </w:p>
        </w:tc>
        <w:tc>
          <w:tcPr/>
          <w:p>
            <w:pPr>
              <w:pStyle w:val="Compact"/>
              <w:jc w:val="left"/>
            </w:pPr>
            <w:r>
              <w:rPr>
                <w:rStyle w:val="InsertedText"/>
              </w:rPr>
              <w:t xml:space="preserve">An ACTIVE consent becomes REVOKED when revoked</w:t>
            </w:r>
          </w:p>
        </w:tc>
        <w:tc>
          <w:tcPr/>
          <w:p>
            <w:pPr>
              <w:pStyle w:val="Compact"/>
              <w:jc w:val="left"/>
            </w:pPr>
            <m:oMath>
              <m:sSub>
                <m:e>
                  <m:r>
                    <w:rPr>
                      <w:color w:val="C00000"/>
                    </w:rPr>
                    <m:t>V</m:t>
                  </m:r>
                </m:e>
                <m:sub>
                  <m:r>
                    <w:rPr>
                      <w:color w:val="C00000"/>
                    </w:rPr>
                    <m:t>L</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T5</w:t>
            </w:r>
          </w:p>
        </w:tc>
        <w:tc>
          <w:tcPr/>
          <w:p>
            <w:pPr>
              <w:pStyle w:val="Compact"/>
              <w:jc w:val="left"/>
            </w:pPr>
            <w:r>
              <w:rPr>
                <w:rStyle w:val="InsertedText"/>
              </w:rPr>
              <w:t xml:space="preserve">v3 contract routing</w:t>
            </w:r>
          </w:p>
        </w:tc>
        <w:tc>
          <w:tcPr/>
          <w:p>
            <w:pPr>
              <w:pStyle w:val="Compact"/>
              <w:jc w:val="left"/>
            </w:pPr>
            <w:r>
              <w:rPr>
                <w:rStyle w:val="InsertedText"/>
              </w:rPr>
              <w:t xml:space="preserve">The v3 mint carries jurisdiction</w:t>
            </w:r>
            <w:r>
              <w:rPr>
                <w:rStyle w:val="InsertedText"/>
              </w:rPr>
              <w:t xml:space="preserve"> </w:t>
            </w:r>
            <w:r>
              <w:rPr>
                <w:rStyle w:val="InsertedText"/>
              </w:rPr>
              <w:t xml:space="preserve">‘AU’</w:t>
            </w:r>
            <w:r>
              <w:rPr>
                <w:rStyle w:val="InsertedText"/>
              </w:rPr>
              <w:t xml:space="preserve"> </w:t>
            </w:r>
            <w:r>
              <w:rPr>
                <w:rStyle w:val="InsertedText"/>
              </w:rPr>
              <w:t xml:space="preserve">and notBefore &lt; expiry</w:t>
            </w:r>
          </w:p>
        </w:tc>
        <w:tc>
          <w:tcPr/>
          <w:p>
            <w:pPr>
              <w:pStyle w:val="Compact"/>
              <w:jc w:val="left"/>
            </w:pPr>
            <m:oMath>
              <m:sSub>
                <m:e>
                  <m:r>
                    <w:rPr>
                      <w:color w:val="C00000"/>
                    </w:rPr>
                    <m:t>V</m:t>
                  </m:r>
                </m:e>
                <m:sub>
                  <m:r>
                    <w:rPr>
                      <w:color w:val="C00000"/>
                    </w:rPr>
                    <m:t>T</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T6</w:t>
            </w:r>
          </w:p>
        </w:tc>
        <w:tc>
          <w:tcPr/>
          <w:p>
            <w:pPr>
              <w:pStyle w:val="Compact"/>
              <w:jc w:val="left"/>
            </w:pPr>
            <w:r>
              <w:rPr>
                <w:rStyle w:val="InsertedText"/>
              </w:rPr>
              <w:t xml:space="preserve">Persistence (3 tests)</w:t>
            </w:r>
          </w:p>
        </w:tc>
        <w:tc>
          <w:tcPr/>
          <w:p>
            <w:pPr>
              <w:pStyle w:val="Compact"/>
              <w:jc w:val="left"/>
            </w:pPr>
            <w:r>
              <w:rPr>
                <w:rStyle w:val="InsertedText"/>
              </w:rPr>
              <w:t xml:space="preserve">Consent, revocation and audit events survive a restart</w:t>
            </w:r>
          </w:p>
        </w:tc>
        <w:tc>
          <w:tcPr/>
          <w:p>
            <w:pPr>
              <w:pStyle w:val="Compact"/>
              <w:jc w:val="left"/>
            </w:pPr>
            <m:oMath>
              <m:r>
                <w:rPr>
                  <w:color w:val="C00000"/>
                </w:rPr>
                <m:t>E</m:t>
              </m:r>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T7</w:t>
            </w:r>
          </w:p>
        </w:tc>
        <w:tc>
          <w:tcPr/>
          <w:p>
            <w:pPr>
              <w:pStyle w:val="Compact"/>
              <w:jc w:val="left"/>
            </w:pPr>
            <w:r>
              <w:rPr>
                <w:rStyle w:val="InsertedText"/>
              </w:rPr>
              <w:t xml:space="preserve">Audit honesty (2 tests)</w:t>
            </w:r>
          </w:p>
        </w:tc>
        <w:tc>
          <w:tcPr/>
          <w:p>
            <w:pPr>
              <w:pStyle w:val="Compact"/>
              <w:jc w:val="left"/>
            </w:pPr>
            <w:r>
              <w:rPr>
                <w:rStyle w:val="InsertedText"/>
              </w:rPr>
              <w:t xml:space="preserve">Off-chain events carry no synthetic transaction hash; on-chain events keep the real one</w:t>
            </w:r>
          </w:p>
        </w:tc>
        <w:tc>
          <w:tcPr/>
          <w:p>
            <w:pPr>
              <w:pStyle w:val="Compact"/>
              <w:jc w:val="left"/>
            </w:pPr>
            <m:oMath>
              <m:r>
                <w:rPr>
                  <w:color w:val="C00000"/>
                </w:rPr>
                <m:t>E</m:t>
              </m:r>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T8</w:t>
            </w:r>
          </w:p>
        </w:tc>
        <w:tc>
          <w:tcPr/>
          <w:p>
            <w:pPr>
              <w:pStyle w:val="Compact"/>
              <w:jc w:val="left"/>
            </w:pPr>
            <w:r>
              <w:rPr>
                <w:rStyle w:val="InsertedText"/>
              </w:rPr>
              <w:t xml:space="preserve">Configuration and honesty (6 tests)</w:t>
            </w:r>
          </w:p>
        </w:tc>
        <w:tc>
          <w:tcPr/>
          <w:p>
            <w:pPr>
              <w:pStyle w:val="Compact"/>
              <w:jc w:val="left"/>
            </w:pPr>
            <w:r>
              <w:rPr>
                <w:rStyle w:val="InsertedText"/>
              </w:rPr>
              <w:t xml:space="preserve">Deterministic DID-to-address mapping, configuration checks, contract interface and honest interface labels</w:t>
            </w:r>
          </w:p>
        </w:tc>
        <w:tc>
          <w:tcPr/>
          <w:p>
            <w:pPr>
              <w:pStyle w:val="Compact"/>
              <w:jc w:val="left"/>
            </w:pPr>
            <w:r>
              <w:rPr>
                <w:rStyle w:val="InsertedText"/>
              </w:rPr>
              <w:t xml:space="preserve">–</w:t>
            </w:r>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T9</w:t>
            </w:r>
          </w:p>
        </w:tc>
        <w:tc>
          <w:tcPr/>
          <w:p>
            <w:pPr>
              <w:pStyle w:val="Compact"/>
              <w:jc w:val="left"/>
            </w:pPr>
            <w:r>
              <w:rPr>
                <w:rStyle w:val="InsertedText"/>
              </w:rPr>
              <w:t xml:space="preserve">Groth16 zero-knowledge (2 tests)</w:t>
            </w:r>
          </w:p>
        </w:tc>
        <w:tc>
          <w:tcPr/>
          <w:p>
            <w:pPr>
              <w:pStyle w:val="Compact"/>
              <w:jc w:val="left"/>
            </w:pPr>
            <w:r>
              <w:rPr>
                <w:rStyle w:val="InsertedText"/>
              </w:rPr>
              <w:t xml:space="preserve">Proof round-trip and tamper rejection; an expired consent cannot be proven</w:t>
            </w:r>
          </w:p>
        </w:tc>
        <w:tc>
          <w:tcPr/>
          <w:p>
            <w:pPr>
              <w:pStyle w:val="Compact"/>
              <w:jc w:val="left"/>
            </w:pPr>
            <m:oMath>
              <m:sSub>
                <m:e>
                  <m:r>
                    <w:rPr>
                      <w:color w:val="C00000"/>
                    </w:rPr>
                    <m:t>V</m:t>
                  </m:r>
                </m:e>
                <m:sub>
                  <m:r>
                    <w:rPr>
                      <w:color w:val="C00000"/>
                    </w:rPr>
                    <m:t>T</m:t>
                  </m:r>
                </m:sub>
              </m:sSub>
            </m:oMath>
          </w:p>
        </w:tc>
        <w:tc>
          <w:tcPr/>
          <w:p>
            <w:pPr>
              <w:pStyle w:val="Compact"/>
              <w:jc w:val="left"/>
            </w:pPr>
            <w:r>
              <w:rPr>
                <w:rStyle w:val="InsertedText"/>
              </w:rPr>
              <w:t xml:space="preserve">Skipped (circuit not built)</w:t>
            </w:r>
          </w:p>
        </w:tc>
      </w:tr>
    </w:tbl>
    <w:p>
      <w:pPr>
        <w:pStyle w:val="InsertedPara"/>
      </w:pPr>
      <w:r>
        <w:rPr>
          <w:rStyle w:val="InsertedText"/>
        </w:rPr>
        <w:t xml:space="preserve">These are functional unit and integration tests in which the blockchain is mocked. They provide initial evidence for SRQ1–SRQ4 and for the first SRQ5 checks, but they are not yet the complete valid, negative and adversarial scenario set of Algorithm 6. Negative cases still to be added in Stage 2 include insufficient approvals at the data-release gate, a duplicate approval attempt, an out-of-scope request submitted directly to the service interface, and a request with a mismatched declared purpose.</w:t>
      </w:r>
    </w:p>
    <w:bookmarkEnd w:id="158"/>
    <w:bookmarkStart w:id="159" w:name="on-chain-evidence"/>
    <w:p>
      <w:pPr>
        <w:pStyle w:val="Heading2"/>
      </w:pPr>
      <w:r>
        <w:rPr>
          <w:rStyle w:val="InsertedText"/>
        </w:rPr>
        <w:t xml:space="preserve">7.12 On-Chain Evidence</w:t>
      </w:r>
    </w:p>
    <w:p>
      <w:pPr>
        <w:pStyle w:val="InsertedPara"/>
      </w:pPr>
      <w:r>
        <w:rPr>
          <w:rStyle w:val="InsertedText"/>
        </w:rPr>
        <w:t xml:space="preserve">Table 10 lists the consent tokens anchored on the Ethereum Sepolia testnet (chain ID 11155111) by the ConsentSBTv2 contract at address 0xb0dA0440Abd6bd74bE0aebE226D593492124A6e7. The holder of token #4 equals the address derived from the patient DID</w:t>
      </w:r>
      <w:r>
        <w:rPr>
          <w:rStyle w:val="InsertedText"/>
        </w:rPr>
        <w:t xml:space="preserve"> </w:t>
      </w:r>
      <w:r>
        <w:rPr>
          <w:rStyle w:val="InsertedText"/>
        </w:rPr>
        <w:t xml:space="preserve">‘did:patient:demo’</w:t>
      </w:r>
      <w:r>
        <w:rPr>
          <w:rStyle w:val="InsertedText"/>
        </w:rPr>
        <w:t xml:space="preserve">, which demonstrates the DID-to-address binding used by the prototype.</w:t>
      </w:r>
    </w:p>
    <w:p>
      <w:pPr>
        <w:pStyle w:val="TableCaption"/>
      </w:pPr>
      <w:r>
        <w:rPr>
          <w:rStyle w:val="InsertedText"/>
        </w:rPr>
        <w:t xml:space="preserve">Table 10: Consent SBTs anchored on Ethereum Sepolia</w:t>
      </w:r>
    </w:p>
    <w:tbl>
      <w:tblPr>
        <w:tblStyle w:val="Table"/>
        <w:tblW w:type="pct" w:w="5000"/>
        <w:tblLayout w:type="fixed"/>
        <w:tblLook w:firstRow="1" w:lastRow="0" w:firstColumn="0" w:lastColumn="0" w:noHBand="0" w:noVBand="0" w:val="0020"/>
        <w:tblCaption w:val="Table 10: Consent SBTs anchored on Ethereum Sepolia"/>
      </w:tblPr>
      <w:tblGrid>
        <w:gridCol w:w="1111"/>
        <w:gridCol w:w="1389"/>
        <w:gridCol w:w="5418"/>
      </w:tblGrid>
      <w:tr>
        <w:trPr>
          <w:cantSplit/>
          <w:tblHeader w:val="on"/>
        </w:trPr>
        <w:tc>
          <w:tcPr>
            <w:tcBorders>
              <w:bottom w:val="single" w:sz="8" w:space="0" w:color="000000"/>
            </w:tcBorders>
            <w:shd w:val="clear" w:color="auto" w:fill="E7E6E6"/>
            <w:vAlign w:val="center"/>
          </w:tcPr>
          <w:p>
            <w:pPr>
              <w:pStyle w:val="Compact"/>
              <w:jc w:val="left"/>
            </w:pPr>
            <w:r>
              <w:rPr>
                <w:rStyle w:val="InsertedText"/>
                <w:b/>
                <w:bCs/>
              </w:rPr>
              <w:t xml:space="preserve">Token</w:t>
            </w:r>
          </w:p>
        </w:tc>
        <w:tc>
          <w:tcPr>
            <w:tcBorders>
              <w:bottom w:val="single" w:sz="8" w:space="0" w:color="000000"/>
            </w:tcBorders>
            <w:shd w:val="clear" w:color="auto" w:fill="E7E6E6"/>
            <w:vAlign w:val="center"/>
          </w:tcPr>
          <w:p>
            <w:pPr>
              <w:pStyle w:val="Compact"/>
              <w:jc w:val="left"/>
            </w:pPr>
            <w:r>
              <w:rPr>
                <w:rStyle w:val="InsertedText"/>
                <w:b/>
                <w:bCs/>
              </w:rPr>
              <w:t xml:space="preserve">Block</w:t>
            </w:r>
          </w:p>
        </w:tc>
        <w:tc>
          <w:tcPr>
            <w:tcBorders>
              <w:bottom w:val="single" w:sz="8" w:space="0" w:color="000000"/>
            </w:tcBorders>
            <w:shd w:val="clear" w:color="auto" w:fill="E7E6E6"/>
            <w:vAlign w:val="center"/>
          </w:tcPr>
          <w:p>
            <w:pPr>
              <w:pStyle w:val="Compact"/>
              <w:jc w:val="left"/>
            </w:pPr>
            <w:r>
              <w:rPr>
                <w:rStyle w:val="InsertedText"/>
                <w:b/>
                <w:bCs/>
              </w:rPr>
              <w:t xml:space="preserve">Transaction hash</w:t>
            </w:r>
          </w:p>
        </w:tc>
      </w:tr>
      <w:tr>
        <w:trPr>
          <w:cantSplit/>
        </w:trPr>
        <w:tc>
          <w:tcPr/>
          <w:p>
            <w:pPr>
              <w:pStyle w:val="Compact"/>
              <w:jc w:val="left"/>
            </w:pPr>
            <w:r>
              <w:rPr>
                <w:rStyle w:val="InsertedText"/>
              </w:rPr>
              <w:t xml:space="preserve">#1</w:t>
            </w:r>
          </w:p>
        </w:tc>
        <w:tc>
          <w:tcPr/>
          <w:p>
            <w:pPr>
              <w:pStyle w:val="Compact"/>
              <w:jc w:val="left"/>
            </w:pPr>
            <w:r>
              <w:rPr>
                <w:rStyle w:val="InsertedText"/>
              </w:rPr>
              <w:t xml:space="preserve">11750525</w:t>
            </w:r>
          </w:p>
        </w:tc>
        <w:tc>
          <w:tcPr/>
          <w:p>
            <w:pPr>
              <w:pStyle w:val="Compact"/>
              <w:jc w:val="left"/>
            </w:pPr>
            <w:r>
              <w:rPr>
                <w:rStyle w:val="InsertedText"/>
              </w:rPr>
              <w:t xml:space="preserve">0x5bfb45ee43f180369161db5b2773593c8fab091bdc50e1b2054901c0de105367</w:t>
            </w:r>
          </w:p>
        </w:tc>
      </w:tr>
      <w:tr>
        <w:trPr>
          <w:cantSplit/>
        </w:trPr>
        <w:tc>
          <w:tcPr/>
          <w:p>
            <w:pPr>
              <w:pStyle w:val="Compact"/>
              <w:jc w:val="left"/>
            </w:pPr>
            <w:r>
              <w:rPr>
                <w:rStyle w:val="InsertedText"/>
              </w:rPr>
              <w:t xml:space="preserve">#2</w:t>
            </w:r>
          </w:p>
        </w:tc>
        <w:tc>
          <w:tcPr/>
          <w:p>
            <w:pPr>
              <w:pStyle w:val="Compact"/>
              <w:jc w:val="left"/>
            </w:pPr>
            <w:r>
              <w:rPr>
                <w:rStyle w:val="InsertedText"/>
              </w:rPr>
              <w:t xml:space="preserve">11750632</w:t>
            </w:r>
          </w:p>
        </w:tc>
        <w:tc>
          <w:tcPr/>
          <w:p>
            <w:pPr>
              <w:pStyle w:val="Compact"/>
              <w:jc w:val="left"/>
            </w:pPr>
            <w:r>
              <w:rPr>
                <w:rStyle w:val="InsertedText"/>
              </w:rPr>
              <w:t xml:space="preserve">0x1b964596cdef2c67af345f566ea501a5be609a8e917097596b241e56fc522907</w:t>
            </w:r>
          </w:p>
        </w:tc>
      </w:tr>
      <w:tr>
        <w:trPr>
          <w:cantSplit/>
        </w:trPr>
        <w:tc>
          <w:tcPr/>
          <w:p>
            <w:pPr>
              <w:pStyle w:val="Compact"/>
              <w:jc w:val="left"/>
            </w:pPr>
            <w:r>
              <w:rPr>
                <w:rStyle w:val="InsertedText"/>
              </w:rPr>
              <w:t xml:space="preserve">#3</w:t>
            </w:r>
          </w:p>
        </w:tc>
        <w:tc>
          <w:tcPr/>
          <w:p>
            <w:pPr>
              <w:pStyle w:val="Compact"/>
              <w:jc w:val="left"/>
            </w:pPr>
            <w:r>
              <w:rPr>
                <w:rStyle w:val="InsertedText"/>
              </w:rPr>
              <w:t xml:space="preserve">11750702</w:t>
            </w:r>
          </w:p>
        </w:tc>
        <w:tc>
          <w:tcPr/>
          <w:p>
            <w:pPr>
              <w:pStyle w:val="Compact"/>
              <w:jc w:val="left"/>
            </w:pPr>
            <w:r>
              <w:rPr>
                <w:rStyle w:val="InsertedText"/>
              </w:rPr>
              <w:t xml:space="preserve">0x6812ab1608bd475891d5a8c2007c6955e7225c06c81a649bd1735aabef251121</w:t>
            </w:r>
          </w:p>
        </w:tc>
      </w:tr>
      <w:tr>
        <w:trPr>
          <w:cantSplit/>
        </w:trPr>
        <w:tc>
          <w:tcPr/>
          <w:p>
            <w:pPr>
              <w:pStyle w:val="Compact"/>
              <w:jc w:val="left"/>
            </w:pPr>
            <w:r>
              <w:rPr>
                <w:rStyle w:val="InsertedText"/>
              </w:rPr>
              <w:t xml:space="preserve">#4</w:t>
            </w:r>
          </w:p>
        </w:tc>
        <w:tc>
          <w:tcPr/>
          <w:p>
            <w:pPr>
              <w:pStyle w:val="Compact"/>
              <w:jc w:val="left"/>
            </w:pPr>
            <w:r>
              <w:rPr>
                <w:rStyle w:val="InsertedText"/>
              </w:rPr>
              <w:t xml:space="preserve">11750722</w:t>
            </w:r>
          </w:p>
        </w:tc>
        <w:tc>
          <w:tcPr/>
          <w:p>
            <w:pPr>
              <w:pStyle w:val="Compact"/>
              <w:jc w:val="left"/>
            </w:pPr>
            <w:r>
              <w:rPr>
                <w:rStyle w:val="InsertedText"/>
              </w:rPr>
              <w:t xml:space="preserve">0xa4c4156bd943578a6f8f29a536eb39e1acce238a86c5a4ad00d85eff497e014a</w:t>
            </w:r>
          </w:p>
        </w:tc>
      </w:tr>
    </w:tbl>
    <w:bookmarkEnd w:id="159"/>
    <w:bookmarkStart w:id="160" w:name="implementation-status-and-limitations"/>
    <w:p>
      <w:pPr>
        <w:pStyle w:val="Heading2"/>
      </w:pPr>
      <w:r>
        <w:rPr>
          <w:rStyle w:val="InsertedText"/>
        </w:rPr>
        <w:t xml:space="preserve">7.13 Implementation Status and Limitations</w:t>
      </w:r>
    </w:p>
    <w:p>
      <w:pPr>
        <w:pStyle w:val="InsertedPara"/>
      </w:pPr>
      <w:r>
        <w:rPr>
          <w:rStyle w:val="InsertedText"/>
        </w:rPr>
        <w:t xml:space="preserve">The screenshots in Figures 13–17 were captured from the first version of the prototype. The current version (v1.1) records guardian approvals as EIP-712 signatures, labels the data-access proof as a placeholder unless the zero-knowledge circuit is built, and reports on-chain anchoring per event. The following limitations apply to the current evidence:</w:t>
      </w:r>
    </w:p>
    <w:p>
      <w:pPr>
        <w:pStyle w:val="Compact"/>
        <w:numPr>
          <w:ilvl w:val="0"/>
          <w:numId w:val="1075"/>
        </w:numPr>
      </w:pPr>
      <w:r>
        <w:rPr>
          <w:rStyle w:val="InsertedText"/>
        </w:rPr>
        <w:t xml:space="preserve">Guardian signing keys are derived from the DID for demonstration; a deployment would use each guardian’s own wallet.</w:t>
      </w:r>
    </w:p>
    <w:p>
      <w:pPr>
        <w:pStyle w:val="Compact"/>
        <w:numPr>
          <w:ilvl w:val="0"/>
          <w:numId w:val="1075"/>
        </w:numPr>
      </w:pPr>
      <w:r>
        <w:rPr>
          <w:rStyle w:val="InsertedText"/>
        </w:rPr>
        <w:t xml:space="preserve">DID verification is syntactic, and no W3C Verifiable Credential is yet issued or verified (Stage 2).</w:t>
      </w:r>
    </w:p>
    <w:p>
      <w:pPr>
        <w:pStyle w:val="Compact"/>
        <w:numPr>
          <w:ilvl w:val="0"/>
          <w:numId w:val="1075"/>
        </w:numPr>
      </w:pPr>
      <w:r>
        <w:rPr>
          <w:rStyle w:val="InsertedText"/>
        </w:rPr>
        <w:t xml:space="preserve">The threshold is</w:t>
      </w:r>
      <w:r>
        <w:rPr>
          <w:rStyle w:val="InsertedText"/>
        </w:rPr>
        <w:t xml:space="preserve"> </w:t>
      </w:r>
      <m:oMath>
        <m:r>
          <w:rPr>
            <w:color w:val="C00000"/>
          </w:rPr>
          <m:t>N</m:t>
        </m:r>
        <m:r>
          <m:rPr>
            <m:sty m:val="p"/>
          </m:rPr>
          <w:rPr>
            <w:color w:val="C00000"/>
          </w:rPr>
          <m:t>=</m:t>
        </m:r>
        <m:d>
          <m:dPr>
            <m:begChr m:val="|"/>
            <m:sepChr m:val=""/>
            <m:endChr m:val="|"/>
            <m:grow/>
          </m:dPr>
          <m:e>
            <m:r>
              <w:rPr>
                <w:color w:val="C00000"/>
              </w:rPr>
              <m:t>G</m:t>
            </m:r>
          </m:e>
        </m:d>
      </m:oMath>
      <w:r>
        <w:rPr>
          <w:rStyle w:val="InsertedText"/>
        </w:rPr>
        <w:t xml:space="preserve"> </w:t>
      </w:r>
      <w:r>
        <w:rPr>
          <w:rStyle w:val="InsertedText"/>
        </w:rPr>
        <w:t xml:space="preserve">(all designated guardians); configurable k-of-n thresholds are not yet supported.</w:t>
      </w:r>
    </w:p>
    <w:p>
      <w:pPr>
        <w:pStyle w:val="Compact"/>
        <w:numPr>
          <w:ilvl w:val="0"/>
          <w:numId w:val="1075"/>
        </w:numPr>
      </w:pPr>
      <w:r>
        <w:rPr>
          <w:rStyle w:val="InsertedText"/>
        </w:rPr>
        <w:t xml:space="preserve">Purpose is checked against a fixed list; per-request purpose binding is Stage 2 work.</w:t>
      </w:r>
    </w:p>
    <w:p>
      <w:pPr>
        <w:pStyle w:val="Compact"/>
        <w:numPr>
          <w:ilvl w:val="0"/>
          <w:numId w:val="1075"/>
        </w:numPr>
      </w:pPr>
      <w:r>
        <w:rPr>
          <w:rStyle w:val="InsertedText"/>
        </w:rPr>
        <w:t xml:space="preserve">Data release is gated by consent state, proof and scope rather than by the full decision matrix.</w:t>
      </w:r>
    </w:p>
    <w:p>
      <w:pPr>
        <w:pStyle w:val="Compact"/>
        <w:numPr>
          <w:ilvl w:val="0"/>
          <w:numId w:val="1075"/>
        </w:numPr>
      </w:pPr>
      <w:r>
        <w:rPr>
          <w:rStyle w:val="InsertedText"/>
        </w:rPr>
        <w:t xml:space="preserve">Healthcare data are synthetic (Synthea [38]), and the blockchain is a public testnet rather than a production network.</w:t>
      </w:r>
    </w:p>
    <w:p>
      <w:pPr>
        <w:pStyle w:val="Compact"/>
        <w:numPr>
          <w:ilvl w:val="0"/>
          <w:numId w:val="1075"/>
        </w:numPr>
      </w:pPr>
      <w:r>
        <w:rPr>
          <w:rStyle w:val="InsertedText"/>
        </w:rPr>
        <w:t xml:space="preserve">The Groth16 circuit proves consent validity only and uses a development-only trusted setup.</w:t>
      </w:r>
    </w:p>
    <w:p>
      <w:pPr>
        <w:pStyle w:val="Compact"/>
        <w:numPr>
          <w:ilvl w:val="0"/>
          <w:numId w:val="1075"/>
        </w:numPr>
      </w:pPr>
      <w:r>
        <w:rPr>
          <w:rStyle w:val="InsertedText"/>
        </w:rPr>
        <w:t xml:space="preserve">Evaluation to date is functional (18 automated tests); performance and adversarial measurements are Stage 2 work.</w:t>
      </w:r>
    </w:p>
    <w:p>
      <w:pPr>
        <w:pStyle w:val="InsertedPara"/>
      </w:pPr>
      <w:r>
        <w:rPr>
          <w:rStyle w:val="ReviewerNote"/>
        </w:rPr>
        <w:t xml:space="preserve">Author action: retake Figures 13–17 from prototype v1.1 so the screenshots match the current code.</w:t>
      </w:r>
    </w:p>
    <w:bookmarkEnd w:id="160"/>
    <w:bookmarkEnd w:id="161"/>
    <w:bookmarkStart w:id="168" w:name="current-progress-status"/>
    <w:p>
      <w:pPr>
        <w:pStyle w:val="Heading1"/>
      </w:pPr>
      <w:r>
        <w:rPr>
          <w:rStyle w:val="DeletedText"/>
        </w:rPr>
        <w:t xml:space="preserve">7</w:t>
      </w:r>
      <w:r>
        <w:rPr>
          <w:rStyle w:val="InsertedText"/>
        </w:rPr>
        <w:t xml:space="preserve">8</w:t>
      </w:r>
      <w:r>
        <w:t xml:space="preserve"> </w:t>
      </w:r>
      <w:r>
        <w:t xml:space="preserve">Current Progress Status</w:t>
      </w:r>
    </w:p>
    <w:bookmarkStart w:id="162" w:name="X14610c74215ca842dde591adf203c91218a1a96"/>
    <w:p>
      <w:pPr>
        <w:pStyle w:val="Heading2"/>
      </w:pPr>
      <w:r>
        <w:rPr>
          <w:rStyle w:val="DeletedText"/>
        </w:rPr>
        <w:t xml:space="preserve">7.1</w:t>
      </w:r>
      <w:r>
        <w:rPr>
          <w:rStyle w:val="InsertedText"/>
        </w:rPr>
        <w:t xml:space="preserve">8.1</w:t>
      </w:r>
      <w:r>
        <w:t xml:space="preserve"> </w:t>
      </w:r>
      <w:r>
        <w:t xml:space="preserve">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w:t>
      </w:r>
      <w:r>
        <w:t xml:space="preserve"> </w:t>
      </w:r>
      <w:r>
        <w:rPr>
          <w:rStyle w:val="DeletedText"/>
        </w:rPr>
        <w:t xml:space="preserve">The proposed representation is</w:t>
      </w:r>
      <w:r>
        <w:rPr>
          <w:rStyle w:val="InsertedText"/>
        </w:rPr>
        <w:t xml:space="preserve">The proposed representation is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(Eq. (7)).</w:t>
      </w:r>
    </w:p>
    <w:p>
      <w:pPr>
        <w:pStyle w:val="BodyText"/>
      </w:pPr>
      <w:r>
        <w:rPr>
          <w:rStyle w:val="ReviewerNote"/>
        </w:rPr>
        <w:t xml:space="preserve">delete repeated equation ▸</w:t>
      </w:r>
      <w:r>
        <w:t xml:space="preserve"> </w:t>
      </w:r>
      <m:oMathPara>
        <m:oMathParaPr>
          <m:jc m:val="center"/>
        </m:oMathParaPr>
        <m:oMath>
          <m:r>
            <w:rPr>
              <w:color w:val="C00000"/>
              <w:strike/>
            </w:rPr>
            <m:t>C</m:t>
          </m:r>
          <m:r>
            <m:rPr>
              <m:sty m:val="p"/>
            </m:rPr>
            <w:rPr>
              <w:color w:val="C00000"/>
              <w:strike/>
            </w:rPr>
            <m:t>=</m:t>
          </m:r>
          <m:r>
            <m:rPr>
              <m:sty m:val="p"/>
            </m:rPr>
            <w:rPr>
              <w:color w:val="C00000"/>
              <w:strike/>
            </w:rPr>
            <m:t>(</m:t>
          </m:r>
          <m:r>
            <w:rPr>
              <w:color w:val="C00000"/>
              <w:strike/>
            </w:rPr>
            <m:t>I</m:t>
          </m:r>
          <m:r>
            <m:rPr>
              <m:sty m:val="p"/>
            </m:rPr>
            <w:rPr>
              <w:color w:val="C00000"/>
              <w:strike/>
            </w:rPr>
            <m:t>,</m:t>
          </m:r>
          <m:r>
            <w:rPr>
              <w:color w:val="C00000"/>
              <w:strike/>
            </w:rPr>
            <m:t>A</m:t>
          </m:r>
          <m:r>
            <m:rPr>
              <m:sty m:val="p"/>
            </m:rPr>
            <w:rPr>
              <w:color w:val="C00000"/>
              <w:strike/>
            </w:rPr>
            <m:t>,</m:t>
          </m:r>
          <m:r>
            <w:rPr>
              <w:color w:val="C00000"/>
              <w:strike/>
            </w:rPr>
            <m:t>P</m:t>
          </m:r>
          <m:r>
            <m:rPr>
              <m:sty m:val="p"/>
            </m:rPr>
            <w:rPr>
              <w:color w:val="C00000"/>
              <w:strike/>
            </w:rPr>
            <m:t>,</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71</m:t>
          </m:r>
          <m:r>
            <m:rPr>
              <m:sty m:val="p"/>
            </m:rPr>
            <w:rPr>
              <w:color w:val="C00000"/>
              <w:strike/>
            </w:rPr>
            <m:t>)</m:t>
          </m:r>
        </m:oMath>
      </m:oMathPara>
    </w:p>
    <w:p>
      <w:pPr>
        <w:pStyle w:val="FirstParagraph"/>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w:t>
      </w:r>
      <w:r>
        <w:t xml:space="preserve"> </w:t>
      </w:r>
      <w:r>
        <w:rPr>
          <w:rStyle w:val="InsertedText"/>
        </w:rPr>
        <w:t xml:space="preserve">In the HALAH prototype the consent object is implemented as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(Section 7.2).</w:t>
      </w:r>
      <w:r>
        <w:t xml:space="preserve"> </w:t>
      </w:r>
      <w:r>
        <w:t xml:space="preserve">This provides a conceptual basis for dynamic access decisions and allows subsequent authorisation conditions to be evaluated consistently.</w:t>
      </w:r>
    </w:p>
    <w:bookmarkEnd w:id="162"/>
    <w:bookmarkStart w:id="163" w:name="X559e9df15ebd031f98715062b5b54bf7a8f1d60"/>
    <w:p>
      <w:pPr>
        <w:pStyle w:val="Heading2"/>
      </w:pPr>
      <w:r>
        <w:rPr>
          <w:rStyle w:val="DeletedText"/>
        </w:rPr>
        <w:t xml:space="preserve">7.2</w:t>
      </w:r>
      <w:r>
        <w:rPr>
          <w:rStyle w:val="InsertedText"/>
        </w:rPr>
        <w:t xml:space="preserve">8.2</w:t>
      </w:r>
      <w:r>
        <w:t xml:space="preserve"> </w:t>
      </w:r>
      <w:r>
        <w:t xml:space="preserve">Progress of RO2: Decentralised Identity and Authority</w:t>
      </w:r>
    </w:p>
    <w:p>
      <w:pPr>
        <w:pStyle w:val="FirstParagraph"/>
      </w:pPr>
      <w:r>
        <w:rPr>
          <w:rStyle w:val="DeletedText"/>
          <w:b/>
          <w:bCs/>
        </w:rPr>
        <w:t xml:space="preserve">Status: Completed</w:t>
      </w:r>
      <w:r>
        <w:rPr>
          <w:rStyle w:val="InsertedText"/>
          <w:b/>
          <w:bCs/>
        </w:rPr>
        <w:t xml:space="preserve">Status: Completed (prototype level; W3C VC verification in Stage 2)</w:t>
      </w:r>
    </w:p>
    <w:p>
      <w:pPr>
        <w:pStyle w:val="BodyText"/>
      </w:pPr>
      <w:r>
        <w:t xml:space="preserve">RO2 has been completed at the conceptual and prototype level. The proposed framework explicitly separates identity authentication from</w:t>
      </w:r>
      <w:r>
        <w:t xml:space="preserve"> </w:t>
      </w:r>
      <w:r>
        <w:rPr>
          <w:rStyle w:val="DeletedText"/>
        </w:rPr>
        <w:t xml:space="preserve">authorisation authority that</w:t>
      </w:r>
      <w:r>
        <w:rPr>
          <w:rStyle w:val="InsertedText"/>
        </w:rPr>
        <w:t xml:space="preserve">authorisation authority (Eq. (1)).</w:t>
      </w:r>
    </w:p>
    <w:p>
      <w:pPr>
        <w:pStyle w:val="BodyText"/>
      </w:pPr>
      <w:r>
        <w:rPr>
          <w:rStyle w:val="ReviewerNote"/>
        </w:rPr>
        <w:t xml:space="preserve">delete repeated equation ▸</w:t>
      </w:r>
      <w:r>
        <w:t xml:space="preserve"> </w:t>
      </w:r>
      <m:oMathPara>
        <m:oMathParaPr>
          <m:jc m:val="center"/>
        </m:oMathParaPr>
        <m:oMath>
          <m:r>
            <w:rPr>
              <w:color w:val="C00000"/>
              <w:strike/>
            </w:rPr>
            <m:t>I</m:t>
          </m:r>
          <m:r>
            <w:rPr>
              <w:color w:val="C00000"/>
              <w:strike/>
            </w:rPr>
            <m:t>d</m:t>
          </m:r>
          <m:r>
            <w:rPr>
              <w:color w:val="C00000"/>
              <w:strike/>
            </w:rPr>
            <m:t>e</m:t>
          </m:r>
          <m:r>
            <w:rPr>
              <w:color w:val="C00000"/>
              <w:strike/>
            </w:rPr>
            <m:t>n</m:t>
          </m:r>
          <m:r>
            <w:rPr>
              <w:color w:val="C00000"/>
              <w:strike/>
            </w:rPr>
            <m:t>t</m:t>
          </m:r>
          <m:r>
            <w:rPr>
              <w:color w:val="C00000"/>
              <w:strike/>
            </w:rPr>
            <m:t>i</m:t>
          </m:r>
          <m:r>
            <w:rPr>
              <w:color w:val="C00000"/>
              <w:strike/>
            </w:rPr>
            <m:t>t</m:t>
          </m:r>
          <m:r>
            <w:rPr>
              <w:color w:val="C00000"/>
              <w:strike/>
            </w:rPr>
            <m:t>y</m:t>
          </m:r>
          <m:r>
            <m:rPr>
              <m:sty m:val="p"/>
            </m:rPr>
            <w:rPr>
              <w:color w:val="C00000"/>
              <w:strike/>
            </w:rPr>
            <m:t>≠</m:t>
          </m:r>
          <m:r>
            <w:rPr>
              <w:color w:val="C00000"/>
              <w:strike/>
            </w:rPr>
            <m:t>A</m:t>
          </m:r>
          <m:r>
            <w:rPr>
              <w:color w:val="C00000"/>
              <w:strike/>
            </w:rPr>
            <m:t>u</m:t>
          </m:r>
          <m:r>
            <w:rPr>
              <w:color w:val="C00000"/>
              <w:strike/>
            </w:rPr>
            <m:t>t</m:t>
          </m:r>
          <m:r>
            <w:rPr>
              <w:color w:val="C00000"/>
              <w:strike/>
            </w:rPr>
            <m:t>h</m:t>
          </m:r>
          <m:r>
            <w:rPr>
              <w:color w:val="C00000"/>
              <w:strike/>
            </w:rPr>
            <m:t>o</m:t>
          </m:r>
          <m:r>
            <w:rPr>
              <w:color w:val="C00000"/>
              <w:strike/>
            </w:rPr>
            <m:t>r</m:t>
          </m:r>
          <m:r>
            <w:rPr>
              <w:color w:val="C00000"/>
              <w:strike/>
            </w:rPr>
            <m:t>i</m:t>
          </m:r>
          <m:r>
            <w:rPr>
              <w:color w:val="C00000"/>
              <w:strike/>
            </w:rPr>
            <m:t>s</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72</m:t>
          </m:r>
          <m:r>
            <m:rPr>
              <m:sty m:val="p"/>
            </m:rPr>
            <w:rPr>
              <w:color w:val="C00000"/>
              <w:strike/>
            </w:rPr>
            <m:t>)</m:t>
          </m:r>
        </m:oMath>
      </m:oMathPara>
    </w:p>
    <w:p>
      <w:pPr>
        <w:pStyle w:val="FirstParagraph"/>
      </w:pPr>
      <w:r>
        <w:t xml:space="preserve">A decentralised identifier is used to establish the identity of a participant, while verifiable credentials provide evidence concerning the participant’s role or authority.</w:t>
      </w:r>
      <w:r>
        <w:t xml:space="preserve"> </w:t>
      </w:r>
      <w:r>
        <w:rPr>
          <w:rStyle w:val="DeletedText"/>
        </w:rPr>
        <w:t xml:space="preserve">The identity verification condition is represented as</w:t>
      </w:r>
      <w:r>
        <w:rPr>
          <w:rStyle w:val="InsertedText"/>
        </w:rPr>
        <w:t xml:space="preserve">The identity verification condition is given by Eq. (8).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D</m:t>
          </m:r>
          <m:r>
            <w:rPr>
              <w:color w:val="C00000"/>
              <w:strike/>
            </w:rPr>
            <m:t>I</m:t>
          </m:r>
          <m:r>
            <w:rPr>
              <w:color w:val="C00000"/>
              <w:strike/>
            </w:rPr>
            <m:t>D</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V</m:t>
          </m:r>
          <m:r>
            <w:rPr>
              <w:color w:val="C00000"/>
              <w:strike/>
            </w:rPr>
            <m:t>C</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73</m:t>
          </m:r>
          <m:r>
            <m:rPr>
              <m:sty m:val="p"/>
            </m:rPr>
            <w:rPr>
              <w:color w:val="C00000"/>
              <w:strike/>
            </w:rPr>
            <m:t>)</m:t>
          </m:r>
        </m:oMath>
      </m:oMathPara>
    </w:p>
    <w:p>
      <w:pPr>
        <w:pStyle w:val="FirstParagraph"/>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r>
        <w:t xml:space="preserve"> </w:t>
      </w:r>
      <w:r>
        <w:rPr>
          <w:rStyle w:val="InsertedText"/>
        </w:rPr>
        <w:t xml:space="preserve">In the prototype, guardian approvals are EIP-712 signatures verified by public-key recovery; a wrong guardian, a wrong consent identifier or a missing signature is rejected (Table 9, T1).</w:t>
      </w:r>
    </w:p>
    <w:bookmarkEnd w:id="163"/>
    <w:bookmarkStart w:id="164" w:name="Xf706e6be99deea6c1433defe6c0978157a655ed"/>
    <w:p>
      <w:pPr>
        <w:pStyle w:val="Heading2"/>
      </w:pPr>
      <w:r>
        <w:rPr>
          <w:rStyle w:val="DeletedText"/>
        </w:rPr>
        <w:t xml:space="preserve">7.3</w:t>
      </w:r>
      <w:r>
        <w:rPr>
          <w:rStyle w:val="InsertedText"/>
        </w:rPr>
        <w:t xml:space="preserve">8.3</w:t>
      </w:r>
      <w:r>
        <w:t xml:space="preserve"> </w:t>
      </w:r>
      <w:r>
        <w:t xml:space="preserve">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w:t>
      </w:r>
      <w:r>
        <w:t xml:space="preserve"> </w:t>
      </w:r>
      <w:r>
        <w:rPr>
          <w:rStyle w:val="DeletedText"/>
        </w:rPr>
        <w:t xml:space="preserve">The authorisation condition is</w:t>
      </w:r>
      <w:r>
        <w:rPr>
          <w:rStyle w:val="InsertedText"/>
        </w:rPr>
        <w:t xml:space="preserve">The authorisation condition is given by Eq. (9).</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74</m:t>
          </m:r>
          <m:r>
            <m:rPr>
              <m:sty m:val="p"/>
            </m:rPr>
            <w:rPr>
              <w:color w:val="C00000"/>
              <w:strike/>
            </w:rPr>
            <m:t>)</m:t>
          </m:r>
        </m:oMath>
      </m:oMathPara>
    </w:p>
    <w:p>
      <w:pPr>
        <w:pStyle w:val="FirstParagraph"/>
      </w:pPr>
      <w:r>
        <w:rPr>
          <w:rStyle w:val="DeletedText"/>
        </w:rPr>
        <w:t xml:space="preserve">If the threshold is not satisfied,</w:t>
      </w:r>
      <w:r>
        <w:rPr>
          <w:rStyle w:val="InsertedText"/>
        </w:rPr>
        <w:t xml:space="preserve">If the threshold is not satisfied, the decision is DENY (Eq. (10)).</w:t>
      </w:r>
    </w:p>
    <w:p>
      <w:pPr>
        <w:pStyle w:val="BodyText"/>
      </w:pPr>
      <w:r>
        <w:rPr>
          <w:rStyle w:val="ReviewerNote"/>
        </w:rPr>
        <w:t xml:space="preserve">delete repeated equation ▸</w:t>
      </w:r>
      <w:r>
        <w:t xml:space="preserve"> </w:t>
      </w:r>
      <m:oMathPara>
        <m:oMathParaPr>
          <m:jc m:val="center"/>
        </m:oMathParaPr>
        <m:oMath>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75</m:t>
          </m:r>
          <m:r>
            <m:rPr>
              <m:sty m:val="p"/>
            </m:rPr>
            <w:rPr>
              <w:color w:val="C00000"/>
              <w:strike/>
            </w:rPr>
            <m:t>)</m:t>
          </m:r>
        </m:oMath>
      </m:oMathPara>
    </w:p>
    <w:p>
      <w:pPr>
        <w:pStyle w:val="FirstParagraph"/>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DeletedPara"/>
      </w:pPr>
      <w:r>
        <w:rPr>
          <w:rStyle w:val="DeletedText"/>
        </w:rPr>
        <w:t xml:space="preserve">For example, where two approvals are required,</w:t>
      </w:r>
    </w:p>
    <w:p>
      <w:pPr>
        <w:pStyle w:val="DeletedPara"/>
      </w:pPr>
      <w:r>
        <w:rPr>
          <w:rStyle w:val="ReviewerNote"/>
        </w:rPr>
        <w:t xml:space="preserve">delete repeated equation ▸</w:t>
      </w:r>
      <w:r>
        <w:rPr>
          <w:rStyle w:val="DeletedText"/>
        </w:rPr>
        <w:t xml:space="preserve"> </w:t>
      </w:r>
      <m:oMathPara>
        <m:oMathParaPr>
          <m:jc m:val="center"/>
        </m:oMathParaPr>
        <m:oMath>
          <m:d>
            <m:dPr>
              <m:begChr m:val="|"/>
              <m:sepChr m:val=""/>
              <m:endChr m:val="|"/>
              <m:grow/>
            </m:dPr>
            <m:e>
              <m:sSub>
                <m:e>
                  <m:r>
                    <w:rPr>
                      <w:color w:val="C00000"/>
                      <w:strike/>
                      <w:color w:val="C00000"/>
                      <w:strike/>
                    </w:rPr>
                    <m:t>A</m:t>
                  </m:r>
                </m:e>
                <m:sub>
                  <m:r>
                    <w:rPr>
                      <w:color w:val="C00000"/>
                      <w:strike/>
                      <w:color w:val="C00000"/>
                      <w:strike/>
                    </w:rPr>
                    <m:t>v</m:t>
                  </m:r>
                </m:sub>
              </m:sSub>
            </m:e>
          </m:d>
          <m:r>
            <m:rPr>
              <m:sty m:val="p"/>
            </m:rPr>
            <w:rPr>
              <w:color w:val="C00000"/>
              <w:strike/>
              <w:color w:val="C00000"/>
              <w:strike/>
            </w:rPr>
            <m:t>=</m:t>
          </m:r>
          <m:r>
            <w:rPr>
              <w:color w:val="C00000"/>
              <w:strike/>
              <w:color w:val="C00000"/>
              <w:strike/>
            </w:rPr>
            <m:t>2</m:t>
          </m:r>
          <m:r>
            <m:rPr>
              <m:sty m:val="p"/>
            </m:rPr>
            <w:rPr>
              <w:color w:val="C00000"/>
              <w:strike/>
              <w:color w:val="C00000"/>
              <w:strike/>
            </w:rPr>
            <m:t>⇒</m:t>
          </m:r>
          <m:sSub>
            <m:e>
              <m:r>
                <w:rPr>
                  <w:color w:val="C00000"/>
                  <w:strike/>
                  <w:color w:val="C00000"/>
                  <w:strike/>
                </w:rPr>
                <m:t>V</m:t>
              </m:r>
            </m:e>
            <m:sub>
              <m:r>
                <w:rPr>
                  <w:color w:val="C00000"/>
                  <w:strike/>
                  <w:color w:val="C00000"/>
                  <w:strike/>
                </w:rPr>
                <m:t>A</m:t>
              </m:r>
            </m:sub>
          </m:sSub>
          <m:r>
            <m:rPr>
              <m:sty m:val="p"/>
            </m:rPr>
            <w:rPr>
              <w:color w:val="C00000"/>
              <w:strike/>
              <w:color w:val="C00000"/>
              <w:strike/>
            </w:rPr>
            <m:t>(</m:t>
          </m:r>
          <m:r>
            <w:rPr>
              <w:color w:val="C00000"/>
              <w:strike/>
              <w:color w:val="C00000"/>
              <w:strike/>
            </w:rPr>
            <m:t>C</m:t>
          </m:r>
          <m:r>
            <m:rPr>
              <m:sty m:val="p"/>
            </m:rPr>
            <w:rPr>
              <w:color w:val="C00000"/>
              <w:strike/>
              <w:color w:val="C00000"/>
              <w:strike/>
            </w:rPr>
            <m:t>)</m:t>
          </m:r>
          <m:r>
            <m:rPr>
              <m:sty m:val="p"/>
            </m:rPr>
            <w:rPr>
              <w:color w:val="C00000"/>
              <w:strike/>
              <w:color w:val="C00000"/>
              <w:strike/>
            </w:rPr>
            <m:t>=</m:t>
          </m:r>
          <m:r>
            <w:rPr>
              <w:color w:val="C00000"/>
              <w:strike/>
              <w:color w:val="C00000"/>
              <w:strike/>
            </w:rPr>
            <m:t>1</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76</m:t>
          </m:r>
          <m:r>
            <m:rPr>
              <m:sty m:val="p"/>
            </m:rPr>
            <w:rPr>
              <w:color w:val="C00000"/>
              <w:strike/>
              <w:color w:val="C00000"/>
              <w:strike/>
            </w:rPr>
            <m:t>)</m:t>
          </m:r>
        </m:oMath>
      </m:oMathPara>
    </w:p>
    <w:p>
      <w:pPr>
        <w:pStyle w:val="DeletedPara"/>
      </w:pPr>
      <w:r>
        <w:rPr>
          <w:rStyle w:val="DeletedText"/>
        </w:rPr>
        <w:t xml:space="preserve">whereas</w:t>
      </w:r>
    </w:p>
    <w:p>
      <w:pPr>
        <w:pStyle w:val="InsertedPara"/>
      </w:pPr>
      <w:r>
        <w:rPr>
          <w:rStyle w:val="InsertedText"/>
        </w:rPr>
        <w:t xml:space="preserve">For example, with two guardians, one approval leaves the consent in the PENDING_SIGNATURE state, and two approvals followed by SBT minting activate it (Eqs. (25)–(26); Figure 14; Table 9, T3).</w:t>
      </w:r>
    </w:p>
    <w:p>
      <w:pPr>
        <w:pStyle w:val="BodyText"/>
      </w:pPr>
      <w:r>
        <w:rPr>
          <w:rStyle w:val="ReviewerNote"/>
        </w:rPr>
        <w:t xml:space="preserve">delete repeated equation ▸</w:t>
      </w:r>
      <w:r>
        <w:t xml:space="preserve"> </w:t>
      </w:r>
      <m:oMathPara>
        <m:oMathParaPr>
          <m:jc m:val="center"/>
        </m:oMathParaPr>
        <m:oMath>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1</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0</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77</m:t>
          </m:r>
          <m:r>
            <m:rPr>
              <m:sty m:val="p"/>
            </m:rPr>
            <w:rPr>
              <w:color w:val="C00000"/>
              <w:strike/>
            </w:rPr>
            <m:t>)</m:t>
          </m:r>
        </m:oMath>
      </m:oMathPara>
    </w:p>
    <w:p>
      <w:pPr>
        <w:pStyle w:val="FirstParagraph"/>
      </w:pPr>
      <w:r>
        <w:t xml:space="preserve">This provides preliminary evidence that the proposed framework can enforce collective rather than unilateral authorisation.</w:t>
      </w:r>
    </w:p>
    <w:bookmarkEnd w:id="164"/>
    <w:bookmarkStart w:id="165" w:name="X8600b2f76ef27bbd75c7c71838aa9377b2ebdb3"/>
    <w:p>
      <w:pPr>
        <w:pStyle w:val="Heading2"/>
      </w:pPr>
      <w:r>
        <w:rPr>
          <w:rStyle w:val="DeletedText"/>
        </w:rPr>
        <w:t xml:space="preserve">7.4</w:t>
      </w:r>
      <w:r>
        <w:rPr>
          <w:rStyle w:val="InsertedText"/>
        </w:rPr>
        <w:t xml:space="preserve">8.4</w:t>
      </w:r>
      <w:r>
        <w:t xml:space="preserve"> </w:t>
      </w:r>
      <w:r>
        <w:t xml:space="preserve">Progress of RO4: Policy-Aware Access Control</w:t>
      </w:r>
    </w:p>
    <w:p>
      <w:pPr>
        <w:pStyle w:val="FirstParagraph"/>
      </w:pPr>
      <w:r>
        <w:rPr>
          <w:rStyle w:val="DeletedText"/>
          <w:b/>
          <w:bCs/>
        </w:rPr>
        <w:t xml:space="preserve">Status: In Progress</w:t>
      </w:r>
      <w:r>
        <w:rPr>
          <w:rStyle w:val="InsertedText"/>
          <w:b/>
          <w:bCs/>
        </w:rPr>
        <w:t xml:space="preserve">Status: Completed (prototype level)</w:t>
      </w:r>
    </w:p>
    <w:p>
      <w:pPr>
        <w:pStyle w:val="DeletedPara"/>
      </w:pPr>
      <w:r>
        <w:rPr>
          <w:rStyle w:val="DeletedText"/>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V</m:t>
              </m:r>
            </m:e>
            <m:sub>
              <m:r>
                <w:rPr>
                  <w:color w:val="C00000"/>
                  <w:strike/>
                  <w:color w:val="C00000"/>
                  <w:strike/>
                </w:rPr>
                <m:t>P</m:t>
              </m:r>
            </m:sub>
          </m:sSub>
          <m:r>
            <m:rPr>
              <m:sty m:val="p"/>
            </m:rPr>
            <w:rPr>
              <w:color w:val="C00000"/>
              <w:strike/>
              <w:color w:val="C00000"/>
              <w:strike/>
            </w:rPr>
            <m:t>(</m:t>
          </m:r>
          <m:r>
            <w:rPr>
              <w:color w:val="C00000"/>
              <w:strike/>
              <w:color w:val="C00000"/>
              <w:strike/>
            </w:rPr>
            <m:t>C</m:t>
          </m:r>
          <m:r>
            <m:rPr>
              <m:sty m:val="p"/>
            </m:rPr>
            <w:rPr>
              <w:color w:val="C00000"/>
              <w:strike/>
              <w:color w:val="C00000"/>
              <w:strike/>
            </w:rPr>
            <m:t>,</m:t>
          </m:r>
          <m:r>
            <w:rPr>
              <w:color w:val="C00000"/>
              <w:strike/>
              <w:color w:val="C00000"/>
              <w:strike/>
            </w:rPr>
            <m:t>R</m:t>
          </m:r>
          <m:r>
            <m:rPr>
              <m:sty m:val="p"/>
            </m:rPr>
            <w:rPr>
              <w:color w:val="C00000"/>
              <w:strike/>
              <w:color w:val="C00000"/>
              <w:strike/>
            </w:rPr>
            <m:t>)</m:t>
          </m:r>
          <m:r>
            <m:rPr>
              <m:sty m:val="p"/>
            </m:rPr>
            <w:rPr>
              <w:color w:val="C00000"/>
              <w:strike/>
              <w:color w:val="C00000"/>
              <w:strike/>
            </w:rPr>
            <m:t>=</m:t>
          </m:r>
          <m:r>
            <w:rPr>
              <w:color w:val="C00000"/>
              <w:strike/>
              <w:color w:val="C00000"/>
              <w:strike/>
            </w:rPr>
            <m:t>P</m:t>
          </m:r>
          <m:r>
            <w:rPr>
              <w:color w:val="C00000"/>
              <w:strike/>
              <w:color w:val="C00000"/>
              <w:strike/>
            </w:rPr>
            <m:t>o</m:t>
          </m:r>
          <m:r>
            <w:rPr>
              <w:color w:val="C00000"/>
              <w:strike/>
              <w:color w:val="C00000"/>
              <w:strike/>
            </w:rPr>
            <m:t>l</m:t>
          </m:r>
          <m:r>
            <w:rPr>
              <w:color w:val="C00000"/>
              <w:strike/>
              <w:color w:val="C00000"/>
              <w:strike/>
            </w:rPr>
            <m:t>i</m:t>
          </m:r>
          <m:r>
            <w:rPr>
              <w:color w:val="C00000"/>
              <w:strike/>
              <w:color w:val="C00000"/>
              <w:strike/>
            </w:rPr>
            <m:t>c</m:t>
          </m:r>
          <m:r>
            <w:rPr>
              <w:color w:val="C00000"/>
              <w:strike/>
              <w:color w:val="C00000"/>
              <w:strike/>
            </w:rPr>
            <m:t>y</m:t>
          </m:r>
          <m:r>
            <m:rPr>
              <m:sty m:val="p"/>
            </m:rPr>
            <w:rPr>
              <w:color w:val="C00000"/>
              <w:strike/>
              <w:color w:val="C00000"/>
              <w:strike/>
            </w:rPr>
            <m:t>(</m:t>
          </m:r>
          <m:r>
            <w:rPr>
              <w:color w:val="C00000"/>
              <w:strike/>
              <w:color w:val="C00000"/>
              <w:strike/>
            </w:rPr>
            <m:t>C</m:t>
          </m:r>
          <m:r>
            <m:rPr>
              <m:sty m:val="p"/>
            </m:rPr>
            <w:rPr>
              <w:color w:val="C00000"/>
              <w:strike/>
              <w:color w:val="C00000"/>
              <w:strike/>
            </w:rPr>
            <m:t>,</m:t>
          </m:r>
          <m:r>
            <w:rPr>
              <w:color w:val="C00000"/>
              <w:strike/>
              <w:color w:val="C00000"/>
              <w:strike/>
            </w:rPr>
            <m:t>R</m:t>
          </m:r>
          <m:r>
            <m:rPr>
              <m:sty m:val="p"/>
            </m:rPr>
            <w:rPr>
              <w:color w:val="C00000"/>
              <w:strike/>
              <w:color w:val="C00000"/>
              <w:strike/>
            </w:rPr>
            <m:t>)</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78</m:t>
          </m:r>
          <m:r>
            <m:rPr>
              <m:sty m:val="p"/>
            </m:rPr>
            <w:rPr>
              <w:color w:val="C00000"/>
              <w:strike/>
              <w:color w:val="C00000"/>
              <w:strike/>
            </w:rPr>
            <m:t>)</m:t>
          </m:r>
        </m:oMath>
      </m:oMathPara>
    </w:p>
    <w:p>
      <w:pPr>
        <w:pStyle w:val="DeletedPara"/>
      </w:pPr>
      <w:r>
        <w:rPr>
          <w:rStyle w:val="DeletedText"/>
        </w:rPr>
        <w:t xml:space="preserve">For example, if</w:t>
      </w:r>
      <w:r>
        <w:rPr>
          <w:rStyle w:val="DeletedText"/>
        </w:rPr>
        <w:t xml:space="preserve"> </w:t>
      </w:r>
      <w:r>
        <w:rPr>
          <w:rStyle w:val="DeletedText"/>
          <w:i/>
          <w:iCs/>
        </w:rPr>
        <w:t xml:space="preserve">S</w:t>
      </w:r>
      <w:r>
        <w:rPr>
          <w:rStyle w:val="DeletedText"/>
          <w:vertAlign w:val="subscript"/>
        </w:rPr>
        <w:t xml:space="preserve">C</w:t>
      </w:r>
      <w:r>
        <w:rPr>
          <w:rStyle w:val="DeletedText"/>
        </w:rPr>
        <w:t xml:space="preserve"> </w:t>
      </w:r>
      <w:r>
        <w:rPr>
          <w:rStyle w:val="DeletedText"/>
        </w:rPr>
        <w:t xml:space="preserve">= {</w:t>
      </w:r>
      <w:r>
        <w:rPr>
          <w:rStyle w:val="DeletedText"/>
          <w:i/>
          <w:iCs/>
        </w:rPr>
        <w:t xml:space="preserve">Observation, Medication</w:t>
      </w:r>
      <w:r>
        <w:rPr>
          <w:rStyle w:val="DeletedText"/>
        </w:rPr>
        <w:t xml:space="preserve">}, and the requester asks for</w:t>
      </w:r>
      <w:r>
        <w:rPr>
          <w:rStyle w:val="DeletedText"/>
        </w:rPr>
        <w:t xml:space="preserve"> </w:t>
      </w:r>
      <w:r>
        <w:rPr>
          <w:rStyle w:val="DeletedText"/>
          <w:i/>
          <w:iCs/>
        </w:rPr>
        <w:t xml:space="preserve">S</w:t>
      </w:r>
      <w:r>
        <w:rPr>
          <w:rStyle w:val="DeletedText"/>
          <w:vertAlign w:val="subscript"/>
        </w:rPr>
        <w:t xml:space="preserve">R</w:t>
      </w:r>
      <w:r>
        <w:rPr>
          <w:rStyle w:val="DeletedText"/>
        </w:rPr>
        <w:t xml:space="preserve"> </w:t>
      </w:r>
      <w:r>
        <w:rPr>
          <w:rStyle w:val="DeletedText"/>
        </w:rPr>
        <w:t xml:space="preserve">= {</w:t>
      </w:r>
      <w:r>
        <w:rPr>
          <w:rStyle w:val="DeletedText"/>
          <w:i/>
          <w:iCs/>
        </w:rPr>
        <w:t xml:space="preserve">Observation, Medic</w:t>
      </w:r>
      <w:r>
        <w:rPr>
          <w:rStyle w:val="DeletedText"/>
        </w:rPr>
        <w:t xml:space="preserve"> </w:t>
      </w:r>
      <w:r>
        <w:rPr>
          <w:rStyle w:val="DeletedText"/>
        </w:rPr>
        <w:t xml:space="preserve">the request should be rejected because</w:t>
      </w:r>
      <w:r>
        <w:rPr>
          <w:rStyle w:val="DeletedText"/>
        </w:rPr>
        <w:t xml:space="preserve"> </w:t>
      </w:r>
      <w:r>
        <w:rPr>
          <w:rStyle w:val="DeletedText"/>
          <w:i/>
          <w:iCs/>
        </w:rPr>
        <w:t xml:space="preserve">S</w:t>
      </w:r>
      <w:r>
        <w:rPr>
          <w:rStyle w:val="DeletedText"/>
          <w:vertAlign w:val="subscript"/>
        </w:rPr>
        <w:t xml:space="preserve">R</w:t>
      </w:r>
      <w:r>
        <w:rPr>
          <w:rStyle w:val="DeletedText"/>
        </w:rPr>
        <w:t xml:space="preserve"> </w:t>
      </w:r>
      <w:r>
        <w:rPr>
          <w:rStyle w:val="DeletedText"/>
        </w:rPr>
        <w:t xml:space="preserve">⊈</w:t>
      </w:r>
      <w:r>
        <w:rPr>
          <w:rStyle w:val="DeletedText"/>
        </w:rPr>
        <w:t xml:space="preserve"> </w:t>
      </w:r>
      <w:r>
        <w:rPr>
          <w:rStyle w:val="DeletedText"/>
          <w:i/>
          <w:iCs/>
        </w:rPr>
        <w:t xml:space="preserve">S</w:t>
      </w:r>
      <w:r>
        <w:rPr>
          <w:rStyle w:val="DeletedText"/>
          <w:vertAlign w:val="subscript"/>
        </w:rPr>
        <w:t xml:space="preserve">C</w:t>
      </w:r>
      <w:r>
        <w:rPr>
          <w:rStyle w:val="DeletedText"/>
        </w:rPr>
        <w:t xml:space="preserve">. The expected outcome is a policy-aware access-control mechanism capable of evaluating purpose and data-scope constraints before an access decision is issued. This objective will provide the final foundational component of the current stage trust-oriented authorisation model.</w:t>
      </w:r>
    </w:p>
    <w:p>
      <w:pPr>
        <w:pStyle w:val="InsertedPara"/>
      </w:pPr>
      <w:r>
        <w:rPr>
          <w:rStyle w:val="InsertedText"/>
        </w:rPr>
        <w:t xml:space="preserve">RO4 has been implemented at prototype level. The Doctor interface (Figures 15–16, Section 7.4) allows the requester to select only modules from the consented scope, and the service layer independently enforces</w:t>
      </w:r>
      <w:r>
        <w:rPr>
          <w:rStyle w:val="InsertedText"/>
        </w:rPr>
        <w:t xml:space="preserve"> </w:t>
      </w:r>
      <m:oMath>
        <m:sSub>
          <m:e>
            <m:r>
              <w:rPr>
                <w:color w:val="C00000"/>
              </w:rPr>
              <m:t>S</m:t>
            </m:r>
          </m:e>
          <m:sub>
            <m:r>
              <w:rPr>
                <w:color w:val="C00000"/>
              </w:rPr>
              <m:t>R</m:t>
            </m:r>
          </m:sub>
        </m:sSub>
        <m:r>
          <m:rPr>
            <m:sty m:val="p"/>
          </m:rPr>
          <w:rPr>
            <w:color w:val="C00000"/>
          </w:rPr>
          <m:t>⊆</m:t>
        </m:r>
        <m:sSub>
          <m:e>
            <m:r>
              <w:rPr>
                <w:color w:val="C00000"/>
              </w:rPr>
              <m:t>S</m:t>
            </m:r>
          </m:e>
          <m:sub>
            <m:r>
              <w:rPr>
                <w:color w:val="C00000"/>
              </w:rPr>
              <m:t>C</m:t>
            </m:r>
          </m:sub>
        </m:sSub>
      </m:oMath>
      <w:r>
        <w:rPr>
          <w:rStyle w:val="InsertedText"/>
        </w:rPr>
        <w:t xml:space="preserve"> </w:t>
      </w:r>
      <w:r>
        <w:rPr>
          <w:rStyle w:val="InsertedText"/>
        </w:rPr>
        <w:t xml:space="preserve">(Eq. (38)); a request outside the consented scope is refused with an ACCESS DENIED result that is written to the audit log together with the evaluated scope. The purpose predicate is currently evaluated against the set of permitted purposes {Treatment, Research, Emergency}; binding a purpose declared in each request to the consented purpose (</w:t>
      </w:r>
      <m:oMath>
        <m:sSub>
          <m:e>
            <m:r>
              <w:rPr>
                <w:color w:val="C00000"/>
              </w:rPr>
              <m:t>P</m:t>
            </m:r>
          </m:e>
          <m:sub>
            <m:r>
              <w:rPr>
                <w:color w:val="C00000"/>
              </w:rPr>
              <m:t>R</m:t>
            </m:r>
          </m:sub>
        </m:sSub>
        <m:r>
          <m:rPr>
            <m:sty m:val="p"/>
          </m:rPr>
          <w:rPr>
            <w:color w:val="C00000"/>
          </w:rPr>
          <m:t>⊨</m:t>
        </m:r>
        <m:sSub>
          <m:e>
            <m:r>
              <w:rPr>
                <w:color w:val="C00000"/>
              </w:rPr>
              <m:t>P</m:t>
            </m:r>
          </m:e>
          <m:sub>
            <m:r>
              <w:rPr>
                <w:color w:val="C00000"/>
              </w:rPr>
              <m:t>C</m:t>
            </m:r>
          </m:sub>
        </m:sSub>
      </m:oMath>
      <w:r>
        <w:rPr>
          <w:rStyle w:val="InsertedText"/>
        </w:rPr>
        <w:t xml:space="preserve">) and routing data release through the full decision matrix are scheduled for Stage 2 (Section 6.4.1).</w:t>
      </w:r>
    </w:p>
    <w:bookmarkEnd w:id="165"/>
    <w:bookmarkStart w:id="166" w:name="X8e6146f09fe285d619620b5d8a35865b7344e11"/>
    <w:p>
      <w:pPr>
        <w:pStyle w:val="Heading2"/>
      </w:pPr>
      <w:r>
        <w:rPr>
          <w:rStyle w:val="DeletedText"/>
        </w:rPr>
        <w:t xml:space="preserve">7.5</w:t>
      </w:r>
      <w:r>
        <w:rPr>
          <w:rStyle w:val="InsertedText"/>
        </w:rPr>
        <w:t xml:space="preserve">8.5</w:t>
      </w:r>
      <w:r>
        <w:t xml:space="preserve"> </w:t>
      </w:r>
      <w:r>
        <w:t xml:space="preserve">Progress of RO5: Temporal and Lifecycle Trust</w:t>
      </w:r>
    </w:p>
    <w:p>
      <w:pPr>
        <w:pStyle w:val="FirstParagraph"/>
      </w:pPr>
      <w:r>
        <w:rPr>
          <w:rStyle w:val="DeletedText"/>
          <w:b/>
          <w:bCs/>
        </w:rPr>
        <w:t xml:space="preserve">Status: In Progress</w:t>
      </w:r>
      <w:r>
        <w:rPr>
          <w:rStyle w:val="InsertedText"/>
          <w:b/>
          <w:bCs/>
        </w:rPr>
        <w:t xml:space="preserve">Status: Partially completed (prototype; formal lifecycle analysis in Stage 2)</w:t>
      </w:r>
    </w:p>
    <w:p>
      <w:pPr>
        <w:pStyle w:val="BodyText"/>
      </w:pPr>
      <w:r>
        <w:rPr>
          <w:rStyle w:val="DeletedText"/>
        </w:rPr>
        <w:t xml:space="preserve">RO5 is reserved primarily for next stage.</w:t>
      </w:r>
      <w:r>
        <w:rPr>
          <w:rStyle w:val="InsertedText"/>
        </w:rPr>
        <w:t xml:space="preserve">A first version of RO5 is already operational in the HALAH prototype (Section 6.5.1); Stage 2 adds formal transition rules and adversarial evaluation.</w:t>
      </w:r>
      <w:r>
        <w:t xml:space="preserve"> </w:t>
      </w:r>
      <w:r>
        <w:t xml:space="preserve">The objective is to introduce temporal and lifecycle trust so that consent is not considered permanently valid after creation or approval.</w:t>
      </w:r>
      <w:r>
        <w:t xml:space="preserve"> </w:t>
      </w:r>
      <w:r>
        <w:rPr>
          <w:rStyle w:val="DeletedText"/>
        </w:rPr>
        <w:t xml:space="preserve">A future consent validity interval will be represented as</w:t>
      </w:r>
      <w:r>
        <w:rPr>
          <w:rStyle w:val="InsertedText"/>
        </w:rPr>
        <w:t xml:space="preserve">The consent validity interval is represented as</w:t>
      </w:r>
      <w:r>
        <w:t xml:space="preserve"> </w:t>
      </w:r>
      <w:r>
        <w:t xml:space="preserve">[</w:t>
      </w:r>
      <w:r>
        <w:rPr>
          <w:i/>
          <w:iCs/>
        </w:rPr>
        <w:t xml:space="preserve">t</w:t>
      </w:r>
      <w:r>
        <w:rPr>
          <w:vertAlign w:val="subscript"/>
        </w:rPr>
        <w:t xml:space="preserve">s</w:t>
      </w:r>
      <w:r>
        <w:rPr>
          <w:i/>
          <w:iCs/>
        </w:rPr>
        <w:t xml:space="preserve">, t</w:t>
      </w:r>
      <w:r>
        <w:rPr>
          <w:vertAlign w:val="subscript"/>
        </w:rPr>
        <w:t xml:space="preserve">e</w:t>
      </w:r>
      <w:r>
        <w:t xml:space="preserve">],</w:t>
      </w:r>
      <w:r>
        <w:t xml:space="preserve"> </w:t>
      </w:r>
      <w:r>
        <w:rPr>
          <w:rStyle w:val="DeletedText"/>
        </w:rPr>
        <w:t xml:space="preserve">with temporal validity defined as</w:t>
      </w:r>
      <w:r>
        <w:rPr>
          <w:rStyle w:val="InsertedText"/>
        </w:rPr>
        <w:t xml:space="preserve">with temporal validity defined by Eq. (15).</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r>
            <m:rPr>
              <m:sty m:val="p"/>
            </m:rPr>
            <w:rPr>
              <w:color w:val="C00000"/>
              <w:strike/>
            </w:rPr>
            <m:t>(</m:t>
          </m:r>
          <m:sSub>
            <m:e>
              <m:r>
                <w:rPr>
                  <w:color w:val="C00000"/>
                  <w:strike/>
                </w:rPr>
                <m:t>t</m:t>
              </m:r>
            </m:e>
            <m:sub>
              <m:r>
                <w:rPr>
                  <w:color w:val="C00000"/>
                  <w:strike/>
                </w:rPr>
                <m:t>s</m:t>
              </m:r>
            </m:sub>
          </m:sSub>
          <m:r>
            <m:rPr>
              <m:sty m:val="p"/>
            </m:rPr>
            <w:rPr>
              <w:color w:val="C00000"/>
              <w:strike/>
            </w:rPr>
            <m:t>≤</m:t>
          </m:r>
          <m:r>
            <w:rPr>
              <w:color w:val="C00000"/>
              <w:strike/>
            </w:rPr>
            <m:t>t</m:t>
          </m:r>
          <m:r>
            <m:rPr>
              <m:sty m:val="p"/>
            </m:rPr>
            <w:rPr>
              <w:color w:val="C00000"/>
              <w:strike/>
            </w:rPr>
            <m:t>≤</m:t>
          </m:r>
          <m:sSub>
            <m:e>
              <m:r>
                <w:rPr>
                  <w:color w:val="C00000"/>
                  <w:strike/>
                </w:rPr>
                <m:t>t</m:t>
              </m:r>
            </m:e>
            <m:sub>
              <m:r>
                <w:rPr>
                  <w:color w:val="C00000"/>
                  <w:strike/>
                </w:rPr>
                <m:t>e</m:t>
              </m:r>
            </m:sub>
          </m:sSub>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79</m:t>
          </m:r>
          <m:r>
            <m:rPr>
              <m:sty m:val="p"/>
            </m:rPr>
            <w:rPr>
              <w:color w:val="C00000"/>
              <w:strike/>
            </w:rPr>
            <m:t>)</m:t>
          </m:r>
        </m:oMath>
      </m:oMathPara>
    </w:p>
    <w:p>
      <w:pPr>
        <w:pStyle w:val="FirstParagraph"/>
      </w:pPr>
      <w:r>
        <w:t xml:space="preserve">The consent lifecycle will also be extended to represent controlled transitions such as</w:t>
      </w:r>
      <w:r>
        <w:t xml:space="preserve"> </w:t>
      </w:r>
      <w:r>
        <w:rPr>
          <w:rStyle w:val="InsertedText"/>
        </w:rPr>
        <w:t xml:space="preserve">those of Eq. (17).</w:t>
      </w:r>
    </w:p>
    <w:p>
      <w:pPr>
        <w:pStyle w:val="DeletedPara"/>
      </w:pPr>
      <w:r>
        <w:rPr>
          <w:rStyle w:val="DeletedText"/>
          <w:i/>
          <w:iCs/>
        </w:rPr>
        <w:t xml:space="preserve">Specification</w:t>
      </w:r>
      <w:r>
        <w:rPr>
          <w:rStyle w:val="DeletedText"/>
        </w:rPr>
        <w:t xml:space="preserve"> </w:t>
      </w:r>
      <w:r>
        <w:rPr>
          <w:rStyle w:val="DeletedText"/>
        </w:rPr>
        <w:t xml:space="preserve">→</w:t>
      </w:r>
      <w:r>
        <w:rPr>
          <w:rStyle w:val="DeletedText"/>
        </w:rPr>
        <w:t xml:space="preserve"> </w:t>
      </w:r>
      <w:r>
        <w:rPr>
          <w:rStyle w:val="DeletedText"/>
          <w:i/>
          <w:iCs/>
        </w:rPr>
        <w:t xml:space="preserve">Verification</w:t>
      </w:r>
      <w:r>
        <w:rPr>
          <w:rStyle w:val="DeletedText"/>
        </w:rPr>
        <w:t xml:space="preserve"> </w:t>
      </w:r>
      <w:r>
        <w:rPr>
          <w:rStyle w:val="DeletedText"/>
        </w:rPr>
        <w:t xml:space="preserve">→</w:t>
      </w:r>
      <w:r>
        <w:rPr>
          <w:rStyle w:val="DeletedText"/>
        </w:rPr>
        <w:t xml:space="preserve"> </w:t>
      </w:r>
      <w:r>
        <w:rPr>
          <w:rStyle w:val="DeletedText"/>
          <w:i/>
          <w:iCs/>
        </w:rPr>
        <w:t xml:space="preserve">Approval</w:t>
      </w:r>
      <w:r>
        <w:rPr>
          <w:rStyle w:val="DeletedText"/>
        </w:rPr>
        <w:t xml:space="preserve"> </w:t>
      </w:r>
      <w:r>
        <w:rPr>
          <w:rStyle w:val="DeletedText"/>
        </w:rPr>
        <w:t xml:space="preserve">→</w:t>
      </w:r>
      <w:r>
        <w:rPr>
          <w:rStyle w:val="DeletedText"/>
        </w:rPr>
        <w:t xml:space="preserve"> </w:t>
      </w:r>
      <w:r>
        <w:rPr>
          <w:rStyle w:val="DeletedText"/>
          <w:i/>
          <w:iCs/>
        </w:rPr>
        <w:t xml:space="preserve">Active</w:t>
      </w:r>
      <w:r>
        <w:rPr>
          <w:rStyle w:val="DeletedText"/>
        </w:rPr>
        <w:t xml:space="preserve"> </w:t>
      </w:r>
      <w:r>
        <w:rPr>
          <w:rStyle w:val="DeletedText"/>
        </w:rPr>
        <w:t xml:space="preserve">→</w:t>
      </w:r>
      <w:r>
        <w:rPr>
          <w:rStyle w:val="DeletedText"/>
        </w:rPr>
        <w:t xml:space="preserve"> </w:t>
      </w:r>
      <w:r>
        <w:rPr>
          <w:rStyle w:val="DeletedText"/>
          <w:i/>
          <w:iCs/>
        </w:rPr>
        <w:t xml:space="preserve">Expiration/Revocation.</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next stage.</w:t>
      </w:r>
    </w:p>
    <w:bookmarkEnd w:id="166"/>
    <w:bookmarkStart w:id="167" w:name="Xd9cfcdd9e757a6720ff3496d27d05dcd5fd4592"/>
    <w:p>
      <w:pPr>
        <w:pStyle w:val="Heading2"/>
      </w:pPr>
      <w:r>
        <w:rPr>
          <w:rStyle w:val="DeletedText"/>
        </w:rPr>
        <w:t xml:space="preserve">7.6</w:t>
      </w:r>
      <w:r>
        <w:rPr>
          <w:rStyle w:val="InsertedText"/>
        </w:rPr>
        <w:t xml:space="preserve">8.6</w:t>
      </w:r>
      <w:r>
        <w:t xml:space="preserve"> </w:t>
      </w:r>
      <w:r>
        <w:t xml:space="preserve">Progress of RO6: Security Assurance and Validation</w:t>
      </w:r>
    </w:p>
    <w:p>
      <w:pPr>
        <w:pStyle w:val="FirstParagraph"/>
      </w:pPr>
      <w:r>
        <w:rPr>
          <w:rStyle w:val="DeletedText"/>
          <w:b/>
          <w:bCs/>
        </w:rPr>
        <w:t xml:space="preserve">Status: Partially Completed (RQ1-RQ3)</w:t>
      </w:r>
      <w:r>
        <w:rPr>
          <w:rStyle w:val="InsertedText"/>
          <w:b/>
          <w:bCs/>
        </w:rPr>
        <w:t xml:space="preserve">Status: Partially completed (SRQ1–SRQ4; 16 automated tests passed, Table 9)</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rPr>
          <w:rStyle w:val="DeletedText"/>
        </w:rPr>
        <w:t xml:space="preserve">The current validation focuses primarily on RQ1, RQ2, and RQ3.</w:t>
      </w:r>
      <w:r>
        <w:rPr>
          <w:rStyle w:val="InsertedText"/>
        </w:rPr>
        <w:t xml:space="preserve">The current validation covers SRQ1–SRQ4 and the first SRQ5 checks (Section 7.11).</w:t>
      </w:r>
      <w:r>
        <w:t xml:space="preserve"> </w:t>
      </w:r>
      <w:r>
        <w:t xml:space="preserve">Representative scenarios include valid identity verification, invalid identity or credential submission, insufficient multi-party approval, and successful completion of the required approval threshold.</w:t>
      </w:r>
      <w:r>
        <w:t xml:space="preserve"> </w:t>
      </w:r>
      <w:r>
        <w:rPr>
          <w:rStyle w:val="DeletedText"/>
        </w:rPr>
        <w:t xml:space="preserve">The central decision model can be formulated as</w:t>
      </w:r>
      <w:r>
        <w:rPr>
          <w:rStyle w:val="InsertedText"/>
        </w:rPr>
        <w:t xml:space="preserve">The central decision model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e>
                  <m:e>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e>
                </m:mr>
                <m:mr>
                  <m:e>
                    <m:r>
                      <w:rPr>
                        <w:color w:val="C00000"/>
                        <w:strike/>
                      </w:rPr>
                      <m:t>D</m:t>
                    </m:r>
                    <m:r>
                      <w:rPr>
                        <w:color w:val="C00000"/>
                        <w:strike/>
                      </w:rPr>
                      <m:t>E</m:t>
                    </m:r>
                    <m:r>
                      <w:rPr>
                        <w:color w:val="C00000"/>
                        <w:strike/>
                      </w:rPr>
                      <m:t>N</m:t>
                    </m:r>
                    <m:r>
                      <w:rPr>
                        <w:color w:val="C00000"/>
                        <w:strike/>
                      </w:rPr>
                      <m:t>Y</m:t>
                    </m:r>
                    <m:r>
                      <m:rPr>
                        <m:sty m:val="p"/>
                      </m:rPr>
                      <w:rPr>
                        <w:color w:val="C00000"/>
                        <w:strike/>
                      </w:rPr>
                      <m:t>,</m:t>
                    </m:r>
                  </m:e>
                  <m:e>
                    <m:r>
                      <w:rPr>
                        <w:color w:val="C00000"/>
                        <w:strike/>
                      </w:rPr>
                      <m:t> </m:t>
                    </m:r>
                    <m:r>
                      <m:rPr>
                        <m:nor/>
                      </m:rPr>
                      <w:rPr>
                        <w:color w:val="C00000"/>
                        <w:strike/>
                      </w:rPr>
                      <m:t>otherwise</m:t>
                    </m:r>
                    <m:r>
                      <w:rPr>
                        <w:color w:val="C00000"/>
                        <w:strike/>
                      </w:rPr>
                      <m:t> </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80</m:t>
          </m:r>
          <m:r>
            <m:rPr>
              <m:sty m:val="p"/>
            </m:rPr>
            <w:rPr>
              <w:color w:val="C00000"/>
              <w:strike/>
            </w:rPr>
            <m:t>)</m:t>
          </m:r>
        </m:oMath>
      </m:oMathPara>
    </w:p>
    <w:p>
      <w:pPr>
        <w:pStyle w:val="FirstParagraph"/>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bookmarkEnd w:id="167"/>
    <w:bookmarkEnd w:id="168"/>
    <w:bookmarkStart w:id="169" w:name="publications-summary"/>
    <w:p>
      <w:pPr>
        <w:pStyle w:val="Heading1"/>
      </w:pPr>
      <w:r>
        <w:rPr>
          <w:rStyle w:val="DeletedText"/>
        </w:rPr>
        <w:t xml:space="preserve">8</w:t>
      </w:r>
      <w:r>
        <w:rPr>
          <w:rStyle w:val="InsertedText"/>
        </w:rPr>
        <w:t xml:space="preserve">9</w:t>
      </w:r>
      <w:r>
        <w:t xml:space="preserve"> </w:t>
      </w:r>
      <w:r>
        <w:t xml:space="preserve">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BodyText"/>
      </w:pPr>
      <w:r>
        <w:t xml:space="preserve">Table:</w:t>
      </w:r>
      <w:r>
        <w:t xml:space="preserve"> </w:t>
      </w:r>
      <w:r>
        <w:rPr>
          <w:rStyle w:val="DeletedText"/>
        </w:rPr>
        <w:t xml:space="preserve">Table 7</w:t>
      </w:r>
      <w:r>
        <w:rPr>
          <w:rStyle w:val="InsertedText"/>
        </w:rPr>
        <w:t xml:space="preserve">Table 11</w:t>
      </w:r>
      <w:r>
        <w:t xml:space="preserve">: Summary of Research Outputs and Publication Plan</w:t>
      </w:r>
    </w:p>
    <w:p>
      <w:pPr>
        <w:pStyle w:val="ReviewerNotePara"/>
      </w:pPr>
      <w:r>
        <w:rPr>
          <w:rStyle w:val="ReviewerNote"/>
        </w:rPr>
        <w:t xml:space="preserve">Chapter numbers in Tables 3, 4 and 11 refer to the planned thesis chapters, not to the chapters of this report; Table 11 now matches Tables 3–4.</w:t>
      </w:r>
    </w:p>
    <w:tbl>
      <w:tblPr>
        <w:tblStyle w:val="Table"/>
        <w:tblW w:type="pct" w:w="5000"/>
        <w:tblLayout w:type="fixed"/>
        <w:tblLook w:firstRow="1" w:lastRow="0" w:firstColumn="0" w:lastColumn="0" w:noHBand="0" w:noVBand="0" w:val="0020"/>
      </w:tblPr>
      <w:tblGrid>
        <w:gridCol w:w="2554"/>
        <w:gridCol w:w="1532"/>
        <w:gridCol w:w="1277"/>
        <w:gridCol w:w="25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rPr>
                <w:rStyle w:val="DeletedText"/>
              </w:rPr>
              <w:t xml:space="preserve">Elsevier/IEEE</w:t>
            </w:r>
            <w:r>
              <w:rPr>
                <w:rStyle w:val="InsertedText"/>
              </w:rPr>
              <w:t xml:space="preserve">[name the target journal]</w:t>
            </w:r>
          </w:p>
        </w:tc>
        <w:tc>
          <w:tcPr/>
          <w:p>
            <w:pPr>
              <w:pStyle w:val="Compact"/>
              <w:jc w:val="left"/>
            </w:pPr>
            <w:r>
              <w:rPr>
                <w:rStyle w:val="DeletedText"/>
              </w:rPr>
              <w:t xml:space="preserve">Almost Ready</w:t>
            </w:r>
            <w:r>
              <w:rPr>
                <w:rStyle w:val="InsertedText"/>
              </w:rPr>
              <w:t xml:space="preserve">Draft complete; submission planned [month] 2026</w:t>
            </w:r>
          </w:p>
        </w:tc>
        <w:tc>
          <w:tcPr/>
          <w:p>
            <w:pPr>
              <w:pStyle w:val="Compact"/>
              <w:jc w:val="left"/>
            </w:pPr>
            <w:r>
              <w:t xml:space="preserve">Core architectural contribution; addresses</w:t>
            </w:r>
            <w:r>
              <w:t xml:space="preserve"> </w:t>
            </w:r>
            <w:r>
              <w:rPr>
                <w:rStyle w:val="DeletedText"/>
              </w:rPr>
              <w:t xml:space="preserve">RQ1-RQ4</w:t>
            </w:r>
            <w:r>
              <w:rPr>
                <w:rStyle w:val="InsertedText"/>
              </w:rPr>
              <w:t xml:space="preserve">SRQ1-RQ4</w:t>
            </w:r>
            <w:r>
              <w:t xml:space="preserve"> </w:t>
            </w:r>
            <w:r>
              <w:t xml:space="preserve">(Chapters 3-4).</w:t>
            </w:r>
          </w:p>
        </w:tc>
      </w:tr>
      <w:tr>
        <w:trPr>
          <w:cantSplit/>
        </w:trPr>
        <w:tc>
          <w:tcPr/>
          <w:p>
            <w:pPr>
              <w:pStyle w:val="Compact"/>
              <w:jc w:val="left"/>
            </w:pPr>
            <w:r>
              <w:rPr>
                <w:b/>
                <w:bCs/>
              </w:rPr>
              <w:t xml:space="preserve">HALAH Prototype &amp; Validation</w:t>
            </w:r>
            <w:r>
              <w:t xml:space="preserve"> </w:t>
            </w:r>
            <w:r>
              <w:rPr>
                <w:rStyle w:val="DeletedText"/>
                <w:i/>
                <w:iCs/>
              </w:rPr>
              <w:t xml:space="preserve">Decentralised implementation and performance evaluation</w:t>
            </w:r>
            <w:r>
              <w:rPr>
                <w:rStyle w:val="InsertedText"/>
                <w:i/>
                <w:iCs/>
              </w:rPr>
              <w:t xml:space="preserve">Decentralised implementation and functional security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rPr>
                <w:rStyle w:val="DeletedText"/>
              </w:rPr>
              <w:t xml:space="preserve">Specialized</w:t>
            </w:r>
            <w:r>
              <w:rPr>
                <w:rStyle w:val="InsertedText"/>
              </w:rPr>
              <w:t xml:space="preserve">Specialised</w:t>
            </w:r>
            <w:r>
              <w:t xml:space="preserve"> </w:t>
            </w:r>
            <w:r>
              <w:t xml:space="preserve">Workshop / Journal</w:t>
            </w:r>
          </w:p>
        </w:tc>
        <w:tc>
          <w:tcPr/>
          <w:p>
            <w:pPr>
              <w:pStyle w:val="Compact"/>
              <w:jc w:val="left"/>
            </w:pPr>
            <w:r>
              <w:t xml:space="preserve">Planned</w:t>
            </w:r>
          </w:p>
        </w:tc>
        <w:tc>
          <w:tcPr/>
          <w:p>
            <w:pPr>
              <w:pStyle w:val="Compact"/>
              <w:jc w:val="left"/>
            </w:pPr>
            <w:r>
              <w:t xml:space="preserve">Next stage research extension; addresses formal security assurance</w:t>
            </w:r>
            <w:r>
              <w:t xml:space="preserve"> </w:t>
            </w:r>
            <w:r>
              <w:rPr>
                <w:rStyle w:val="DeletedText"/>
              </w:rPr>
              <w:t xml:space="preserve">(Chapter 6).</w:t>
            </w:r>
            <w:r>
              <w:rPr>
                <w:rStyle w:val="InsertedText"/>
              </w:rPr>
              <w:t xml:space="preserve">(Chapter 5).</w:t>
            </w:r>
          </w:p>
        </w:tc>
      </w:tr>
    </w:tbl>
    <w:p>
      <w:pPr>
        <w:pStyle w:val="BodyText"/>
      </w:pPr>
      <w: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bookmarkEnd w:id="169"/>
    <w:bookmarkStart w:id="172" w:name="research-plan"/>
    <w:p>
      <w:pPr>
        <w:pStyle w:val="Heading1"/>
      </w:pPr>
      <w:r>
        <w:rPr>
          <w:rStyle w:val="DeletedText"/>
        </w:rPr>
        <w:t xml:space="preserve">9</w:t>
      </w:r>
      <w:r>
        <w:rPr>
          <w:rStyle w:val="InsertedText"/>
        </w:rPr>
        <w:t xml:space="preserve">10</w:t>
      </w:r>
      <w:r>
        <w:t xml:space="preserve"> </w:t>
      </w:r>
      <w:r>
        <w:t xml:space="preserve">Research Plan</w:t>
      </w:r>
    </w:p>
    <w:p>
      <w:pPr>
        <w:pStyle w:val="FirstParagraph"/>
      </w:pPr>
      <w:r>
        <w:t xml:space="preserve">The research plan is divided into two major stages corresponding to current and next stage.</w:t>
      </w:r>
    </w:p>
    <w:bookmarkStart w:id="170" w:name="current-stage-completed-and-current-work"/>
    <w:p>
      <w:pPr>
        <w:pStyle w:val="Heading2"/>
      </w:pPr>
      <w:r>
        <w:rPr>
          <w:rStyle w:val="DeletedText"/>
        </w:rPr>
        <w:t xml:space="preserve">9.1</w:t>
      </w:r>
      <w:r>
        <w:rPr>
          <w:rStyle w:val="InsertedText"/>
        </w:rPr>
        <w:t xml:space="preserve">10.1</w:t>
      </w:r>
      <w:r>
        <w:t xml:space="preserve"> </w:t>
      </w:r>
      <w:r>
        <w:t xml:space="preserve">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DeletedPara"/>
      </w:pPr>
      <w:r>
        <w:rPr>
          <w:rStyle w:val="DeletedText"/>
        </w:rPr>
        <w:t xml:space="preserve">The progression is RO1, RO2, RO3 and then RO4, in which RO1, RO2, and RO3 have been implemented and initially validated through the HALAH prototype. RO4 represents the current transition towards policy-aware access control.</w:t>
      </w:r>
    </w:p>
    <w:p>
      <w:pPr>
        <w:pStyle w:val="InsertedPara"/>
      </w:pPr>
      <w:r>
        <w:rPr>
          <w:rStyle w:val="InsertedText"/>
        </w:rPr>
        <w:t xml:space="preserve">RO1–RO4 have been implemented at prototype level and initially validated through the HALAH prototype (Chapter 7), and a first version of RO5 (expiry and revocation) is already operational.</w:t>
      </w:r>
    </w:p>
    <w:bookmarkEnd w:id="170"/>
    <w:bookmarkStart w:id="171" w:name="next-stage-planned-work"/>
    <w:p>
      <w:pPr>
        <w:pStyle w:val="Heading2"/>
      </w:pPr>
      <w:r>
        <w:rPr>
          <w:rStyle w:val="DeletedText"/>
        </w:rPr>
        <w:t xml:space="preserve">9.2</w:t>
      </w:r>
      <w:r>
        <w:rPr>
          <w:rStyle w:val="InsertedText"/>
        </w:rPr>
        <w:t xml:space="preserve">10.2</w:t>
      </w:r>
      <w:r>
        <w:t xml:space="preserve"> </w:t>
      </w:r>
      <w:r>
        <w:t xml:space="preserve">Next Stage: Planned Work</w:t>
      </w:r>
    </w:p>
    <w:p>
      <w:pPr>
        <w:pStyle w:val="FirstParagraph"/>
      </w:pPr>
      <w:r>
        <w:t xml:space="preserve">The next stage will build upon the foundational trust-oriented authorisation framework established</w:t>
      </w:r>
      <w:r>
        <w:t xml:space="preserve"> </w:t>
      </w:r>
      <w:r>
        <w:rPr>
          <w:rStyle w:val="DeletedText"/>
        </w:rPr>
        <w:t xml:space="preserve">during current stage</w:t>
      </w:r>
      <w:r>
        <w:rPr>
          <w:rStyle w:val="InsertedText"/>
        </w:rPr>
        <w:t xml:space="preserve">during the current stage</w:t>
      </w:r>
      <w:r>
        <w:t xml:space="preserve"> </w:t>
      </w:r>
      <w:r>
        <w:t xml:space="preserve">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BodyText"/>
      </w:pPr>
      <w:r>
        <w:t xml:space="preserve">The first major focus of</w:t>
      </w:r>
      <w:r>
        <w:t xml:space="preserve"> </w:t>
      </w:r>
      <w:r>
        <w:rPr>
          <w:rStyle w:val="DeletedText"/>
        </w:rPr>
        <w:t xml:space="preserve">next stageis</w:t>
      </w:r>
      <w:r>
        <w:rPr>
          <w:rStyle w:val="InsertedText"/>
        </w:rPr>
        <w:t xml:space="preserve">next stage is</w:t>
      </w:r>
      <w:r>
        <w:t xml:space="preserve"> </w:t>
      </w:r>
      <w:r>
        <w:t xml:space="preserve">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w:t>
      </w:r>
      <w:r>
        <w:t xml:space="preserve"> </w:t>
      </w:r>
      <w:r>
        <w:rPr>
          <w:rStyle w:val="DeletedText"/>
        </w:rPr>
        <w:t xml:space="preserve">policy enforcement. next stage will investigate</w:t>
      </w:r>
      <w:r>
        <w:rPr>
          <w:rStyle w:val="InsertedText"/>
        </w:rPr>
        <w:t xml:space="preserve">policy enforcement. The next stage will investigate</w:t>
      </w:r>
      <w:r>
        <w:t xml:space="preserve"> </w:t>
      </w:r>
      <w:r>
        <w:t xml:space="preserve">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w:t>
      </w:r>
      <w:r>
        <w:t xml:space="preserve"> </w:t>
      </w:r>
      <w:r>
        <w:rPr>
          <w:rStyle w:val="DeletedText"/>
        </w:rPr>
        <w:t xml:space="preserve">summarised in Table 8.</w:t>
      </w:r>
      <w:r>
        <w:rPr>
          <w:rStyle w:val="InsertedText"/>
        </w:rPr>
        <w:t xml:space="preserve">summarised in Table 12.</w:t>
      </w:r>
    </w:p>
    <w:p>
      <w:pPr>
        <w:pStyle w:val="BodyText"/>
      </w:pPr>
      <w: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rPr>
          <w:rStyle w:val="DeletedText"/>
        </w:rPr>
        <w:t xml:space="preserve">Table 8</w:t>
      </w:r>
      <w:r>
        <w:rPr>
          <w:rStyle w:val="InsertedText"/>
        </w:rPr>
        <w:t xml:space="preserve">Table 12</w:t>
      </w:r>
      <w:r>
        <w:t xml:space="preserve">: Next Stage Research Activities, Methodological Focus, and Expected Outcomes</w:t>
      </w:r>
    </w:p>
    <w:tbl>
      <w:tblPr>
        <w:tblStyle w:val="Table"/>
        <w:tblW w:type="pct" w:w="5000"/>
        <w:tblLayout w:type="fixed"/>
        <w:tblLook w:firstRow="1" w:lastRow="0" w:firstColumn="0" w:lastColumn="0" w:noHBand="0" w:noVBand="0" w:val="0020"/>
        <w:tblCaption w:val="Table 8Table 12: Next Stage Research Activities, Methodological Focus, and Expected Outcomes"/>
      </w:tblPr>
      <w:tblGrid>
        <w:gridCol w:w="1760"/>
        <w:gridCol w:w="352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current stage and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81</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w:t>
      </w:r>
      <w:r>
        <w:t xml:space="preserve"> </w:t>
      </w:r>
      <w:r>
        <w:rPr>
          <w:i/>
          <w:iCs/>
        </w:rPr>
        <w:t xml:space="preserve">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rPr>
          <w:rStyle w:val="DeletedText"/>
        </w:rPr>
        <w:t xml:space="preserve">Consequently, next stagewill</w:t>
      </w:r>
      <w:r>
        <w:rPr>
          <w:rStyle w:val="InsertedText"/>
        </w:rPr>
        <w:t xml:space="preserve">Consequently, next stage will</w:t>
      </w:r>
      <w:r>
        <w:t xml:space="preserve"> </w:t>
      </w:r>
      <w:r>
        <w:t xml:space="preserve">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71"/>
    <w:bookmarkEnd w:id="172"/>
    <w:bookmarkStart w:id="173"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rStyle w:val="DeletedText"/>
          <w:i/>
          <w:iCs/>
        </w:rPr>
        <w:t xml:space="preserve">IEEE communications surveys &amp; tutorials</w:t>
      </w:r>
      <w:r>
        <w:rPr>
          <w:rStyle w:val="InsertedText"/>
          <w:i/>
          <w:iCs/>
        </w:rPr>
        <w:t xml:space="preserve">IEEE Communications Surveys &amp; Tutorials</w:t>
      </w:r>
      <w:r>
        <w:t xml:space="preserve">, 25(1):386–424, 2022.</w:t>
      </w:r>
    </w:p>
    <w:p>
      <w:pPr>
        <w:pStyle w:val="BodyText"/>
      </w:pPr>
      <w:r>
        <w:t xml:space="preserve">[4] Haotian Deng, Jinwen Liang, Chuan Zhang, Ximeng Liu, Liehuang Zhu, and Song Guo.</w:t>
      </w:r>
      <w:r>
        <w:t xml:space="preserve"> </w:t>
      </w:r>
      <w:r>
        <w:rPr>
          <w:rStyle w:val="DeletedText"/>
        </w:rPr>
        <w:t xml:space="preserve">Futuredid:</w:t>
      </w:r>
      <w:r>
        <w:rPr>
          <w:rStyle w:val="InsertedText"/>
        </w:rPr>
        <w:t xml:space="preserve">FutureDID:</w:t>
      </w:r>
      <w:r>
        <w:t xml:space="preserve"> </w:t>
      </w:r>
      <w:r>
        <w:t xml:space="preserve">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p>
    <w:p>
      <w:pPr>
        <w:pStyle w:val="BodyText"/>
      </w:pPr>
      <w:r>
        <w:t xml:space="preserve">[6] Abdul Ghafoor,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[8] Remy Hellstern, Daniel C Park, Victoria Lemieux, and Guldana Salimjan. Leveraging blockchain-based archival solutions for sensitive documentation:</w:t>
      </w:r>
      <w:r>
        <w:t xml:space="preserve"> </w:t>
      </w:r>
      <w:r>
        <w:rPr>
          <w:rStyle w:val="DeletedText"/>
        </w:rPr>
        <w:t xml:space="preserve">A xinjiang case study</w:t>
      </w:r>
      <w:r>
        <w:rPr>
          <w:rStyle w:val="InsertedText"/>
        </w:rPr>
        <w:t xml:space="preserve">A Xinjiang case study</w:t>
      </w:r>
      <w:r>
        <w:t xml:space="preserve">.</w:t>
      </w:r>
      <w:r>
        <w:t xml:space="preserve"> </w:t>
      </w:r>
      <w:r>
        <w:rPr>
          <w:i/>
          <w:iCs/>
        </w:rPr>
        <w:t xml:space="preserve">Digital Society</w:t>
      </w:r>
      <w:r>
        <w:t xml:space="preserve">, 1(1):4, 2022.</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rStyle w:val="DeletedText"/>
          <w:i/>
          <w:iCs/>
        </w:rPr>
        <w:t xml:space="preserve">BMC nursing</w:t>
      </w:r>
      <w:r>
        <w:rPr>
          <w:rStyle w:val="InsertedText"/>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rStyle w:val="DeletedText"/>
          <w:i/>
          <w:iCs/>
        </w:rPr>
        <w:t xml:space="preserve">IEEe Access</w:t>
      </w:r>
      <w:r>
        <w:rPr>
          <w:rStyle w:val="InsertedText"/>
          <w:i/>
          <w:iCs/>
        </w:rPr>
        <w:t xml:space="preserve">IEEE Access</w:t>
      </w:r>
      <w:r>
        <w:t xml:space="preserve">, 10:28545–28563, 2022.</w:t>
      </w:r>
    </w:p>
    <w:p>
      <w:pPr>
        <w:pStyle w:val="BodyText"/>
      </w:pPr>
      <w:r>
        <w:t xml:space="preserve">[11] Rong Jiang, Xue Chen, Yimin Yu, Ying Zhang, and Weiping Ding.</w:t>
      </w:r>
      <w:r>
        <w:t xml:space="preserve"> </w:t>
      </w:r>
      <w:r>
        <w:rPr>
          <w:rStyle w:val="DeletedText"/>
        </w:rPr>
        <w:t xml:space="preserve">Risk and ucon-based</w:t>
      </w:r>
      <w:r>
        <w:rPr>
          <w:rStyle w:val="InsertedText"/>
        </w:rPr>
        <w:t xml:space="preserve">Risk and UCON-based</w:t>
      </w:r>
      <w:r>
        <w:t xml:space="preserve"> </w:t>
      </w:r>
      <w:r>
        <w:t xml:space="preserve">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rStyle w:val="DeletedText"/>
          <w:i/>
          <w:iCs/>
        </w:rPr>
        <w:t xml:space="preserve">Digital health</w:t>
      </w:r>
      <w:r>
        <w:rPr>
          <w:rStyle w:val="InsertedText"/>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w:t>
      </w:r>
      <w:r>
        <w:t xml:space="preserve"> </w:t>
      </w:r>
      <w:r>
        <w:rPr>
          <w:rStyle w:val="DeletedText"/>
        </w:rPr>
        <w:t xml:space="preserve">secure iot:</w:t>
      </w:r>
      <w:r>
        <w:rPr>
          <w:rStyle w:val="InsertedText"/>
        </w:rPr>
        <w:t xml:space="preserve">secure IoT:</w:t>
      </w:r>
      <w:r>
        <w:t xml:space="preserve"> </w:t>
      </w:r>
      <w:r>
        <w:t xml:space="preserve">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[17] Lanlan Li, Charles Z Liu, Kejia Huang, Ruiyi Deng, Majed Abdullah Alrowaily, Mansoor Alghamdi, Ibrahim S Alkhazi, and Malek Alrashidi. Trust-aware environmental state consensus for smart agriculture</w:t>
      </w:r>
      <w:r>
        <w:t xml:space="preserve"> </w:t>
      </w:r>
      <w:r>
        <w:rPr>
          <w:rStyle w:val="DeletedText"/>
        </w:rPr>
        <w:t xml:space="preserve">with tee-enabled sensing and byzantine-resilient</w:t>
      </w:r>
      <w:r>
        <w:rPr>
          <w:rStyle w:val="InsertedText"/>
        </w:rPr>
        <w:t xml:space="preserve">with TEE-enabled sensing and Byzantine-resilient</w:t>
      </w:r>
      <w:r>
        <w:t xml:space="preserve"> </w:t>
      </w:r>
      <w:r>
        <w:t xml:space="preserve">blockchain coordination.</w:t>
      </w:r>
      <w:r>
        <w:t xml:space="preserve"> </w:t>
      </w:r>
      <w:r>
        <w:rPr>
          <w:i/>
          <w:iCs/>
        </w:rPr>
        <w:t xml:space="preserve">Sensors</w:t>
      </w:r>
      <w:r>
        <w:t xml:space="preserve">, 26(14):4577, 2026.</w:t>
      </w:r>
    </w:p>
    <w:p>
      <w:pPr>
        <w:pStyle w:val="BodyText"/>
      </w:pPr>
      <w:r>
        <w:t xml:space="preserve">[18] Lanlan Li, Charles Z Liu, and Sanjeeb Shrestha. Analytical entropy approach for mea-suring blockchain immutability and tamper-resilient trust.</w:t>
      </w:r>
      <w:r>
        <w:t xml:space="preserve"> </w:t>
      </w:r>
      <w:r>
        <w:rPr>
          <w:i/>
          <w:iCs/>
        </w:rPr>
        <w:t xml:space="preserve">Entropy</w:t>
      </w:r>
      <w:r>
        <w:t xml:space="preserve">, 28(6):690, 2026.</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2025.</w:t>
      </w:r>
    </w:p>
    <w:p>
      <w:pPr>
        <w:pStyle w:val="BodyText"/>
      </w:pPr>
      <w:r>
        <w:t xml:space="preserve">[21] Andrei McCall. Privacy-preserving interoperability in healthcare data ecosystems: balancing data sharing with individual autonomy.</w:t>
      </w:r>
      <w:r>
        <w:t xml:space="preserve"> </w:t>
      </w:r>
      <w:r>
        <w:rPr>
          <w:i/>
          <w:iCs/>
        </w:rPr>
        <w:t xml:space="preserve">IEEE J. Biomed. Health Inform</w:t>
      </w:r>
      <w:r>
        <w:t xml:space="preserve">, 28(3):1234–1245, 2024.</w:t>
      </w:r>
      <w:r>
        <w:t xml:space="preserve"> </w:t>
      </w:r>
      <w:r>
        <w:rPr>
          <w:rStyle w:val="ReviewerNote"/>
        </w:rPr>
        <w:t xml:space="preserve">VERIFY [21]: no IEEE JBHI record was found and other papers cite it only as</w:t>
      </w:r>
      <w:r>
        <w:rPr>
          <w:rStyle w:val="ReviewerNote"/>
        </w:rPr>
        <w:t xml:space="preserve"> </w:t>
      </w:r>
      <w:r>
        <w:rPr>
          <w:rStyle w:val="ReviewerNote"/>
        </w:rPr>
        <w:t xml:space="preserve">‘McCall, A. (2024)’</w:t>
      </w:r>
      <w:r>
        <w:rPr>
          <w:rStyle w:val="ReviewerNote"/>
        </w:rPr>
        <w:t xml:space="preserve"> </w:t>
      </w:r>
      <w:r>
        <w:rPr>
          <w:rStyle w:val="ReviewerNote"/>
        </w:rPr>
        <w:t xml:space="preserve">with no venue; confirm the DOI or replace this reference.</w:t>
      </w:r>
    </w:p>
    <w:p>
      <w:pPr>
        <w:pStyle w:val="BodyText"/>
      </w:pPr>
      <w:r>
        <w:t xml:space="preserve">[22] Roy McClelland and Colin M Harper. Information privacy in healthcare—the vital role of informed consent.</w:t>
      </w:r>
      <w:r>
        <w:t xml:space="preserve"> </w:t>
      </w:r>
      <w:r>
        <w:rPr>
          <w:rStyle w:val="DeletedText"/>
          <w:i/>
          <w:iCs/>
        </w:rPr>
        <w:t xml:space="preserve">European journal of health law</w:t>
      </w:r>
      <w:r>
        <w:rPr>
          <w:rStyle w:val="InsertedText"/>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w:t>
      </w:r>
      <w:r>
        <w:t xml:space="preserve"> </w:t>
      </w:r>
      <w:r>
        <w:rPr>
          <w:rStyle w:val="DeletedText"/>
        </w:rPr>
        <w:t xml:space="preserve">healthcare iot:</w:t>
      </w:r>
      <w:r>
        <w:rPr>
          <w:rStyle w:val="InsertedText"/>
        </w:rPr>
        <w:t xml:space="preserve">healthcare IoT:</w:t>
      </w:r>
      <w:r>
        <w:t xml:space="preserve"> </w:t>
      </w:r>
      <w:r>
        <w:t xml:space="preserve">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BodyText"/>
      </w:pPr>
      <w:r>
        <w:t xml:space="preserve">[30] Mohammad Nawab Turan, Irshad Ahmed Hashimzai, and Mohammad Qaseem Qiam. A blockchain-based framework for secure and transparent environmental data sharing in smart cities: Enhancing trust, integrity, and interoperability in urban sustainability systems.</w:t>
      </w:r>
      <w:r>
        <w:t xml:space="preserve"> </w:t>
      </w:r>
      <w:r>
        <w:rPr>
          <w:i/>
          <w:iCs/>
        </w:rPr>
        <w:t xml:space="preserve">Nata Palemahan: Journal of Environmental Engineering Innovations</w:t>
      </w:r>
      <w:r>
        <w:t xml:space="preserve">, 2(2):70–79, 2025.</w:t>
      </w:r>
    </w:p>
    <w:p>
      <w:pPr>
        <w:pStyle w:val="BodyText"/>
      </w:pPr>
      <w:r>
        <w:t xml:space="preserve">[31] Emily C Webber, David Brick, James P Scibilia, Peter Dehnel, Council on Clinical Information Technology, et al. Electronic communication of the health record and information</w:t>
      </w:r>
      <w:r>
        <w:t xml:space="preserve"> </w:t>
      </w:r>
      <w:r>
        <w:rPr>
          <w:rStyle w:val="DeletedText"/>
        </w:rPr>
        <w:t xml:space="preserve">with pediatric patients and their guardians. 2022.</w:t>
      </w:r>
      <w:r>
        <w:rPr>
          <w:rStyle w:val="InsertedText"/>
        </w:rPr>
        <w:t xml:space="preserve">with pediatric patients and their guardians.</w:t>
      </w:r>
      <w:r>
        <w:rPr>
          <w:rStyle w:val="InsertedText"/>
        </w:rPr>
        <w:t xml:space="preserve"> </w:t>
      </w:r>
      <w:r>
        <w:rPr>
          <w:rStyle w:val="InsertedText"/>
          <w:i/>
          <w:iCs/>
        </w:rPr>
        <w:t xml:space="preserve">Pediatrics</w:t>
      </w:r>
      <w:r>
        <w:rPr>
          <w:rStyle w:val="InsertedText"/>
        </w:rPr>
        <w:t xml:space="preserve">, 144(1):e20191359, 2019. doi:10.1542/peds.2019-1359.</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rStyle w:val="DeletedText"/>
          <w:i/>
          <w:iCs/>
        </w:rPr>
        <w:t xml:space="preserve">Journal of systems architecture</w:t>
      </w:r>
      <w:r>
        <w:rPr>
          <w:rStyle w:val="InsertedText"/>
          <w:i/>
          <w:iCs/>
        </w:rPr>
        <w:t xml:space="preserve">Journal of Systems Architecture</w:t>
      </w:r>
      <w:r>
        <w:t xml:space="preserve">, 148:103081, 2024.</w:t>
      </w:r>
    </w:p>
    <w:p>
      <w:pPr>
        <w:pStyle w:val="BodyText"/>
      </w:pPr>
      <w:r>
        <w:t xml:space="preserve">[33] Jie Yin, Yang Xiao, Qian Chen, Xuefeng Liu, Qingqi Pei, Jianying Zhou, et al. </w:t>
      </w:r>
      <w:r>
        <w:rPr>
          <w:rStyle w:val="DeletedText"/>
        </w:rPr>
        <w:t xml:space="preserve">Dp-did:</w:t>
      </w:r>
      <w:r>
        <w:rPr>
          <w:rStyle w:val="InsertedText"/>
        </w:rPr>
        <w:t xml:space="preserve">DP-DID:</w:t>
      </w:r>
      <w:r>
        <w:t xml:space="preserve"> </w:t>
      </w:r>
      <w:r>
        <w:t xml:space="preserve">A dynamic and proactive decentralized identity system.</w:t>
      </w:r>
      <w:r>
        <w:t xml:space="preserve"> </w:t>
      </w:r>
      <w:r>
        <w:rPr>
          <w:i/>
          <w:iCs/>
        </w:rPr>
        <w:t xml:space="preserve">IEEE Transactions on Information Forensics and Security</w:t>
      </w:r>
      <w:r>
        <w:t xml:space="preserve">, pages 4999–5014, 2025.</w:t>
      </w:r>
    </w:p>
    <w:p>
      <w:pPr>
        <w:pStyle w:val="InsertedPara"/>
      </w:pPr>
      <w:r>
        <w:rPr>
          <w:rStyle w:val="InsertedText"/>
        </w:rPr>
        <w:t xml:space="preserve">[34]</w:t>
      </w:r>
      <w:r>
        <w:rPr>
          <w:rStyle w:val="InsertedText"/>
        </w:rPr>
        <w:t xml:space="preserve"> </w:t>
      </w:r>
      <w:r>
        <w:rPr>
          <w:rStyle w:val="InsertedText"/>
          <w:i/>
          <w:iCs/>
        </w:rPr>
        <w:t xml:space="preserve">Privacy Act 1988</w:t>
      </w:r>
      <w:r>
        <w:rPr>
          <w:rStyle w:val="InsertedText"/>
        </w:rPr>
        <w:t xml:space="preserve"> </w:t>
      </w:r>
      <w:r>
        <w:rPr>
          <w:rStyle w:val="InsertedText"/>
        </w:rPr>
        <w:t xml:space="preserve">(Cth), including Schedule 1 – Australian Privacy Principles. Federal Register of Legislation, Australian Government.</w:t>
      </w:r>
    </w:p>
    <w:p>
      <w:pPr>
        <w:pStyle w:val="InsertedPara"/>
      </w:pPr>
      <w:r>
        <w:rPr>
          <w:rStyle w:val="InsertedText"/>
        </w:rPr>
        <w:t xml:space="preserve">[35]</w:t>
      </w:r>
      <w:r>
        <w:rPr>
          <w:rStyle w:val="InsertedText"/>
        </w:rPr>
        <w:t xml:space="preserve"> </w:t>
      </w:r>
      <w:r>
        <w:rPr>
          <w:rStyle w:val="InsertedText"/>
          <w:i/>
          <w:iCs/>
        </w:rPr>
        <w:t xml:space="preserve">My Health Records Act 2012</w:t>
      </w:r>
      <w:r>
        <w:rPr>
          <w:rStyle w:val="InsertedText"/>
        </w:rPr>
        <w:t xml:space="preserve"> </w:t>
      </w:r>
      <w:r>
        <w:rPr>
          <w:rStyle w:val="InsertedText"/>
        </w:rPr>
        <w:t xml:space="preserve">(Cth). Federal Register of Legislation, Australian Government.</w:t>
      </w:r>
    </w:p>
    <w:p>
      <w:pPr>
        <w:pStyle w:val="InsertedPara"/>
      </w:pPr>
      <w:r>
        <w:rPr>
          <w:rStyle w:val="InsertedText"/>
        </w:rPr>
        <w:t xml:space="preserve">[36]</w:t>
      </w:r>
      <w:r>
        <w:rPr>
          <w:rStyle w:val="InsertedText"/>
        </w:rPr>
        <w:t xml:space="preserve"> </w:t>
      </w:r>
      <w:r>
        <w:rPr>
          <w:rStyle w:val="InsertedText"/>
          <w:i/>
          <w:iCs/>
        </w:rPr>
        <w:t xml:space="preserve">Healthcare Identifiers Act 2010</w:t>
      </w:r>
      <w:r>
        <w:rPr>
          <w:rStyle w:val="InsertedText"/>
        </w:rPr>
        <w:t xml:space="preserve"> </w:t>
      </w:r>
      <w:r>
        <w:rPr>
          <w:rStyle w:val="InsertedText"/>
        </w:rPr>
        <w:t xml:space="preserve">(Cth). Federal Register of Legislation, Australian Government.</w:t>
      </w:r>
    </w:p>
    <w:p>
      <w:pPr>
        <w:pStyle w:val="InsertedPara"/>
      </w:pPr>
      <w:r>
        <w:rPr>
          <w:rStyle w:val="InsertedText"/>
        </w:rPr>
        <w:t xml:space="preserve">[37] Matthew J. Page, Joanne E. McKenzie, Patrick M. Bossuyt, et al. The PRISMA 2020 statement: an updated guideline for reporting systematic reviews.</w:t>
      </w:r>
      <w:r>
        <w:rPr>
          <w:rStyle w:val="InsertedText"/>
        </w:rPr>
        <w:t xml:space="preserve"> </w:t>
      </w:r>
      <w:r>
        <w:rPr>
          <w:rStyle w:val="InsertedText"/>
          <w:i/>
          <w:iCs/>
        </w:rPr>
        <w:t xml:space="preserve">BMJ</w:t>
      </w:r>
      <w:r>
        <w:rPr>
          <w:rStyle w:val="InsertedText"/>
        </w:rPr>
        <w:t xml:space="preserve">, 372:n71, 2021. doi:10.1136/bmj.n71.</w:t>
      </w:r>
    </w:p>
    <w:p>
      <w:pPr>
        <w:pStyle w:val="InsertedPara"/>
      </w:pPr>
      <w:r>
        <w:rPr>
          <w:rStyle w:val="InsertedText"/>
        </w:rPr>
        <w:t xml:space="preserve">[38] Jason Walonoski, Mark Kramer, Joseph Nichols, et al. Synthea: An approach, method, and software mechanism for generating synthetic patients and the synthetic electronic health care record.</w:t>
      </w:r>
      <w:r>
        <w:rPr>
          <w:rStyle w:val="InsertedText"/>
        </w:rPr>
        <w:t xml:space="preserve"> </w:t>
      </w:r>
      <w:r>
        <w:rPr>
          <w:rStyle w:val="InsertedText"/>
          <w:i/>
          <w:iCs/>
        </w:rPr>
        <w:t xml:space="preserve">Journal of the American Medical Informatics Association</w:t>
      </w:r>
      <w:r>
        <w:rPr>
          <w:rStyle w:val="InsertedText"/>
        </w:rPr>
        <w:t xml:space="preserve">, 25(3):230–238, 2018. doi:10.1093/jamia/ocx079.</w:t>
      </w:r>
    </w:p>
    <w:p>
      <w:pPr>
        <w:pStyle w:val="InsertedPara"/>
      </w:pPr>
      <w:r>
        <w:rPr>
          <w:rStyle w:val="InsertedText"/>
        </w:rPr>
        <w:t xml:space="preserve">[39] Remco Bloemen, Leonid Logvinov, and Jacob Evans. EIP-712: Typed structured data hashing and signing. Ethereum Improvement Proposals, 2017. https://eips.ethereum.org/EIPS/eip-712.</w:t>
      </w:r>
    </w:p>
    <w:p>
      <w:pPr>
        <w:pStyle w:val="InsertedPara"/>
      </w:pPr>
      <w:r>
        <w:rPr>
          <w:rStyle w:val="InsertedText"/>
        </w:rPr>
        <w:t xml:space="preserve">[40] ERC-5484: Consensual Soulbound Tokens. Ethereum Improvement Proposals, 2022. https://eips.ethereum.org/EIPS/eip-5484.</w:t>
      </w:r>
    </w:p>
    <w:p>
      <w:pPr>
        <w:pStyle w:val="InsertedPara"/>
      </w:pPr>
      <w:r>
        <w:rPr>
          <w:rStyle w:val="InsertedText"/>
        </w:rPr>
        <w:t xml:space="preserve">[41] W3C. Decentralized Identifiers (DIDs) v1.0. W3C Recommendation, 2022. https://www.w3.org/TR/did-core/.</w:t>
      </w:r>
    </w:p>
    <w:p>
      <w:pPr>
        <w:pStyle w:val="InsertedPara"/>
      </w:pPr>
      <w:r>
        <w:rPr>
          <w:rStyle w:val="InsertedText"/>
        </w:rPr>
        <w:t xml:space="preserve">[42] W3C. Verifiable Credentials Data Model v2.0. W3C Recommendation, 2025. https://www.w3.org/TR/vc-data-model-2.0/.</w:t>
      </w:r>
    </w:p>
    <w:bookmarkEnd w:id="173"/>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86" Target="media/rId86.png" /><Relationship Type="http://schemas.openxmlformats.org/officeDocument/2006/relationships/image" Id="rId93" Target="media/rId93.png" /><Relationship Type="http://schemas.openxmlformats.org/officeDocument/2006/relationships/image" Id="rId100" Target="media/rId100.png" /><Relationship Type="http://schemas.openxmlformats.org/officeDocument/2006/relationships/image" Id="rId107" Target="media/rId107.png" /><Relationship Type="http://schemas.openxmlformats.org/officeDocument/2006/relationships/image" Id="rId114" Target="media/rId114.png" /><Relationship Type="http://schemas.openxmlformats.org/officeDocument/2006/relationships/image" Id="rId121" Target="media/rId121.png" /><Relationship Type="http://schemas.openxmlformats.org/officeDocument/2006/relationships/image" Id="rId154" Target="media/rId1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2026-09-29T05:26:40Z</dcterms:created>
  <dcterms:modified xsi:type="dcterms:W3CDTF">2026-09-29T05:26:40Z</dcterms:modified>
</cp:coreProperties>
</file>

<file path=docProps/custom.xml><?xml version="1.0" encoding="utf-8"?>
<Properties xmlns="http://schemas.openxmlformats.org/officeDocument/2006/custom-properties" xmlns:vt="http://schemas.openxmlformats.org/officeDocument/2006/docPropsVTypes"/>
</file>