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2.png" ContentType="image/png"/>
  <Override PartName="/word/media/rId57.png" ContentType="image/png"/>
  <Override PartName="/word/media/rId60.png" ContentType="image/png"/>
  <Override PartName="/word/media/rId64.png" ContentType="image/png"/>
  <Override PartName="/word/media/rId71.png" ContentType="image/png"/>
  <Override PartName="/word/media/rId85.png" ContentType="image/png"/>
  <Override PartName="/word/media/rId93.png" ContentType="image/png"/>
  <Override PartName="/word/media/rId100.png" ContentType="image/png"/>
  <Override PartName="/word/media/rId106.png" ContentType="image/png"/>
  <Override PartName="/word/media/rId115.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 Authorization 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t xml:space="preserve">August 2026</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2"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pStyle w:val="BodyText"/>
      </w:pPr>
      <w: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w:t>
      </w:r>
      <w:r>
        <w:t xml:space="preserve"> </w:t>
      </w:r>
      <w:r>
        <w:rPr>
          <w:i/>
          <w:iCs/>
        </w:rPr>
        <w:t xml:space="preserve">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t xml:space="preserve">The subsequent next stage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t xml:space="preserve">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pStyle w:val="BodyText"/>
      </w:pPr>
      <w:r>
        <w:t xml:space="preserve">This separation establishes a clear progression between the current and subsequent stages of the research. current research is concerned primarily with establishing the conceptual and technical foundations through which trustworthy multi-party authorisation can be constructed. Next stage will build upon 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 Research Scope and Progression</w:t>
      </w:r>
    </w:p>
    <w:tbl>
      <w:tblPr>
        <w:tblStyle w:val="Table"/>
        <w:tblW w:type="pct" w:w="5000"/>
        <w:tblLayout w:type="fixed"/>
        <w:tblLook w:firstRow="1" w:lastRow="0" w:firstColumn="0" w:lastColumn="0" w:noHBand="0" w:noVBand="0" w:val="0020"/>
        <w:tblCaption w:val="Table 1: Research Scope and Progression"/>
      </w:tblPr>
      <w:tblGrid>
        <w:gridCol w:w="1092"/>
        <w:gridCol w:w="2093"/>
        <w:gridCol w:w="473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Modelling</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Authorisation</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End w:id="12"/>
    <w:bookmarkStart w:id="37" w:name="systematic-literature-review"/>
    <w:p>
      <w:pPr>
        <w:pStyle w:val="Heading1"/>
      </w:pPr>
      <w:r>
        <w:t xml:space="preserve">2 Systematic Literature Review</w:t>
      </w:r>
    </w:p>
    <w:bookmarkStart w:id="13" w:name="overview"/>
    <w:p>
      <w:pPr>
        <w:pStyle w:val="Heading2"/>
      </w:pPr>
      <w:r>
        <w:t xml:space="preserve">2.1 Overview</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End w:id="13"/>
    <w:bookmarkStart w:id="27" w:name="systematic-literature-review-methodology"/>
    <w:p>
      <w:pPr>
        <w:pStyle w:val="Heading2"/>
      </w:pPr>
      <w:r>
        <w:t xml:space="preserve">2.2 Systematic Literature Review Methodology</w:t>
      </w:r>
    </w:p>
    <w:p>
      <w:pPr>
        <w:pStyle w:val="FirstParagraph"/>
      </w:pPr>
      <w:r>
        <w:t xml:space="preserve">Based on the provided list of 33 references (spanning years 2022 to 2026, with a focus on blockchain, decentralized identity, verifiable credentials, healthcare access control, and consent management), the text has been adjusted to accurately reflect this contemporary literature corpus.</w:t>
      </w:r>
    </w:p>
    <w:p>
      <w:pPr>
        <w:pStyle w:val="BodyText"/>
      </w:pPr>
      <w:r>
        <w:t xml:space="preserve">Specifically, references [1, 2, 3, 7, 9, 11, 12, 13, 14, 21, 22, 24, 28, 31, 32] anchor the healthcare data sharing, consent, and access control aspects, while [4, 5, 10, 15, 16, 20, 23, 25, 27, 33] support the decentralized identifiers (DIDs), verifiable credentials (VCs), and trust architecture dimensions. Furthermore, the final inclusion count in the screening section has been aligned with the scope of the provided bibliography.</w:t>
      </w:r>
    </w:p>
    <w:bookmarkStart w:id="14" w:name="review-design-and-reporting-framework"/>
    <w:p>
      <w:pPr>
        <w:pStyle w:val="Heading3"/>
      </w:pPr>
      <w:r>
        <w:t xml:space="preserve">2.2.1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decentralized identity, privacy-preserving access control, and auditability. The review was designed to establish the conceptual and technical foundations of the research and thus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authorization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bookmarkEnd w:id="14"/>
    <w:bookmarkStart w:id="15" w:name="questions-for-review"/>
    <w:p>
      <w:pPr>
        <w:pStyle w:val="Heading3"/>
      </w:pPr>
      <w:r>
        <w:t xml:space="preserve">2.2.2 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decentralized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5"/>
    <w:bookmarkStart w:id="19" w:name="search-databases-and-search-strategy"/>
    <w:p>
      <w:pPr>
        <w:pStyle w:val="Heading3"/>
      </w:pPr>
      <w:r>
        <w:t xml:space="preserve">2.2.3 Search Databases and Search Strategy</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decentralized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decentralized identity, access control, privacy, and auditability. The general search string was defined as shown in Figure 1.</w:t>
      </w:r>
    </w:p>
    <w:p>
      <w:pPr>
        <w:pStyle w:val="CaptionedFigure"/>
      </w:pPr>
      <w:r>
        <w:drawing>
          <wp:inline>
            <wp:extent cx="5465445" cy="3370858"/>
            <wp:effectExtent b="0" l="0" r="0" t="0"/>
            <wp:docPr descr="Figure 1: SLR Search String Definition" title="" id="17" name="Picture"/>
            <a:graphic>
              <a:graphicData uri="http://schemas.openxmlformats.org/drawingml/2006/picture">
                <pic:pic>
                  <pic:nvPicPr>
                    <pic:cNvPr descr="media/fig01.png" id="18" name="Picture"/>
                    <pic:cNvPicPr>
                      <a:picLocks noChangeArrowheads="1" noChangeAspect="1"/>
                    </pic:cNvPicPr>
                  </pic:nvPicPr>
                  <pic:blipFill>
                    <a:blip r:embed="rId16"/>
                    <a:stretch>
                      <a:fillRect/>
                    </a:stretch>
                  </pic:blipFill>
                  <pic:spPr bwMode="auto">
                    <a:xfrm>
                      <a:off x="0" y="0"/>
                      <a:ext cx="5465445" cy="3370858"/>
                    </a:xfrm>
                    <a:prstGeom prst="rect">
                      <a:avLst/>
                    </a:prstGeom>
                    <a:noFill/>
                    <a:ln w="9525">
                      <a:noFill/>
                      <a:headEnd/>
                      <a:tailEnd/>
                    </a:ln>
                  </pic:spPr>
                </pic:pic>
              </a:graphicData>
            </a:graphic>
          </wp:inline>
        </w:drawing>
      </w:r>
    </w:p>
    <w:p>
      <w:pPr>
        <w:pStyle w:val="ImageCaption"/>
      </w:pPr>
      <w:r>
        <w:t xml:space="preserve">Figure 1: SLR Search String Definition</w:t>
      </w:r>
    </w:p>
    <w:bookmarkEnd w:id="19"/>
    <w:bookmarkStart w:id="20" w:name="search-period-and-search-execution"/>
    <w:p>
      <w:pPr>
        <w:pStyle w:val="Heading3"/>
      </w:pPr>
      <w:r>
        <w:t xml:space="preserve">2.2.4 Search Period and Search Execution</w:t>
      </w:r>
    </w:p>
    <w:p>
      <w:pPr>
        <w:pStyle w:val="FirstParagraph"/>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on</w:t>
      </w:r>
      <w:r>
        <w:t xml:space="preserve"> </w:t>
      </w:r>
      <w:r>
        <w:rPr>
          <w:b/>
          <w:bCs/>
        </w:rPr>
        <w:t xml:space="preserve">August 2026</w:t>
      </w:r>
      <w:r>
        <w:t xml:space="preserve">. The search period was selected to capture the rapid development of multi-party trust healthcare data management, decentralized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bookmarkEnd w:id="20"/>
    <w:bookmarkStart w:id="21" w:name="eligibility-criteria"/>
    <w:p>
      <w:pPr>
        <w:pStyle w:val="Heading3"/>
      </w:pPr>
      <w:r>
        <w:t xml:space="preserve">2.2.5 Eligibility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decentralized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bookmarkEnd w:id="21"/>
    <w:bookmarkStart w:id="25" w:name="screening-and-study-selection"/>
    <w:p>
      <w:pPr>
        <w:pStyle w:val="Heading3"/>
      </w:pPr>
      <w:r>
        <w:t xml:space="preserve">2.2.6 Screening and Study Selection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authorization,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65445" cy="2819058"/>
            <wp:effectExtent b="0" l="0" r="0" t="0"/>
            <wp:docPr descr="Figure 2: PRISMA Study Selection Summary" title="" id="23" name="Picture"/>
            <a:graphic>
              <a:graphicData uri="http://schemas.openxmlformats.org/drawingml/2006/picture">
                <pic:pic>
                  <pic:nvPicPr>
                    <pic:cNvPr descr="media/fig02.png" id="24" name="Picture"/>
                    <pic:cNvPicPr>
                      <a:picLocks noChangeArrowheads="1" noChangeAspect="1"/>
                    </pic:cNvPicPr>
                  </pic:nvPicPr>
                  <pic:blipFill>
                    <a:blip r:embed="rId22"/>
                    <a:stretch>
                      <a:fillRect/>
                    </a:stretch>
                  </pic:blipFill>
                  <pic:spPr bwMode="auto">
                    <a:xfrm>
                      <a:off x="0" y="0"/>
                      <a:ext cx="5465445" cy="2819058"/>
                    </a:xfrm>
                    <a:prstGeom prst="rect">
                      <a:avLst/>
                    </a:prstGeom>
                    <a:noFill/>
                    <a:ln w="9525">
                      <a:noFill/>
                      <a:headEnd/>
                      <a:tailEnd/>
                    </a:ln>
                  </pic:spPr>
                </pic:pic>
              </a:graphicData>
            </a:graphic>
          </wp:inline>
        </w:drawing>
      </w:r>
    </w:p>
    <w:p>
      <w:pPr>
        <w:pStyle w:val="ImageCaption"/>
      </w:pPr>
      <w:r>
        <w:t xml:space="preserve">Figure 2: PRISMA Study Selection Summary</w:t>
      </w:r>
    </w:p>
    <w:p>
      <w:pPr>
        <w:pStyle w:val="BodyText"/>
      </w:pPr>
      <w:r>
        <w:t xml:space="preserve">Figure 2 presents the PRISMA flow diagram for this review which summarizes the identification, screening, eligibility, and inclusion stages of the SLR. The final number of included studies was derived after completing the screening and eligibility assessment across the identified literature base.</w:t>
      </w:r>
    </w:p>
    <w:bookmarkEnd w:id="25"/>
    <w:bookmarkStart w:id="26" w:name="data-extraction-and-synthesis"/>
    <w:p>
      <w:pPr>
        <w:pStyle w:val="Heading3"/>
      </w:pPr>
      <w:r>
        <w:t xml:space="preserve">2.2.7 Data Extraction and Synthesis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organized into thematic categories corresponding to the research questions. These categories included consent specification and management, decentralized identity and credential verification, authorization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authorization,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bookmarkEnd w:id="26"/>
    <w:bookmarkEnd w:id="27"/>
    <w:bookmarkStart w:id="35" w:name="review"/>
    <w:p>
      <w:pPr>
        <w:pStyle w:val="Heading2"/>
      </w:pPr>
      <w:r>
        <w:t xml:space="preserve">2.3 Review</w:t>
      </w:r>
    </w:p>
    <w:p>
      <w:pPr>
        <w:pStyle w:val="FirstParagraph"/>
      </w:pPr>
      <w:r>
        <w:t xml:space="preserve">The systematic literature review examines the current state of research on trustworthy and decentralised data sharing, with particular attention to healthcare consent management, blockchain-based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Blockchain research has investigated immutable data governance, distributed auditability, and decentralised trust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Start w:id="28" w:name="Xf0d39a1e46bef7b65f013535e5ed0149354ae05"/>
    <w:p>
      <w:pPr>
        <w:pStyle w:val="Heading3"/>
      </w:pPr>
      <w:r>
        <w:t xml:space="preserve">2.3.1 Healthcare Consent and Decentralised Data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bookmarkEnd w:id="28"/>
    <w:bookmarkStart w:id="29" w:name="X2a81d1017ab362264ba053931c582f4a6c34161"/>
    <w:p>
      <w:pPr>
        <w:pStyle w:val="Heading3"/>
      </w:pPr>
      <w:r>
        <w:t xml:space="preserve">2.3.2 Blockchain-Based Consent and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pStyle w:val="BodyText"/>
      </w:pPr>
      <w: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bookmarkEnd w:id="29"/>
    <w:bookmarkStart w:id="30" w:name="Xce8374abd25737680a0ea224e7b0673254898a7"/>
    <w:p>
      <w:pPr>
        <w:pStyle w:val="Heading3"/>
      </w:pPr>
      <w:r>
        <w:t xml:space="preserve">2.3.3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bookmarkEnd w:id="30"/>
    <w:bookmarkStart w:id="31" w:name="X3a5b3d1d0a9f1be36ba29fe34578e9369c010e5"/>
    <w:p>
      <w:pPr>
        <w:pStyle w:val="Heading3"/>
      </w:pPr>
      <w:r>
        <w:t xml:space="preserve">2.3.4 Multi-Party Authorisation and Collaborative Consent</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bookmarkEnd w:id="31"/>
    <w:bookmarkStart w:id="32" w:name="Xbcf1c150ceed73ca1d49c8591d5085e7f71fea1"/>
    <w:p>
      <w:pPr>
        <w:pStyle w:val="Heading3"/>
      </w:pPr>
      <w:r>
        <w:t xml:space="preserve">2.3.5 Policy-Based and Context-Aware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observations and medications,</w:t>
      </w:r>
    </w:p>
    <w:p>
      <w:pPr>
        <w:pStyle w:val="BodyText"/>
      </w:pPr>
      <m:oMathPara>
        <m:oMathParaPr>
          <m:jc m:val="center"/>
        </m:oMathParaPr>
        <m:oMath>
          <m:sSub>
            <m:e>
              <m:r>
                <m:t>S</m:t>
              </m:r>
            </m:e>
            <m:sub>
              <m:r>
                <m:t>C</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rPr>
              <m:sty m:val="p"/>
            </m:rPr>
            <m:t>,</m:t>
          </m:r>
          <m:r>
            <m:t>  </m:t>
          </m:r>
          <m:r>
            <m:t>  </m:t>
          </m:r>
          <m:r>
            <m:rPr>
              <m:sty m:val="p"/>
            </m:rPr>
            <m:t>(</m:t>
          </m:r>
          <m:r>
            <m:t>3</m:t>
          </m:r>
          <m:r>
            <m:rPr>
              <m:sty m:val="p"/>
            </m:rPr>
            <m:t>)</m:t>
          </m:r>
        </m:oMath>
      </m:oMathPara>
    </w:p>
    <w:p>
      <w:pPr>
        <w:pStyle w:val="FirstParagraph"/>
      </w:pPr>
      <w:r>
        <w:t xml:space="preserve">then a request for observations, medications, and procedures,</w:t>
      </w:r>
    </w:p>
    <w:p>
      <w:pPr>
        <w:pStyle w:val="BodyText"/>
      </w:pPr>
      <m:oMathPara>
        <m:oMathParaPr>
          <m:jc m:val="center"/>
        </m:oMathParaPr>
        <m:oMath>
          <m:sSub>
            <m:e>
              <m:r>
                <m:t>S</m:t>
              </m:r>
            </m:e>
            <m:sub>
              <m:r>
                <m:t>R</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bookmarkEnd w:id="32"/>
    <w:bookmarkStart w:id="33" w:name="X70697d1bf80033494359f9b6207e02cd31d6057"/>
    <w:p>
      <w:pPr>
        <w:pStyle w:val="Heading3"/>
      </w:pPr>
      <w:r>
        <w:t xml:space="preserve">2.3.6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BodyText"/>
      </w:pPr>
      <w: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 This research establishes the conceptual foundation for such integration. Future work can therefore investigate how trusted execution and remote attestation can strengthen the enforcement and verification of decentralised consent decisions.</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bookmarkEnd w:id="33"/>
    <w:bookmarkStart w:id="34" w:name="X825064b2f9c6a59f6907e485e5a8e31c4a70bee"/>
    <w:p>
      <w:pPr>
        <w:pStyle w:val="Heading3"/>
      </w:pPr>
      <w:r>
        <w:t xml:space="preserve">2.3.7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 summarises the principal focus and limitations of the major research streams and positions the proposed framework relative to the existing literature.</w:t>
      </w:r>
    </w:p>
    <w:p>
      <w:pPr>
        <w:pStyle w:val="TableCaption"/>
      </w:pPr>
      <w:r>
        <w:t xml:space="preserve">Table 2: Comparison of Existing Research Approaches and the Proposed Framework</w:t>
      </w:r>
    </w:p>
    <w:tbl>
      <w:tblPr>
        <w:tblStyle w:val="Table"/>
        <w:tblW w:type="pct" w:w="5000"/>
        <w:tblLayout w:type="fixed"/>
        <w:tblLook w:firstRow="1" w:lastRow="0" w:firstColumn="0" w:lastColumn="0" w:noHBand="0" w:noVBand="0" w:val="0020"/>
        <w:tblCaption w:val="Table 2: Comparison of Existing Research Approaches and the Proposed Framework"/>
      </w:tblPr>
      <w:tblGrid>
        <w:gridCol w:w="1584"/>
        <w:gridCol w:w="2006"/>
        <w:gridCol w:w="2534"/>
        <w:gridCol w:w="179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[31, 22, 14, 24, 12, 13, 10]</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[1, 2, 7, 3, 30, 26, 8, 29]</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[20, 33, 4, 16, 27, 5]</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[19, 4, 21, 9]</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[32, 11, 28, 25]</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[23, 17, 18]</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4"/>
    <w:bookmarkEnd w:id="35"/>
    <w:bookmarkStart w:id="36" w:name="synthesis-and-research-gap"/>
    <w:p>
      <w:pPr>
        <w:pStyle w:val="Heading2"/>
      </w:pPr>
      <w:r>
        <w:t xml:space="preserve">2.4 Synthesis and Research Gap</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6"/>
    <w:bookmarkEnd w:id="37"/>
    <w:bookmarkStart w:id="48" w:name="research-gaps-and-questions"/>
    <w:p>
      <w:pPr>
        <w:pStyle w:val="Heading1"/>
      </w:pPr>
      <w:r>
        <w:t xml:space="preserve">3 Research Gaps and Questions</w:t>
      </w:r>
    </w:p>
    <w:bookmarkStart w:id="38"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38"/>
    <w:bookmarkStart w:id="39"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t xml:space="preserve">For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39"/>
    <w:bookmarkStart w:id="46"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0"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0"/>
    <w:bookmarkStart w:id="41"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w:t>
      </w:r>
      <w:r>
        <w:rPr>
          <w:i/>
          <w:iCs/>
        </w:rPr>
        <w:t xml:space="preserve">Identity</w:t>
      </w:r>
      <w:r>
        <w:t xml:space="preserve"≯ =</w:t>
      </w:r>
      <w:r>
        <w:t xml:space="preserve"> </w:t>
      </w:r>
      <w:r>
        <w:rPr>
          <w:i/>
          <w:iCs/>
        </w:rPr>
        <w:t xml:space="preserve">Authorisation.</w:t>
      </w:r>
      <w:r>
        <w:t xml:space="preserve"> </w:t>
      </w:r>
      <w:r>
        <w:t xml:space="preserve">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1"/>
    <w:bookmarkStart w:id="42"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2"/>
    <w:bookmarkStart w:id="43" w:name="X18d67b34848dc6b049b38f880e406e6933f540a"/>
    <w:p>
      <w:pPr>
        <w:pStyle w:val="Heading3"/>
      </w:pPr>
      <w:r>
        <w:t xml:space="preserve">3.3.4 SRQ4: Policy- and Context-Aware Access Control</w:t>
      </w:r>
    </w:p>
    <w:p>
      <w:pPr>
        <w:pStyle w:val="FirstParagraph"/>
      </w:pPr>
      <w:r>
        <w:t xml:space="preserve">The fourth sub-research question is</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BodyText"/>
      </w:pPr>
      <w:r>
        <w:t xml:space="preserve">For example, if a consent authorises access to</w:t>
      </w:r>
    </w:p>
    <w:p>
      <w:pPr>
        <w:pStyle w:val="BodyText"/>
      </w:pPr>
      <m:oMathPara>
        <m:oMathParaPr>
          <m:jc m:val="center"/>
        </m:oMathParaPr>
        <m:oMath>
          <m:sSub>
            <m:e>
              <m:r>
                <m:t>S</m:t>
              </m:r>
            </m:e>
            <m:sub>
              <m:r>
                <m:t>C</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  </m:t>
          </m:r>
          <m:r>
            <m:t>  </m:t>
          </m:r>
          <m:r>
            <m:rPr>
              <m:sty m:val="p"/>
            </m:rPr>
            <m:t>(</m:t>
          </m:r>
          <m:r>
            <m:t>12</m:t>
          </m:r>
          <m:r>
            <m:rPr>
              <m:sty m:val="p"/>
            </m:rPr>
            <m:t>)</m:t>
          </m:r>
        </m:oMath>
      </m:oMathPara>
    </w:p>
    <w:p>
      <w:pPr>
        <w:pStyle w:val="FirstParagraph"/>
      </w:pPr>
      <w:r>
        <w:t xml:space="preserve">while the request contains</w:t>
      </w:r>
    </w:p>
    <w:p>
      <w:pPr>
        <w:pStyle w:val="BodyText"/>
      </w:pPr>
      <m:oMathPara>
        <m:oMathParaPr>
          <m:jc m:val="center"/>
        </m:oMathParaPr>
        <m:oMath>
          <m:sSub>
            <m:e>
              <m:r>
                <m:t>S</m:t>
              </m:r>
            </m:e>
            <m:sub>
              <m:r>
                <m:t>R</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  </m:t>
          </m:r>
          <m:r>
            <m:t>  </m:t>
          </m:r>
          <m:r>
            <m:rPr>
              <m:sty m:val="p"/>
            </m:rPr>
            <m:t>(</m:t>
          </m:r>
          <m:r>
            <m:t>13</m:t>
          </m:r>
          <m:r>
            <m:rPr>
              <m:sty m:val="p"/>
            </m:rPr>
            <m:t>)</m:t>
          </m:r>
        </m:oMath>
      </m:oMathPara>
    </w:p>
    <w:p>
      <w:pPr>
        <w:pStyle w:val="FirstParagraph"/>
      </w:pPr>
      <w:r>
        <w:t xml:space="preserve">the request must be rejected when</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14</m:t>
          </m:r>
          <m:r>
            <m:rPr>
              <m:sty m:val="p"/>
            </m:rPr>
            <m:t>)</m:t>
          </m:r>
        </m:oMath>
      </m:oMathPara>
    </w:p>
    <w:p>
      <w:pPr>
        <w:pStyle w:val="FirstParagraph"/>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43"/>
    <w:bookmarkStart w:id="44" w:name="srq5-temporal-and-lifecycle-trust"/>
    <w:p>
      <w:pPr>
        <w:pStyle w:val="Heading3"/>
      </w:pPr>
      <w:r>
        <w:t xml:space="preserve">3.3.5 SRQ5: Temporal and Lifecycle Trust</w:t>
      </w:r>
    </w:p>
    <w:p>
      <w:pPr>
        <w:pStyle w:val="FirstParagraph"/>
      </w:pPr>
      <w:r>
        <w:t xml:space="preserve">The fifth sub-research question is</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rPr>
          <w:i/>
          <w:iCs/>
        </w:rPr>
        <w:t xml:space="preserve">, 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15</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16</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17</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18</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44"/>
    <w:bookmarkStart w:id="45" w:name="X7c6b045f751290aa07830b72c2ac7e52de8dcce"/>
    <w:p>
      <w:pPr>
        <w:pStyle w:val="Heading3"/>
      </w:pPr>
      <w:r>
        <w:t xml:space="preserve">3.3.6 SRQ6: Formal Security Assurance and Empirical Validation</w:t>
      </w:r>
    </w:p>
    <w:p>
      <w:pPr>
        <w:pStyle w:val="FirstParagraph"/>
      </w:pPr>
      <w:r>
        <w:t xml:space="preserve">The sixth sub-research question is</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19</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20</m:t>
          </m:r>
          <m:r>
            <m:rPr>
              <m:sty m:val="p"/>
            </m:rPr>
            <m:t>)</m:t>
          </m:r>
        </m:oMath>
      </m:oMathPara>
    </w:p>
    <w:p>
      <w:pPr>
        <w:pStyle w:val="FirstParagraph"/>
      </w:pPr>
      <w:r>
        <w:t xml:space="preserve">authorisation integrity</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21</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22</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23</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24</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25</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26</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45"/>
    <w:bookmarkEnd w:id="46"/>
    <w:bookmarkStart w:id="47"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27</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 results in denial that</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D</m:t>
          </m:r>
          <m:r>
            <m:t>E</m:t>
          </m:r>
          <m:r>
            <m:t>N</m:t>
          </m:r>
          <m:r>
            <m:t>Y</m:t>
          </m:r>
          <m:r>
            <m:rPr>
              <m:sty m:val="p"/>
            </m:rPr>
            <m:t>.</m:t>
          </m:r>
          <m:r>
            <m:t>  </m:t>
          </m:r>
          <m:r>
            <m:t>  </m:t>
          </m:r>
          <m:r>
            <m:rPr>
              <m:sty m:val="p"/>
            </m:rPr>
            <m:t>(</m:t>
          </m:r>
          <m:r>
            <m:t>28</m:t>
          </m:r>
          <m:r>
            <m:rPr>
              <m:sty m:val="p"/>
            </m:rPr>
            <m:t>)</m:t>
          </m:r>
        </m:oMath>
      </m:oMathPara>
    </w:p>
    <w:p>
      <w:pPr>
        <w:pStyle w:val="FirstParagraph"/>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seamlessly connects user-facing trust with back-end system security.</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47"/>
    <w:bookmarkEnd w:id="48"/>
    <w:bookmarkStart w:id="56"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current stage, while the final two objectives extend and evaluate these mechanisms as part of the next research programme.</w:t>
      </w:r>
    </w:p>
    <w:bookmarkStart w:id="49"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bookmarkEnd w:id="49"/>
    <w:bookmarkStart w:id="50"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0"/>
    <w:bookmarkStart w:id="51"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 RQ3 and extends the consent model from an individual permission statement to a collective authorisation decision.</w:t>
      </w:r>
    </w:p>
    <w:bookmarkEnd w:id="51"/>
    <w:bookmarkStart w:id="52"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 RQ4 and completes the foundational authorisation model investigated during current stage. Together, RO1–RO4 establish the representation, verification, collective authorisation, and policy-enforcement mechanisms required for a trust-oriented healthcare data-sharing decision.</w:t>
      </w:r>
    </w:p>
    <w:bookmarkEnd w:id="52"/>
    <w:bookmarkStart w:id="53"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 next stageresearch programme. It will investigate how temporal and lifecycle conditions can be incorporated into the authorisation decision without weakening the trust relationships established by the current stage mechanisms.</w:t>
      </w:r>
    </w:p>
    <w:bookmarkEnd w:id="53"/>
    <w:bookmarkStart w:id="54"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next stage works.</w:t>
      </w:r>
    </w:p>
    <w:bookmarkEnd w:id="54"/>
    <w:bookmarkStart w:id="55"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 Table 3 and Table 3. The mapping follows the structure of the research programme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 reliable under dynamic lifecycle conditions and whether their security and practical effectiveness can be formally and empirically demonstrated.</w:t>
      </w:r>
    </w:p>
    <w:p>
      <w:pPr>
        <w:pStyle w:val="TableCaption"/>
      </w:pPr>
      <w:r>
        <w:t xml:space="preserve">Table 3: Research Questions, Research Objectives, and Thesis Chapters for Current Stage</w:t>
      </w:r>
    </w:p>
    <w:tbl>
      <w:tblPr>
        <w:tblStyle w:val="Table"/>
        <w:tblW w:type="pct" w:w="5000"/>
        <w:tblLayout w:type="fixed"/>
        <w:tblLook w:firstRow="1" w:lastRow="0" w:firstColumn="0" w:lastColumn="0" w:noHBand="0" w:noVBand="0" w:val="0020"/>
        <w:tblCaption w:val="Table 3: Research Questions, Research Objectives, and Thesis Chapters for Current Stage"/>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b/>
                <w:bCs/>
              </w:rPr>
              <w:t xml:space="preserve">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b/>
                <w:bCs/>
              </w:rPr>
              <w:t xml:space="preserve">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 Research Questions, Research Objectives, and Thesis Chapters for CA3</w:t>
      </w:r>
    </w:p>
    <w:tbl>
      <w:tblPr>
        <w:tblStyle w:val="Table"/>
        <w:tblW w:type="pct" w:w="5000"/>
        <w:tblLayout w:type="fixed"/>
        <w:tblLook w:firstRow="1" w:lastRow="0" w:firstColumn="0" w:lastColumn="0" w:noHBand="0" w:noVBand="0" w:val="0020"/>
        <w:tblCaption w:val="Table 4: Research Questions, Research Objectives, and Thesis Chapters for CA3"/>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b/>
                <w:bCs/>
              </w:rPr>
              <w:t xml:space="preserve">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b/>
                <w:bCs/>
              </w:rPr>
              <w:t xml:space="preserve">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 the authorisation decision is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29</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 incorporating temporal and lifecycle conditions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30</m:t>
          </m:r>
          <m:r>
            <m:rPr>
              <m:sty m:val="p"/>
            </m:rPr>
            <m:t>)</m:t>
          </m:r>
        </m:oMath>
      </m:oMathPara>
    </w:p>
    <w:p>
      <w:pPr>
        <w:pStyle w:val="FirstParagraph"/>
      </w:pPr>
      <w:r>
        <w:t xml:space="preserve">where</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 research on dynamic trust, formal assurance, and comprehensive validation.</w:t>
      </w:r>
    </w:p>
    <w:bookmarkEnd w:id="55"/>
    <w:bookmarkEnd w:id="56"/>
    <w:bookmarkStart w:id="84"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w:t>
      </w:r>
      <w:r>
        <w:t xml:space="preserve"> </w:t>
      </w:r>
      <w:r>
        <w:rPr>
          <w:i/>
          <w:iCs/>
        </w:rPr>
        <w:t xml:space="preserve">interact with it</w:t>
      </w:r>
      <w:r>
        <w:t xml:space="preserve">, and</w:t>
      </w:r>
      <w:r>
        <w:t xml:space="preserve"> </w:t>
      </w:r>
      <w:r>
        <w:rPr>
          <w:i/>
          <w:iCs/>
        </w:rPr>
        <w:t xml:space="preserve">how trust is enforced</w:t>
      </w:r>
      <w:r>
        <w:t xml:space="preserve">.</w:t>
      </w:r>
    </w:p>
    <w:bookmarkStart w:id="70"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w:t>
      </w:r>
      <w:r>
        <w:t xml:space="preserve"> </w:t>
      </w:r>
      <w:r>
        <w:rPr>
          <w:i/>
          <w:iCs/>
        </w:rPr>
        <w:t xml:space="preserve">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465445" cy="3378365"/>
            <wp:effectExtent b="0" l="0" r="0" t="0"/>
            <wp:docPr descr="Figure 3: Layered MVC Architecture and Component Decomposition of the HALAH Framework" title="" id="58" name="Picture"/>
            <a:graphic>
              <a:graphicData uri="http://schemas.openxmlformats.org/drawingml/2006/picture">
                <pic:pic>
                  <pic:nvPicPr>
                    <pic:cNvPr descr="media/fig03.png" id="59" name="Picture"/>
                    <pic:cNvPicPr>
                      <a:picLocks noChangeArrowheads="1" noChangeAspect="1"/>
                    </pic:cNvPicPr>
                  </pic:nvPicPr>
                  <pic:blipFill>
                    <a:blip r:embed="rId57"/>
                    <a:stretch>
                      <a:fillRect/>
                    </a:stretch>
                  </pic:blipFill>
                  <pic:spPr bwMode="auto">
                    <a:xfrm>
                      <a:off x="0" y="0"/>
                      <a:ext cx="5465445" cy="3378365"/>
                    </a:xfrm>
                    <a:prstGeom prst="rect">
                      <a:avLst/>
                    </a:prstGeom>
                    <a:noFill/>
                    <a:ln w="9525">
                      <a:noFill/>
                      <a:headEnd/>
                      <a:tailEnd/>
                    </a:ln>
                  </pic:spPr>
                </pic:pic>
              </a:graphicData>
            </a:graphic>
          </wp:inline>
        </w:drawing>
      </w:r>
    </w:p>
    <w:p>
      <w:pPr>
        <w:pStyle w:val="ImageCaption"/>
      </w:pPr>
      <w:r>
        <w:t xml:space="preserve">Figure 3: Layered MVC Architecture and Component Decomposition of the HALAH Framework</w:t>
      </w:r>
    </w:p>
    <w:bookmarkStart w:id="63"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465445" cy="848345"/>
            <wp:effectExtent b="0" l="0" r="0" t="0"/>
            <wp:docPr descr="Figure 4: Functional Decomposition of the MVC Components" title="" id="61" name="Picture"/>
            <a:graphic>
              <a:graphicData uri="http://schemas.openxmlformats.org/drawingml/2006/picture">
                <pic:pic>
                  <pic:nvPicPr>
                    <pic:cNvPr descr="media/fig04.png" id="62" name="Picture"/>
                    <pic:cNvPicPr>
                      <a:picLocks noChangeArrowheads="1" noChangeAspect="1"/>
                    </pic:cNvPicPr>
                  </pic:nvPicPr>
                  <pic:blipFill>
                    <a:blip r:embed="rId60"/>
                    <a:stretch>
                      <a:fillRect/>
                    </a:stretch>
                  </pic:blipFill>
                  <pic:spPr bwMode="auto">
                    <a:xfrm>
                      <a:off x="0" y="0"/>
                      <a:ext cx="5465445" cy="848345"/>
                    </a:xfrm>
                    <a:prstGeom prst="rect">
                      <a:avLst/>
                    </a:prstGeom>
                    <a:noFill/>
                    <a:ln w="9525">
                      <a:noFill/>
                      <a:headEnd/>
                      <a:tailEnd/>
                    </a:ln>
                  </pic:spPr>
                </pic:pic>
              </a:graphicData>
            </a:graphic>
          </wp:inline>
        </w:drawing>
      </w:r>
    </w:p>
    <w:p>
      <w:pPr>
        <w:pStyle w:val="ImageCaption"/>
      </w:pPr>
      <w:r>
        <w:t xml:space="preserve">Figure 4: Functional Decomposition of the MVC Components</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w:t>
      </w:r>
      <w:r>
        <w:t xml:space="preserve"> </w:t>
      </w:r>
      <w:r>
        <w:rPr>
          <w:i/>
          <w:iCs/>
        </w:rPr>
        <w:t xml:space="preserve">Engine</w:t>
      </w:r>
      <w:r>
        <w:t xml:space="preserve"> </w:t>
      </w:r>
      <w:r>
        <w:t xml:space="preserve">combines the resulting predicates into the final authorisation decision. Finally,</w:t>
      </w:r>
      <w:r>
        <w:t xml:space="preserve"> </w:t>
      </w:r>
      <w:r>
        <w:rPr>
          <w:i/>
          <w:iCs/>
        </w:rPr>
        <w:t xml:space="preserve">Audit</w:t>
      </w:r>
      <w:r>
        <w:t xml:space="preserve"> </w:t>
      </w:r>
      <w:r>
        <w:rPr>
          <w:i/>
          <w:iCs/>
        </w:rPr>
        <w:t xml:space="preserve">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63"/>
    <w:bookmarkStart w:id="67"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5.</w:t>
      </w:r>
    </w:p>
    <w:p>
      <w:pPr>
        <w:pStyle w:val="BodyText"/>
      </w:pPr>
      <w:r>
        <w:t xml:space="preserve">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t xml:space="preserve">The integrated decision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31</m:t>
          </m:r>
          <m:r>
            <m:rPr>
              <m:sty m:val="p"/>
            </m:rPr>
            <m:t>)</m:t>
          </m:r>
        </m:oMath>
      </m:oMathPara>
    </w:p>
    <w:p>
      <w:pPr>
        <w:pStyle w:val="FirstParagraph"/>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 evaluates to false, the decision is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D</m:t>
          </m:r>
          <m:r>
            <m:t>E</m:t>
          </m:r>
          <m:r>
            <m:t>N</m:t>
          </m:r>
          <m:r>
            <m:t>Y</m:t>
          </m:r>
          <m:r>
            <m:rPr>
              <m:sty m:val="p"/>
            </m:rPr>
            <m:t>.</m:t>
          </m:r>
          <m:r>
            <m:t>  </m:t>
          </m:r>
          <m:r>
            <m:t>  </m:t>
          </m:r>
          <m:r>
            <m:rPr>
              <m:sty m:val="p"/>
            </m:rPr>
            <m:t>(</m:t>
          </m:r>
          <m:r>
            <m:t>32</m:t>
          </m:r>
          <m:r>
            <m:rPr>
              <m:sty m:val="p"/>
            </m:rPr>
            <m:t>)</m:t>
          </m:r>
        </m:oMath>
      </m:oMathPara>
    </w:p>
    <w:p>
      <w:pPr>
        <w:pStyle w:val="CaptionedFigure"/>
      </w:pPr>
      <w:r>
        <w:drawing>
          <wp:inline>
            <wp:extent cx="3043824" cy="7519791"/>
            <wp:effectExtent b="0" l="0" r="0" t="0"/>
            <wp:docPr descr="Figure 5: Trust Predicate Evaluation and Authorisation Decision Flow" title="" id="65" name="Picture"/>
            <a:graphic>
              <a:graphicData uri="http://schemas.openxmlformats.org/drawingml/2006/picture">
                <pic:pic>
                  <pic:nvPicPr>
                    <pic:cNvPr descr="media/fig05.png" id="66" name="Picture"/>
                    <pic:cNvPicPr>
                      <a:picLocks noChangeArrowheads="1" noChangeAspect="1"/>
                    </pic:cNvPicPr>
                  </pic:nvPicPr>
                  <pic:blipFill>
                    <a:blip r:embed="rId64"/>
                    <a:stretch>
                      <a:fillRect/>
                    </a:stretch>
                  </pic:blipFill>
                  <pic:spPr bwMode="auto">
                    <a:xfrm>
                      <a:off x="0" y="0"/>
                      <a:ext cx="3043824" cy="7519791"/>
                    </a:xfrm>
                    <a:prstGeom prst="rect">
                      <a:avLst/>
                    </a:prstGeom>
                    <a:noFill/>
                    <a:ln w="9525">
                      <a:noFill/>
                      <a:headEnd/>
                      <a:tailEnd/>
                    </a:ln>
                  </pic:spPr>
                </pic:pic>
              </a:graphicData>
            </a:graphic>
          </wp:inline>
        </w:drawing>
      </w:r>
    </w:p>
    <w:p>
      <w:pPr>
        <w:pStyle w:val="ImageCaption"/>
      </w:pPr>
      <w:r>
        <w:t xml:space="preserve">Figure 5: Trust Predicate Evaluation and Authorisation Decision Flow</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67"/>
    <w:bookmarkStart w:id="68"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 summarised as following</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68"/>
    <w:bookmarkStart w:id="69"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69"/>
    <w:bookmarkEnd w:id="70"/>
    <w:bookmarkStart w:id="74" w:name="Xaaca485badbb4d0f2907cf52a0a8966b9bfd5bf"/>
    <w:p>
      <w:pPr>
        <w:pStyle w:val="Heading2"/>
      </w:pPr>
      <w:r>
        <w:t xml:space="preserve">5.2 Trust-Oriented Consent Authorization Workflow</w:t>
      </w:r>
    </w:p>
    <w:p>
      <w:pPr>
        <w:pStyle w:val="FirstParagraph"/>
      </w:pPr>
      <w:r>
        <w:t xml:space="preserve">Figure 6 presents the end-to-end workflow of the proposed trust-oriented patient consent authorization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authorization, and policy compliance. Accordingly, the proposed workflow transforms a patient’s consent from a static permission record into an evaluable authorization 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 authorization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authorization decisions.</w:t>
      </w:r>
    </w:p>
    <w:p>
      <w:pPr>
        <w:pStyle w:val="BodyText"/>
      </w:pPr>
      <w:r>
        <w:t xml:space="preserve">The next stage performs decentralized identity and authority verification using Decentralized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authorization.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w:t>
      </w:r>
    </w:p>
    <w:p>
      <w:pPr>
        <w:pStyle w:val="BodyText"/>
      </w:pPr>
      <w:r>
        <w:t xml:space="preserve">After identity and authority verification, the framework identifies the participants required to establish the consent decision. The authorization requirement may involve multiple independent participants, such as a patient together with one or more guardians or other authorized parties. The framework then collects their independent approvals and evaluates whether the predefined authorization 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 authorization threshold. Multi-party authorization is satisfied when</w:t>
      </w:r>
    </w:p>
    <w:p>
      <w:pPr>
        <w:pStyle w:val="CaptionedFigure"/>
      </w:pPr>
      <w:r>
        <w:drawing>
          <wp:inline>
            <wp:extent cx="2434224" cy="7686805"/>
            <wp:effectExtent b="0" l="0" r="0" t="0"/>
            <wp:docPr descr="Figure 6: End-to-End Workflow of Trust-Oriented Consent Authorization Framework" title="" id="72" name="Picture"/>
            <a:graphic>
              <a:graphicData uri="http://schemas.openxmlformats.org/drawingml/2006/picture">
                <pic:pic>
                  <pic:nvPicPr>
                    <pic:cNvPr descr="media/fig06.png" id="73" name="Picture"/>
                    <pic:cNvPicPr>
                      <a:picLocks noChangeArrowheads="1" noChangeAspect="1"/>
                    </pic:cNvPicPr>
                  </pic:nvPicPr>
                  <pic:blipFill>
                    <a:blip r:embed="rId71"/>
                    <a:stretch>
                      <a:fillRect/>
                    </a:stretch>
                  </pic:blipFill>
                  <pic:spPr bwMode="auto">
                    <a:xfrm>
                      <a:off x="0" y="0"/>
                      <a:ext cx="2434224" cy="7686805"/>
                    </a:xfrm>
                    <a:prstGeom prst="rect">
                      <a:avLst/>
                    </a:prstGeom>
                    <a:noFill/>
                    <a:ln w="9525">
                      <a:noFill/>
                      <a:headEnd/>
                      <a:tailEnd/>
                    </a:ln>
                  </pic:spPr>
                </pic:pic>
              </a:graphicData>
            </a:graphic>
          </wp:inline>
        </w:drawing>
      </w:r>
    </w:p>
    <w:p>
      <w:pPr>
        <w:pStyle w:val="ImageCaption"/>
      </w:pPr>
      <w:r>
        <w:t xml:space="preserve">Figure 6: End-to-End Workflow of Trust-Oriented Consent Authorization Framework</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33</m:t>
          </m:r>
          <m:r>
            <m:rPr>
              <m:sty m:val="p"/>
            </m:rPr>
            <m:t>)</m:t>
          </m:r>
        </m:oMath>
      </m:oMathPara>
    </w:p>
    <w:p>
      <w:pPr>
        <w:pStyle w:val="FirstParagraph"/>
      </w:pPr>
      <w:r>
        <w:t xml:space="preserve">If the required threshold is not satisfied, the authorization process terminates with a denial decision. This prevents a single participant from unilaterally establishing authorization when the consent policy requires collective approval.</w:t>
      </w:r>
    </w:p>
    <w:p>
      <w:pPr>
        <w:pStyle w:val="BodyText"/>
      </w:pPr>
      <w:r>
        <w:t xml:space="preserve">When the authorization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w:t>
      </w:r>
      <w:r>
        <w:t xml:space="preserve"> </w:t>
      </w:r>
      <w:r>
        <w:rPr>
          <w:i/>
          <w:iCs/>
        </w:rPr>
        <w:t xml:space="preserve">Observation, Medication</w:t>
      </w:r>
      <w:r>
        <w:t xml:space="preserve">, a request additionally containing</w:t>
      </w:r>
      <w:r>
        <w:t xml:space="preserve"> </w:t>
      </w:r>
      <w:r>
        <w:rPr>
          <w:i/>
          <w:iCs/>
        </w:rPr>
        <w:t xml:space="preserve">Procedure</w:t>
      </w:r>
      <w:r>
        <w:t xml:space="preserve"> </w:t>
      </w:r>
      <w:r>
        <w:t xml:space="preserve">should not be authorized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34</m:t>
          </m:r>
          <m:r>
            <m:rPr>
              <m:sty m:val="p"/>
            </m:rPr>
            <m:t>)</m:t>
          </m:r>
        </m:oMath>
      </m:oMathPara>
    </w:p>
    <w:p>
      <w:pPr>
        <w:pStyle w:val="FirstParagraph"/>
      </w:pPr>
      <w:r>
        <w:t xml:space="preserve">where</w:t>
      </w:r>
      <w:r>
        <w:t xml:space="preserve"> </w:t>
      </w:r>
      <w:r>
        <w:rPr>
          <w:i/>
          <w:iCs/>
        </w:rPr>
        <w:t xml:space="preserve">S</w:t>
      </w:r>
      <w:r>
        <w:rPr>
          <w:vertAlign w:val="subscript"/>
        </w:rPr>
        <w:t xml:space="preserve">R</w:t>
      </w:r>
      <w:r>
        <w:t xml:space="preserve"> </w:t>
      </w:r>
      <w:r>
        <w:t xml:space="preserve">represents the requested data scope and</w:t>
      </w:r>
      <w:r>
        <w:t xml:space="preserve"> </w:t>
      </w:r>
      <w:r>
        <w:rPr>
          <w:i/>
          <w:iCs/>
        </w:rPr>
        <w:t xml:space="preserve">S</w:t>
      </w:r>
      <w:r>
        <w:rPr>
          <w:vertAlign w:val="subscript"/>
        </w:rPr>
        <w:t xml:space="preserve">C</w:t>
      </w:r>
      <w:r>
        <w:t xml:space="preserve"> </w:t>
      </w:r>
      <w:r>
        <w:t xml:space="preserve">represents the consent-authorized scope. 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 authorization decision is therefore determined by the conjunction of identity and authority verification, multi-party authorization, and policy compliance. For the current stage scope of the proposed framework, the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35</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authorization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 authorization evidence in the audit layer. Importantly, both successful and denied decisions should be recorded because a trustworthy authorization framework requires accountability not only for data that were released but also for access attempts that were rejected. The audit evidence can therefore provide a traceable record of the authorization decision, including the relevant consent, participants, policy evaluation, decision outcome, and associated evidence. In this manner, the workflow connects consent specification with identity trust, collective authorization, policy enforcement, and accountability, providing the operational foundation of the proposed trust-oriented authorization framework.</w:t>
      </w:r>
    </w:p>
    <w:bookmarkEnd w:id="74"/>
    <w:bookmarkStart w:id="75"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t xml:space="preserve">For the current current stage scope, the core consent object is represented as</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36</m:t>
          </m:r>
          <m:r>
            <m:rPr>
              <m:sty m:val="p"/>
            </m:rPr>
            <m:t>)</m:t>
          </m:r>
        </m:oMath>
      </m:oMathPara>
    </w:p>
    <w:p>
      <w:pPr>
        <w:pStyle w:val="FirstParagraph"/>
      </w:pPr>
      <w:r>
        <w:t xml:space="preserve">where</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 The authorisation condition can then be represented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37</m:t>
          </m:r>
          <m:r>
            <m:rPr>
              <m:sty m:val="p"/>
            </m:rPr>
            <m:t>)</m:t>
          </m:r>
        </m:oMath>
      </m:oMathPara>
    </w:p>
    <w:p>
      <w:pPr>
        <w:pStyle w:val="FirstParagraph"/>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38</m:t>
          </m:r>
          <m:r>
            <m:rPr>
              <m:sty m:val="p"/>
            </m:rPr>
            <m:t>)</m:t>
          </m:r>
        </m:oMath>
      </m:oMathPara>
    </w:p>
    <w:p>
      <w:pPr>
        <w:pStyle w:val="FirstParagraph"/>
      </w:pPr>
      <w:r>
        <w:t xml:space="preserve">If the requested data exceeds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t xml:space="preserve">For the current current stage implementation, the Model focuses on the foundational dimensions of identity, authority, multi-party approval, policy constraints, and authorisation evidence. The subsequent next research will extend this representation to include temporal validity, expiration, revocation, lifecycle transitions, and formal security properties.</w:t>
      </w:r>
    </w:p>
    <w:bookmarkEnd w:id="75"/>
    <w:bookmarkStart w:id="76"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w:t>
      </w:r>
      <w:r>
        <w:t xml:space="preserve"> </w:t>
      </w:r>
      <w:r>
        <w:rPr>
          <w:i/>
          <w:iCs/>
        </w:rPr>
        <w:t xml:space="preserve">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76"/>
    <w:bookmarkStart w:id="77"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 Identity verification can be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39</m:t>
          </m:r>
          <m:r>
            <m:rPr>
              <m:sty m:val="p"/>
            </m:rPr>
            <m:t>)</m:t>
          </m:r>
        </m:oMath>
      </m:oMathPara>
    </w:p>
    <w:p>
      <w:pPr>
        <w:pStyle w:val="FirstParagraph"/>
      </w:pP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40</m:t>
          </m:r>
          <m:r>
            <m:rPr>
              <m:sty m:val="p"/>
            </m:rPr>
            <m:t>)</m:t>
          </m:r>
        </m:oMath>
      </m:oMathPara>
    </w:p>
    <w:p>
      <w:pPr>
        <w:pStyle w:val="FirstParagraph"/>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41</m:t>
          </m:r>
          <m:r>
            <m:rPr>
              <m:sty m:val="p"/>
            </m:rPr>
            <m:t>)</m:t>
          </m:r>
        </m:oMath>
      </m:oMathPara>
    </w:p>
    <w:p>
      <w:pPr>
        <w:pStyle w:val="FirstParagraph"/>
      </w:pPr>
      <w:r>
        <w:t xml:space="preserve">The overall current stage authorisation decision is therefore determined by the conjunction of the foundational trust conditions: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42</m:t>
          </m:r>
          <m:r>
            <m:rPr>
              <m:sty m:val="p"/>
            </m:rPr>
            <m:t>)</m:t>
          </m:r>
        </m:oMath>
      </m:oMathPara>
    </w:p>
    <w:p>
      <w:pPr>
        <w:pStyle w:val="FirstParagraph"/>
      </w:pPr>
      <w:r>
        <w:t xml:space="preserve">Equivalently, the decision can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r>
                      <m:t>u</m:t>
                    </m:r>
                    <m:r>
                      <m:rPr>
                        <m:sty m:val="p"/>
                      </m:rPr>
                      <m:t>)</m:t>
                    </m:r>
                    <m:r>
                      <m:rPr>
                        <m:sty m:val="p"/>
                      </m:rPr>
                      <m:t>=</m:t>
                    </m:r>
                    <m:r>
                      <m:t>1</m:t>
                    </m:r>
                    <m:r>
                      <m:rPr>
                        <m:sty m:val="p"/>
                      </m:rPr>
                      <m:t>∧</m:t>
                    </m:r>
                    <m:sSub>
                      <m:e>
                        <m:r>
                          <m:t>V</m:t>
                        </m:r>
                      </m:e>
                      <m:sub>
                        <m:r>
                          <m:t>A</m:t>
                        </m:r>
                      </m:sub>
                    </m:sSub>
                    <m:r>
                      <m:rPr>
                        <m:sty m:val="p"/>
                      </m:rPr>
                      <m:t>(</m:t>
                    </m:r>
                    <m:r>
                      <m:t>C</m:t>
                    </m:r>
                    <m:r>
                      <m:rPr>
                        <m:sty m:val="p"/>
                      </m:rPr>
                      <m:t>)</m:t>
                    </m:r>
                    <m:r>
                      <m:rPr>
                        <m:sty m:val="p"/>
                      </m:rPr>
                      <m:t>=</m:t>
                    </m:r>
                    <m:r>
                      <m:t>1</m:t>
                    </m:r>
                    <m:r>
                      <m:rPr>
                        <m:sty m:val="p"/>
                      </m:rPr>
                      <m:t>∧</m:t>
                    </m:r>
                    <m:sSub>
                      <m:e>
                        <m:r>
                          <m:t>V</m:t>
                        </m:r>
                      </m:e>
                      <m:sub>
                        <m:r>
                          <m:t>P</m:t>
                        </m:r>
                      </m:sub>
                    </m:sSub>
                    <m:r>
                      <m:rPr>
                        <m:sty m:val="p"/>
                      </m:rPr>
                      <m:t>(</m:t>
                    </m:r>
                    <m:r>
                      <m:t>C</m:t>
                    </m:r>
                    <m:r>
                      <m:rPr>
                        <m:sty m:val="p"/>
                      </m:rPr>
                      <m:t>,</m:t>
                    </m:r>
                    <m:r>
                      <m:t>R</m:t>
                    </m:r>
                    <m:r>
                      <m:rPr>
                        <m:sty m:val="p"/>
                      </m:rPr>
                      <m:t>)</m:t>
                    </m:r>
                    <m:r>
                      <m:rPr>
                        <m:sty m:val="p"/>
                      </m:rPr>
                      <m:t>=</m:t>
                    </m:r>
                    <m:r>
                      <m:t>1</m:t>
                    </m:r>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43</m:t>
          </m:r>
          <m:r>
            <m:rPr>
              <m:sty m:val="p"/>
            </m:rPr>
            <m:t>)</m:t>
          </m:r>
        </m:oMath>
      </m:oMathPara>
    </w:p>
    <w:p>
      <w:pPr>
        <w:pStyle w:val="FirstParagraph"/>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77"/>
    <w:bookmarkStart w:id="78"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44</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45</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78"/>
    <w:bookmarkStart w:id="79"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w:t>
      </w:r>
      <w:r>
        <w:t xml:space="preserve"> </w:t>
      </w:r>
      <w:r>
        <w:rPr>
          <w:i/>
          <w:iCs/>
        </w:rPr>
        <w:t xml:space="preserve">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BodyText"/>
      </w:pPr>
      <w:r>
        <w:t xml:space="preserve">Suppose that a consent permits access to the following healthcare data categories that</w:t>
      </w:r>
    </w:p>
    <w:p>
      <w:pPr>
        <w:pStyle w:val="BodyText"/>
      </w:pPr>
      <m:oMathPara>
        <m:oMathParaPr>
          <m:jc m:val="center"/>
        </m:oMathParaPr>
        <m:oMath>
          <m:sSub>
            <m:e>
              <m:r>
                <m:t>S</m:t>
              </m:r>
            </m:e>
            <m:sub>
              <m:r>
                <m:t>C</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rPr>
              <m:sty m:val="p"/>
            </m:rPr>
            <m:t>.</m:t>
          </m:r>
          <m:r>
            <m:t>  </m:t>
          </m:r>
          <m:r>
            <m:t>  </m:t>
          </m:r>
          <m:r>
            <m:rPr>
              <m:sty m:val="p"/>
            </m:rPr>
            <m:t>(</m:t>
          </m:r>
          <m:r>
            <m:t>46</m:t>
          </m:r>
          <m:r>
            <m:rPr>
              <m:sty m:val="p"/>
            </m:rPr>
            <m:t>)</m:t>
          </m:r>
        </m:oMath>
      </m:oMathPara>
    </w:p>
    <w:p>
      <w:pPr>
        <w:pStyle w:val="FirstParagraph"/>
      </w:pPr>
      <w:r>
        <w:t xml:space="preserve">If a healthcare professional subsequently requests</w:t>
      </w:r>
    </w:p>
    <w:p>
      <w:pPr>
        <w:pStyle w:val="BodyText"/>
      </w:pPr>
      <m:oMathPara>
        <m:oMathParaPr>
          <m:jc m:val="center"/>
        </m:oMathParaPr>
        <m:oMath>
          <m:sSub>
            <m:e>
              <m:r>
                <m:t>S</m:t>
              </m:r>
            </m:e>
            <m:sub>
              <m:r>
                <m:t>R</m:t>
              </m:r>
            </m:sub>
          </m:sSub>
          <m:r>
            <m:rPr>
              <m:sty m:val="p"/>
            </m:rPr>
            <m:t>=</m:t>
          </m:r>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47</m:t>
          </m:r>
          <m:r>
            <m:rPr>
              <m:sty m:val="p"/>
            </m:rPr>
            <m:t>)</m:t>
          </m:r>
        </m:oMath>
      </m:oMathPara>
    </w:p>
    <w:p>
      <w:pPr>
        <w:pStyle w:val="FirstParagraph"/>
      </w:pPr>
      <w:r>
        <w:t xml:space="preserve">the request exceeds the authorised data scope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48</m:t>
          </m:r>
          <m:r>
            <m:rPr>
              <m:sty m:val="p"/>
            </m:rPr>
            <m:t>)</m:t>
          </m:r>
        </m:oMath>
      </m:oMathPara>
    </w:p>
    <w:p>
      <w:pPr>
        <w:pStyle w:val="FirstParagraph"/>
      </w:pPr>
      <w:r>
        <w:t xml:space="preserve">The Controller must therefore return</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49</m:t>
          </m:r>
          <m:r>
            <m:rPr>
              <m:sty m:val="p"/>
            </m:rPr>
            <m:t>)</m:t>
          </m:r>
        </m:oMath>
      </m:oMathPara>
    </w:p>
    <w:p>
      <w:pPr>
        <w:pStyle w:val="FirstParagraph"/>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79"/>
    <w:bookmarkStart w:id="80"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50</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0"/>
    <w:bookmarkStart w:id="81"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collective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decision accountability</w:t>
      </w:r>
      <w:r>
        <w:t xml:space="preserve">. The system maintains evidence concerning the conditions that produced an authorisation decision, thereby supporting auditing and subsequent verification. These properties can be summarised as shown in Table 5.</w:t>
      </w:r>
    </w:p>
    <w:bookmarkEnd w:id="81"/>
    <w:bookmarkStart w:id="82"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2"/>
    <w:bookmarkStart w:id="83"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 RQ1–RQ4. The implemented HALAH prototype provides the practical environment in which these mechanisms can be instantiated and evaluated through representative healthcare data-sharing scenarios.</w:t>
      </w:r>
    </w:p>
    <w:p>
      <w:pPr>
        <w:pStyle w:val="TableCaption"/>
      </w:pPr>
      <w:r>
        <w:t xml:space="preserve">Table 5: Security Properties Supported by the Proposed MVC-Based Consent Architecture</w:t>
      </w:r>
    </w:p>
    <w:tbl>
      <w:tblPr>
        <w:tblStyle w:val="Table"/>
        <w:tblW w:type="pct" w:w="5000"/>
        <w:tblLayout w:type="fixed"/>
        <w:tblLook w:firstRow="1" w:lastRow="0" w:firstColumn="0" w:lastColumn="0" w:noHBand="0" w:noVBand="0" w:val="0020"/>
        <w:tblCaption w:val="Table 5: Security Properties Supported by the Proposed MVC-Based Consent Architecture"/>
      </w:tblPr>
      <w:tblGrid>
        <w:gridCol w:w="1680"/>
        <w:gridCol w:w="2880"/>
        <w:gridCol w:w="336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6: Mapping Between Research Objectives and MVC Components</w:t>
      </w:r>
    </w:p>
    <w:tbl>
      <w:tblPr>
        <w:tblStyle w:val="Table"/>
        <w:tblW w:type="pct" w:w="5000"/>
        <w:tblLayout w:type="fixed"/>
        <w:tblLook w:firstRow="1" w:lastRow="0" w:firstColumn="0" w:lastColumn="0" w:noHBand="0" w:noVBand="0" w:val="0020"/>
        <w:tblCaption w:val="Table 6: Mapping Between Research Objectives and MVC Components"/>
      </w:tblPr>
      <w:tblGrid>
        <w:gridCol w:w="1357"/>
        <w:gridCol w:w="1697"/>
        <w:gridCol w:w="1810"/>
        <w:gridCol w:w="30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 while next stagewill investigate whether this core can maintain trust dynamically over time, satisfy formally defined security properties, and consistently enforce the complete trust-oriented authorisation model under representative and adversarial healthcare data-sharing conditions.</w:t>
      </w:r>
    </w:p>
    <w:bookmarkEnd w:id="83"/>
    <w:bookmarkEnd w:id="84"/>
    <w:bookmarkStart w:id="128" w:name="proposed-solution"/>
    <w:p>
      <w:pPr>
        <w:pStyle w:val="Heading1"/>
      </w:pPr>
      <w:r>
        <w:t xml:space="preserve">6 Proposed Solution</w:t>
      </w:r>
    </w:p>
    <w:bookmarkStart w:id="91" w:name="trust-centric-consent-model-for-ro1"/>
    <w:p>
      <w:pPr>
        <w:pStyle w:val="Heading2"/>
      </w:pPr>
      <w:r>
        <w:t xml:space="preserve">6.1 Trust-Centric Consent Model for RO1</w:t>
      </w:r>
    </w:p>
    <w:p>
      <w:pPr>
        <w:pStyle w:val="FirstParagrap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51</m:t>
          </m:r>
          <m:r>
            <m:rPr>
              <m:sty m:val="p"/>
            </m:rPr>
            <m:t>)</m:t>
          </m:r>
        </m:oMath>
      </m:oMathPara>
    </w:p>
    <w:p>
      <w:pPr>
        <w:pStyle w:val="FirstParagraph"/>
      </w:pPr>
      <w:r>
        <w:t xml:space="preserve">where</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88" w:name="ro1-consent-creation-workflow"/>
    <w:p>
      <w:pPr>
        <w:pStyle w:val="Heading3"/>
      </w:pPr>
      <w:r>
        <w:t xml:space="preserve">6.1.1 RO1 Consent Creation Workflow</w:t>
      </w:r>
    </w:p>
    <w:p>
      <w:pPr>
        <w:pStyle w:val="FirstParagraph"/>
      </w:pPr>
      <w:r>
        <w:t xml:space="preserve">The following workflow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pStyle w:val="CaptionedFigure"/>
      </w:pPr>
      <w:r>
        <w:drawing>
          <wp:inline>
            <wp:extent cx="3451860" cy="7452700"/>
            <wp:effectExtent b="0" l="0" r="0" t="0"/>
            <wp:docPr descr="Figure 7: RO1 workflow for trust-centric consent creation" title="" id="86" name="Picture"/>
            <a:graphic>
              <a:graphicData uri="http://schemas.openxmlformats.org/drawingml/2006/picture">
                <pic:pic>
                  <pic:nvPicPr>
                    <pic:cNvPr descr="media/fig07.png" id="87" name="Picture"/>
                    <pic:cNvPicPr>
                      <a:picLocks noChangeArrowheads="1" noChangeAspect="1"/>
                    </pic:cNvPicPr>
                  </pic:nvPicPr>
                  <pic:blipFill>
                    <a:blip r:embed="rId85"/>
                    <a:stretch>
                      <a:fillRect/>
                    </a:stretch>
                  </pic:blipFill>
                  <pic:spPr bwMode="auto">
                    <a:xfrm>
                      <a:off x="0" y="0"/>
                      <a:ext cx="3451860" cy="7452700"/>
                    </a:xfrm>
                    <a:prstGeom prst="rect">
                      <a:avLst/>
                    </a:prstGeom>
                    <a:noFill/>
                    <a:ln w="9525">
                      <a:noFill/>
                      <a:headEnd/>
                      <a:tailEnd/>
                    </a:ln>
                  </pic:spPr>
                </pic:pic>
              </a:graphicData>
            </a:graphic>
          </wp:inline>
        </w:drawing>
      </w:r>
    </w:p>
    <w:p>
      <w:pPr>
        <w:pStyle w:val="ImageCaption"/>
      </w:pPr>
      <w:r>
        <w:t xml:space="preserve">Figure 7: RO1 workflow for trust-centric consent creation</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88"/>
    <w:bookmarkStart w:id="89"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4"/>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5"/>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6"/>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7"/>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8"/>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09"/>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rPr>
          <w:i/>
          <w:iCs/>
        </w:rPr>
        <w:t xml:space="preserve">&gt; t</w:t>
      </w:r>
      <w:r>
        <w:rPr>
          <w:vertAlign w:val="subscript"/>
        </w:rPr>
        <w:t xml:space="preserve">s</w:t>
      </w:r>
      <w:r>
        <w:t xml:space="preserve">. If this condition is not satisfied, the consent request is rejected.</w:t>
      </w:r>
    </w:p>
    <w:p>
      <w:pPr>
        <w:pStyle w:val="Compact"/>
        <w:numPr>
          <w:ilvl w:val="0"/>
          <w:numId w:val="1010"/>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1"/>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2"/>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3"/>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4"/>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5"/>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 establishment process that</w:t>
      </w:r>
      <w:r>
        <w:t xml:space="preserve"> </w:t>
      </w:r>
      <w:r>
        <w:rPr>
          <w:i/>
          <w:iCs/>
        </w:rPr>
        <w:t xml:space="preserve">I</w:t>
      </w:r>
      <w:r>
        <w:rPr>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w:t>
      </w:r>
      <w:r>
        <w:t xml:space="preserve">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bookmarkEnd w:id="89"/>
    <w:bookmarkStart w:id="90" w:name="algorithm-1-trust-aware-consent-creation"/>
    <w:p>
      <w:pPr>
        <w:pStyle w:val="Heading3"/>
      </w:pPr>
      <w:r>
        <w:t xml:space="preserve">6.1.3 Algorithm 1: Trust-Aware Consent Creation</w:t>
      </w:r>
    </w:p>
    <w:p>
      <w:pPr>
        <w:pStyle w:val="FirstParagrap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0"/>
    <w:bookmarkEnd w:id="91"/>
    <w:bookmarkStart w:id="98" w:name="X3b93ca6d6b3213e06bf792918c5f2e554ad197d"/>
    <w:p>
      <w:pPr>
        <w:pStyle w:val="Heading2"/>
      </w:pPr>
      <w:r>
        <w:t xml:space="preserve">6.2 Decentralised Identity and Authority Trust for RO2</w:t>
      </w:r>
    </w:p>
    <w:p>
      <w:pPr>
        <w:pStyle w:val="FirstParagraph"/>
      </w:pPr>
      <w: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The central principle of RO2 is</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52</m:t>
          </m:r>
          <m:r>
            <m:rPr>
              <m:sty m:val="p"/>
            </m:rPr>
            <m:t>)</m:t>
          </m:r>
        </m:oMath>
      </m:oMathPara>
    </w:p>
    <w:p>
      <w:pPr>
        <w:pStyle w:val="FirstParagrap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53</m:t>
          </m:r>
          <m:r>
            <m:rPr>
              <m:sty m:val="p"/>
            </m:rPr>
            <m:t>)</m:t>
          </m:r>
        </m:oMath>
      </m:oMathPara>
    </w:p>
    <w:p>
      <w:pPr>
        <w:pStyle w:val="FirstParagraph"/>
      </w:pPr>
      <w:r>
        <w:t xml:space="preserve">where</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92" w:name="X40f13bf52dbab2e76356a6753423f1584e794fb"/>
    <w:p>
      <w:pPr>
        <w:pStyle w:val="Heading3"/>
      </w:pPr>
      <w:r>
        <w:t xml:space="preserve">6.2.1 RO2 Identity and Authority Verification Workflow</w:t>
      </w:r>
    </w:p>
    <w:p>
      <w:pPr>
        <w:pStyle w:val="FirstParagrap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BodyText"/>
      </w:pPr>
      <w:r>
        <w:t xml:space="preserve">In the HALAH implementation, the Guardian workflow uses a selected guardian DID and invokes VC verification before adding the guardian’s signature to the consent. The code therefore demonstrates the separation between participant identity verification and the subsequent authorisation operation.</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92"/>
    <w:bookmarkStart w:id="96"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6"/>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7"/>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aptionedFigure"/>
      </w:pPr>
      <w:r>
        <w:drawing>
          <wp:inline>
            <wp:extent cx="3451860" cy="6500607"/>
            <wp:effectExtent b="0" l="0" r="0" t="0"/>
            <wp:docPr descr="Figure 8: RO2 workflow for decentralised identity and authority verification" title="" id="94" name="Picture"/>
            <a:graphic>
              <a:graphicData uri="http://schemas.openxmlformats.org/drawingml/2006/picture">
                <pic:pic>
                  <pic:nvPicPr>
                    <pic:cNvPr descr="media/fig08.png" id="95" name="Picture"/>
                    <pic:cNvPicPr>
                      <a:picLocks noChangeArrowheads="1" noChangeAspect="1"/>
                    </pic:cNvPicPr>
                  </pic:nvPicPr>
                  <pic:blipFill>
                    <a:blip r:embed="rId93"/>
                    <a:stretch>
                      <a:fillRect/>
                    </a:stretch>
                  </pic:blipFill>
                  <pic:spPr bwMode="auto">
                    <a:xfrm>
                      <a:off x="0" y="0"/>
                      <a:ext cx="3451860" cy="6500607"/>
                    </a:xfrm>
                    <a:prstGeom prst="rect">
                      <a:avLst/>
                    </a:prstGeom>
                    <a:noFill/>
                    <a:ln w="9525">
                      <a:noFill/>
                      <a:headEnd/>
                      <a:tailEnd/>
                    </a:ln>
                  </pic:spPr>
                </pic:pic>
              </a:graphicData>
            </a:graphic>
          </wp:inline>
        </w:drawing>
      </w:r>
    </w:p>
    <w:p>
      <w:pPr>
        <w:pStyle w:val="ImageCaption"/>
      </w:pPr>
      <w:r>
        <w:t xml:space="preserve">Figure 8: RO2 workflow for decentralised identity and authority verification</w:t>
      </w:r>
    </w:p>
    <w:p>
      <w:pPr>
        <w:pStyle w:val="Compact"/>
        <w:numPr>
          <w:ilvl w:val="0"/>
          <w:numId w:val="1018"/>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19"/>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w:t>
      </w:r>
    </w:p>
    <w:p>
      <w:pPr>
        <w:pStyle w:val="Compact"/>
        <w:numPr>
          <w:ilvl w:val="0"/>
          <w:numId w:val="1020"/>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1"/>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2"/>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3"/>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4"/>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96"/>
    <w:bookmarkStart w:id="97"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97"/>
    <w:bookmarkEnd w:id="98"/>
    <w:bookmarkStart w:id="105" w:name="X2fe5cbf561c8a3bc135795b66ae3ba1eef8bc71"/>
    <w:p>
      <w:pPr>
        <w:pStyle w:val="Heading2"/>
      </w:pPr>
      <w:r>
        <w:t xml:space="preserve">6.3 Trustworthy Multi-Party Authorisation for RO3</w:t>
      </w:r>
    </w:p>
    <w:p>
      <w:pPr>
        <w:pStyle w:val="FirstParagraph"/>
      </w:pPr>
      <w: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 The threshold condition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54</m:t>
          </m:r>
          <m:r>
            <m:rPr>
              <m:sty m:val="p"/>
            </m:rPr>
            <m:t>)</m:t>
          </m:r>
        </m:oMath>
      </m:oMathPara>
    </w:p>
    <w:p>
      <w:pPr>
        <w:pStyle w:val="FirstParagraph"/>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99" w:name="ro3-multi-party-authorisation-workflow"/>
    <w:p>
      <w:pPr>
        <w:pStyle w:val="Heading3"/>
      </w:pPr>
      <w:r>
        <w:t xml:space="preserve">6.3.1 RO3 Multi-Party Authorisation Workflow</w:t>
      </w:r>
    </w:p>
    <w:p>
      <w:pPr>
        <w:pStyle w:val="FirstParagraph"/>
      </w:pPr>
      <w: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BodyText"/>
      </w:pPr>
      <w:r>
        <w:t xml:space="preserve">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99"/>
    <w:bookmarkStart w:id="103"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5"/>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aptionedFigure"/>
      </w:pPr>
      <w:r>
        <w:drawing>
          <wp:inline>
            <wp:extent cx="3451860" cy="5978933"/>
            <wp:effectExtent b="0" l="0" r="0" t="0"/>
            <wp:docPr descr="Figure 9: RO3 workflow for threshold-based multi-party authorisation" title="" id="101" name="Picture"/>
            <a:graphic>
              <a:graphicData uri="http://schemas.openxmlformats.org/drawingml/2006/picture">
                <pic:pic>
                  <pic:nvPicPr>
                    <pic:cNvPr descr="media/fig09.png" id="102" name="Picture"/>
                    <pic:cNvPicPr>
                      <a:picLocks noChangeArrowheads="1" noChangeAspect="1"/>
                    </pic:cNvPicPr>
                  </pic:nvPicPr>
                  <pic:blipFill>
                    <a:blip r:embed="rId100"/>
                    <a:stretch>
                      <a:fillRect/>
                    </a:stretch>
                  </pic:blipFill>
                  <pic:spPr bwMode="auto">
                    <a:xfrm>
                      <a:off x="0" y="0"/>
                      <a:ext cx="3451860" cy="5978933"/>
                    </a:xfrm>
                    <a:prstGeom prst="rect">
                      <a:avLst/>
                    </a:prstGeom>
                    <a:noFill/>
                    <a:ln w="9525">
                      <a:noFill/>
                      <a:headEnd/>
                      <a:tailEnd/>
                    </a:ln>
                  </pic:spPr>
                </pic:pic>
              </a:graphicData>
            </a:graphic>
          </wp:inline>
        </w:drawing>
      </w:r>
    </w:p>
    <w:p>
      <w:pPr>
        <w:pStyle w:val="ImageCaption"/>
      </w:pPr>
      <w:r>
        <w:t xml:space="preserve">Figure 9: RO3 workflow for threshold-based multi-party authorisation</w:t>
      </w:r>
    </w:p>
    <w:p>
      <w:pPr>
        <w:pStyle w:val="Compact"/>
        <w:numPr>
          <w:ilvl w:val="0"/>
          <w:numId w:val="1026"/>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w:t>
      </w:r>
    </w:p>
    <w:p>
      <w:pPr>
        <w:pStyle w:val="Compact"/>
        <w:numPr>
          <w:ilvl w:val="0"/>
          <w:numId w:val="1027"/>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8"/>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29"/>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0"/>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 </w:t>
      </w:r>
      <w:r>
        <w:t xml:space="preserve">that</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1"/>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2"/>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3"/>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4"/>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5"/>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6"/>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7"/>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55</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56</m:t>
          </m:r>
          <m:r>
            <m:rPr>
              <m:sty m:val="p"/>
            </m:rPr>
            <m:t>)</m:t>
          </m:r>
        </m:oMath>
      </m:oMathPara>
    </w:p>
    <w:bookmarkEnd w:id="103"/>
    <w:bookmarkStart w:id="104"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04"/>
    <w:bookmarkEnd w:id="105"/>
    <w:bookmarkStart w:id="113" w:name="X77d8a567f90fbf98e40547b4be1462ed72e9750"/>
    <w:p>
      <w:pPr>
        <w:pStyle w:val="Heading2"/>
      </w:pPr>
      <w:r>
        <w:t xml:space="preserve">6.4 Policy- and Context-Aware Access Control for RO4</w:t>
      </w:r>
    </w:p>
    <w:p>
      <w:pPr>
        <w:pStyle w:val="FirstParagraph"/>
      </w:pPr>
      <w:r>
        <w:t xml:space="preserve">RO4 addresses RQ4 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57</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58</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t xml:space="preserve">The complete current stage research on authorisation decision is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59</m:t>
          </m:r>
          <m:r>
            <m:rPr>
              <m:sty m:val="p"/>
            </m:rPr>
            <m:t>)</m:t>
          </m:r>
        </m:oMath>
      </m:oMathPara>
    </w:p>
    <w:bookmarkStart w:id="109" w:name="ro4-policy-aware-access-workflow"/>
    <w:p>
      <w:pPr>
        <w:pStyle w:val="Heading3"/>
      </w:pPr>
      <w:r>
        <w:t xml:space="preserve">6.4.1 RO4 Policy-Aware Access Workflow</w:t>
      </w:r>
    </w:p>
    <w:p>
      <w:pPr>
        <w:pStyle w:val="FirstParagraph"/>
      </w:pPr>
      <w:r>
        <w:t xml:space="preserve">The workflow begins when a doctor submits a request for patient data. The system retrieves the relevant consent object and verifies the requesting participant. It then checks whether the required multi-party authorisation has been established.</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w:t>
      </w:r>
    </w:p>
    <w:p>
      <w:pPr>
        <w:pStyle w:val="BodyText"/>
      </w:pPr>
      <w:r>
        <w:t xml:space="preserve">For example, if</w:t>
      </w:r>
    </w:p>
    <w:p>
      <w:pPr>
        <w:pStyle w:val="BodyText"/>
      </w:pPr>
      <m:oMathPara>
        <m:oMathParaPr>
          <m:jc m:val="center"/>
        </m:oMathParaPr>
        <m:oMath>
          <m:sSub>
            <m:e>
              <m:r>
                <m:t>S</m:t>
              </m:r>
            </m:e>
            <m:sub>
              <m:r>
                <m:t>C</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  </m:t>
          </m:r>
          <m:r>
            <m:t>  </m:t>
          </m:r>
          <m:r>
            <m:rPr>
              <m:sty m:val="p"/>
            </m:rPr>
            <m:t>(</m:t>
          </m:r>
          <m:r>
            <m:t>60</m:t>
          </m:r>
          <m:r>
            <m:rPr>
              <m:sty m:val="p"/>
            </m:rPr>
            <m:t>)</m:t>
          </m:r>
        </m:oMath>
      </m:oMathPara>
    </w:p>
    <w:p>
      <w:pPr>
        <w:pStyle w:val="FirstParagraph"/>
      </w:pPr>
      <w:r>
        <w:t xml:space="preserve">and</w:t>
      </w:r>
    </w:p>
    <w:p>
      <w:pPr>
        <w:pStyle w:val="BodyText"/>
      </w:pPr>
      <m:oMathPara>
        <m:oMathParaPr>
          <m:jc m:val="center"/>
        </m:oMathParaPr>
        <m:oMath>
          <m:sSub>
            <m:e>
              <m:r>
                <m:t>S</m:t>
              </m:r>
            </m:e>
            <m:sub>
              <m:r>
                <m:t>R</m:t>
              </m:r>
            </m:sub>
          </m:sSub>
          <m:r>
            <m:rPr>
              <m:sty m:val="p"/>
            </m:rPr>
            <m:t>=</m:t>
          </m:r>
          <m:r>
            <m:t>O</m:t>
          </m:r>
          <m:r>
            <m:t>b</m:t>
          </m:r>
          <m:r>
            <m:t>s</m:t>
          </m:r>
          <m:r>
            <m:t>e</m:t>
          </m:r>
          <m:r>
            <m:t>r</m:t>
          </m:r>
          <m:r>
            <m:t>v</m:t>
          </m:r>
          <m:r>
            <m:t>a</m:t>
          </m:r>
          <m:r>
            <m:t>t</m:t>
          </m:r>
          <m:r>
            <m:t>i</m:t>
          </m:r>
          <m:r>
            <m:t>o</m:t>
          </m:r>
          <m:r>
            <m:t>n</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  </m:t>
          </m:r>
          <m:r>
            <m:t>  </m:t>
          </m:r>
          <m:r>
            <m:rPr>
              <m:sty m:val="p"/>
            </m:rPr>
            <m:t>(</m:t>
          </m:r>
          <m:r>
            <m:t>61</m:t>
          </m:r>
          <m:r>
            <m:rPr>
              <m:sty m:val="p"/>
            </m:rPr>
            <m:t>)</m:t>
          </m:r>
        </m:oMath>
      </m:oMathPara>
    </w:p>
    <w:p>
      <w:pPr>
        <w:pStyle w:val="FirstParagraph"/>
      </w:pPr>
      <w:r>
        <w:t xml:space="preserve">then</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62</m:t>
          </m:r>
          <m:r>
            <m:rPr>
              <m:sty m:val="p"/>
            </m:rPr>
            <m:t>)</m:t>
          </m:r>
        </m:oMath>
      </m:oMathPara>
    </w:p>
    <w:p>
      <w:pPr>
        <w:pStyle w:val="FirstParagraph"/>
      </w:pPr>
      <w:r>
        <w:t xml:space="preserve">and the request must be denied. This rule prevents a legitimate participant from obtaining data outside the patient’s authorised scope.</w:t>
      </w:r>
    </w:p>
    <w:p>
      <w:pPr>
        <w:pStyle w:val="CaptionedFigure"/>
      </w:pPr>
      <w:r>
        <w:drawing>
          <wp:inline>
            <wp:extent cx="3451860" cy="7239043"/>
            <wp:effectExtent b="0" l="0" r="0" t="0"/>
            <wp:docPr descr="Figure 10: RO4 workflow for policy- and context-aware access control" title="" id="107" name="Picture"/>
            <a:graphic>
              <a:graphicData uri="http://schemas.openxmlformats.org/drawingml/2006/picture">
                <pic:pic>
                  <pic:nvPicPr>
                    <pic:cNvPr descr="media/fig10.png" id="108" name="Picture"/>
                    <pic:cNvPicPr>
                      <a:picLocks noChangeArrowheads="1" noChangeAspect="1"/>
                    </pic:cNvPicPr>
                  </pic:nvPicPr>
                  <pic:blipFill>
                    <a:blip r:embed="rId106"/>
                    <a:stretch>
                      <a:fillRect/>
                    </a:stretch>
                  </pic:blipFill>
                  <pic:spPr bwMode="auto">
                    <a:xfrm>
                      <a:off x="0" y="0"/>
                      <a:ext cx="3451860" cy="7239043"/>
                    </a:xfrm>
                    <a:prstGeom prst="rect">
                      <a:avLst/>
                    </a:prstGeom>
                    <a:noFill/>
                    <a:ln w="9525">
                      <a:noFill/>
                      <a:headEnd/>
                      <a:tailEnd/>
                    </a:ln>
                  </pic:spPr>
                </pic:pic>
              </a:graphicData>
            </a:graphic>
          </wp:inline>
        </w:drawing>
      </w:r>
    </w:p>
    <w:p>
      <w:pPr>
        <w:pStyle w:val="ImageCaption"/>
      </w:pPr>
      <w:r>
        <w:t xml:space="preserve">Figure 10: RO4 workflow for policy- and context-aware access control</w:t>
      </w:r>
    </w:p>
    <w:bookmarkEnd w:id="109"/>
    <w:bookmarkStart w:id="110" w:name="X76e1ecd5ca9116901ef2fba9faaf6fcb0ec1702"/>
    <w:p>
      <w:pPr>
        <w:pStyle w:val="Heading3"/>
      </w:pPr>
      <w:r>
        <w:t xml:space="preserve">6.4.2 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38"/>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39"/>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40"/>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41"/>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42"/>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43"/>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44"/>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45"/>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46"/>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 that</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10"/>
    <w:bookmarkStart w:id="111"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1"/>
    <w:bookmarkStart w:id="112" w:name="X9b9350abce928b4bfd4821dc61b387a8eede2be"/>
    <w:p>
      <w:pPr>
        <w:pStyle w:val="Heading3"/>
      </w:pPr>
      <w:r>
        <w:t xml:space="preserve">6.4.4 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47"/>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48"/>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t xml:space="preserve">Formally,</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9"/>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50"/>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51"/>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t xml:space="preserve">which means</w:t>
      </w:r>
      <w:r>
        <w:t xml:space="preserve"> </w:t>
      </w:r>
      <w:r>
        <w:rPr>
          <w:i/>
          <w:iCs/>
        </w:rPr>
        <w:t xml:space="preserve">P</w:t>
      </w:r>
      <w:r>
        <w:rPr>
          <w:vertAlign w:val="subscript"/>
        </w:rPr>
        <w:t xml:space="preserve">R</w:t>
      </w:r>
      <w:r>
        <w:t xml:space="preserve"> </w:t>
      </w:r>
      <w:r>
        <w:t xml:space="preserve">guarantees, satisfies, and complies with the privacy constraint</w:t>
      </w:r>
      <w:r>
        <w:t xml:space="preserve"> </w:t>
      </w:r>
      <w:r>
        <w:rPr>
          <w:i/>
          <w:iCs/>
        </w:rPr>
        <w:t xml:space="preserve">P</w:t>
      </w:r>
      <w:r>
        <w:rPr>
          <w:vertAlign w:val="subscript"/>
        </w:rPr>
        <w:t xml:space="preserve">C</w:t>
      </w:r>
      <w:r>
        <w:t xml:space="preserve">. There is no execution path where the system can violate the privacy policy.</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52"/>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53"/>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54"/>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55"/>
        </w:numPr>
      </w:pPr>
      <w:r>
        <w:rPr>
          <w:b/>
          <w:bCs/>
        </w:rPr>
        <w:t xml:space="preserve">Step 9 – Retrieve the Authorised Healthcare Data.</w:t>
      </w:r>
    </w:p>
    <w:p>
      <w:pPr>
        <w:pStyle w:val="FirstParagraph"/>
      </w:pPr>
      <w:r>
        <w:t xml:space="preserve">Once the request has been successfully authorised, the system retrieves only the healthcare data satisfying the authorised scope</w:t>
      </w:r>
      <w:r>
        <w:t xml:space="preserve"> </w:t>
      </w:r>
      <w:r>
        <w:rPr>
          <w:i/>
          <w:iCs/>
        </w:rPr>
        <w:t xml:space="preserve">S</w:t>
      </w:r>
      <w:r>
        <w:rPr>
          <w:vertAlign w:val="subscript"/>
        </w:rPr>
        <w:t xml:space="preserve">R</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56"/>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57"/>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t xml:space="preserve">Consent Creation Identity Verification Multi-Party Auth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2"/>
    <w:bookmarkEnd w:id="113"/>
    <w:bookmarkStart w:id="119" w:name="temporal-and-lifecycle-trust-for-ro5"/>
    <w:p>
      <w:pPr>
        <w:pStyle w:val="Heading2"/>
      </w:pPr>
      <w:r>
        <w:t xml:space="preserve">6.5 Temporal and Lifecycle Trust for RO5</w:t>
      </w:r>
    </w:p>
    <w:p>
      <w:pPr>
        <w:pStyle w:val="FirstParagraph"/>
      </w:pPr>
      <w:r>
        <w:t xml:space="preserve">RO5 addresses RQ5 and extends the foundational current stage works on authorisation model 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 stage model evaluates identity, collective authorisation, and policy compliance. RO5 extends this model by introducing temporal and lifecycle conditions that</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sSub>
                      <m:e>
                        <m:r>
                          <m:t>t</m:t>
                        </m:r>
                      </m:e>
                      <m:sub>
                        <m:r>
                          <m:t>s</m:t>
                        </m:r>
                      </m:sub>
                    </m:sSub>
                    <m:r>
                      <m:rPr>
                        <m:sty m:val="p"/>
                      </m:rPr>
                      <m:t>≤</m:t>
                    </m:r>
                    <m:r>
                      <m:t>t</m:t>
                    </m:r>
                    <m:r>
                      <m:rPr>
                        <m:sty m:val="p"/>
                      </m:rPr>
                      <m:t>≤</m:t>
                    </m:r>
                    <m:sSub>
                      <m:e>
                        <m:r>
                          <m:t>t</m:t>
                        </m:r>
                      </m:e>
                      <m:sub>
                        <m:r>
                          <m:t>e</m:t>
                        </m:r>
                      </m:sub>
                    </m:sSub>
                    <m:r>
                      <m:rPr>
                        <m:sty m:val="p"/>
                      </m:rPr>
                      <m:t>,</m:t>
                    </m:r>
                  </m:e>
                </m:mr>
                <m:mr>
                  <m:e>
                    <m:r>
                      <m:t>0</m:t>
                    </m:r>
                    <m:r>
                      <m:rPr>
                        <m:sty m:val="p"/>
                      </m:rPr>
                      <m:t>,</m:t>
                    </m:r>
                  </m:e>
                  <m:e>
                    <m:r>
                      <m:t> </m:t>
                    </m:r>
                    <m:r>
                      <m:rPr>
                        <m:nor/>
                      </m:rPr>
                      <m:t>otherwise</m:t>
                    </m:r>
                    <m:r>
                      <m:t> </m:t>
                    </m:r>
                    <m:r>
                      <m:rPr>
                        <m:sty m:val="p"/>
                      </m:rPr>
                      <m:t>.</m:t>
                    </m:r>
                  </m:e>
                </m:mr>
              </m:m>
            </m:e>
          </m:d>
          <m:r>
            <m:t>  </m:t>
          </m:r>
          <m:r>
            <m:t>  </m:t>
          </m:r>
          <m:r>
            <m:rPr>
              <m:sty m:val="p"/>
            </m:rPr>
            <m:t>(</m:t>
          </m:r>
          <m:r>
            <m:t>63</m:t>
          </m:r>
          <m:r>
            <m:rPr>
              <m:sty m:val="p"/>
            </m:rPr>
            <m:t>)</m:t>
          </m:r>
        </m:oMath>
      </m:oMathPara>
    </w:p>
    <w:p>
      <w:pPr>
        <w:pStyle w:val="FirstParagraph"/>
      </w:pPr>
      <w:r>
        <w:t xml:space="preserve">The lifecycle condition can be expressed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64</m:t>
          </m:r>
          <m:r>
            <m:rPr>
              <m:sty m:val="p"/>
            </m:rPr>
            <m:t>)</m:t>
          </m:r>
        </m:oMath>
      </m:oMathPara>
    </w:p>
    <w:p>
      <w:pPr>
        <w:pStyle w:val="FirstParagraph"/>
      </w:pPr>
      <w:r>
        <w:t xml:space="preserve">The extended authorisation decision is therefore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65</m:t>
          </m:r>
          <m:r>
            <m:rPr>
              <m:sty m:val="p"/>
            </m:rPr>
            <m:t>)</m:t>
          </m:r>
        </m:oMath>
      </m:oMathPara>
    </w:p>
    <w:p>
      <w:pPr>
        <w:pStyle w:val="FirstParagraph"/>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14" w:name="ro5-temporal-and-lifecycle-workflow"/>
    <w:p>
      <w:pPr>
        <w:pStyle w:val="Heading3"/>
      </w:pPr>
      <w:r>
        <w:t xml:space="preserve">6.5.1 RO5 Temporal and Lifecycle Workflow</w:t>
      </w:r>
    </w:p>
    <w:p>
      <w:pPr>
        <w:pStyle w:val="FirstParagraph"/>
      </w:pPr>
      <w: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BodyText"/>
      </w:pPr>
      <w:r>
        <w:t xml:space="preserve">The current HALAH code already collects a start time and expiry time during consent creation, but the complete temporal and lifecycle enforcement mechanism remains part of the planned CA3 extension.</w:t>
      </w:r>
    </w:p>
    <w:bookmarkEnd w:id="114"/>
    <w:bookmarkStart w:id="118" w:name="X43f085cbe35cf9229d124bd6c8707d40ef3f488"/>
    <w:p>
      <w:pPr>
        <w:pStyle w:val="Heading3"/>
      </w:pPr>
      <w:r>
        <w:t xml:space="preserve">6.5.2 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CaptionedFigure"/>
      </w:pPr>
      <w:r>
        <w:drawing>
          <wp:inline>
            <wp:extent cx="3451860" cy="6065199"/>
            <wp:effectExtent b="0" l="0" r="0" t="0"/>
            <wp:docPr descr="Figure 11: RO5 planned workflow for temporal and consent lifecycle trust" title="" id="116" name="Picture"/>
            <a:graphic>
              <a:graphicData uri="http://schemas.openxmlformats.org/drawingml/2006/picture">
                <pic:pic>
                  <pic:nvPicPr>
                    <pic:cNvPr descr="media/fig11.png" id="117" name="Picture"/>
                    <pic:cNvPicPr>
                      <a:picLocks noChangeArrowheads="1" noChangeAspect="1"/>
                    </pic:cNvPicPr>
                  </pic:nvPicPr>
                  <pic:blipFill>
                    <a:blip r:embed="rId115"/>
                    <a:stretch>
                      <a:fillRect/>
                    </a:stretch>
                  </pic:blipFill>
                  <pic:spPr bwMode="auto">
                    <a:xfrm>
                      <a:off x="0" y="0"/>
                      <a:ext cx="3451860" cy="6065199"/>
                    </a:xfrm>
                    <a:prstGeom prst="rect">
                      <a:avLst/>
                    </a:prstGeom>
                    <a:noFill/>
                    <a:ln w="9525">
                      <a:noFill/>
                      <a:headEnd/>
                      <a:tailEnd/>
                    </a:ln>
                  </pic:spPr>
                </pic:pic>
              </a:graphicData>
            </a:graphic>
          </wp:inline>
        </w:drawing>
      </w:r>
    </w:p>
    <w:p>
      <w:pPr>
        <w:pStyle w:val="ImageCaption"/>
      </w:pPr>
      <w:r>
        <w:t xml:space="preserve">Figure 11: RO5 planned workflow for temporal and consent lifecycle trust</w:t>
      </w:r>
    </w:p>
    <w:p>
      <w:pPr>
        <w:pStyle w:val="BodyText"/>
      </w:pPr>
      <w:r>
        <w:t xml:space="preserve">Algorithm 5 extends the current stage works on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18"/>
    <w:bookmarkEnd w:id="119"/>
    <w:bookmarkStart w:id="126" w:name="X28e4c471c7af957781c5be37513d338d1f9028e"/>
    <w:p>
      <w:pPr>
        <w:pStyle w:val="Heading2"/>
      </w:pPr>
      <w:r>
        <w:t xml:space="preserve">6.6 Formal Security Assurance and Empirical Validation for RO6</w:t>
      </w:r>
    </w:p>
    <w:p>
      <w:pPr>
        <w:pStyle w:val="FirstParagraph"/>
      </w:pPr>
      <w:r>
        <w:t xml:space="preserve">RO6 addresses RQ6 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t xml:space="preserve">The formal decision model is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66</m:t>
          </m:r>
          <m:r>
            <m:rPr>
              <m:sty m:val="p"/>
            </m:rPr>
            <m:t>)</m:t>
          </m:r>
        </m:oMath>
      </m:oMathPara>
    </w:p>
    <w:p>
      <w:pPr>
        <w:pStyle w:val="FirstParagraph"/>
      </w:pPr>
      <w:r>
        <w:t xml:space="preserve">For current stage, 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67</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68</m:t>
          </m:r>
          <m:r>
            <m:rPr>
              <m:sty m:val="p"/>
            </m:rPr>
            <m:t>)</m:t>
          </m:r>
        </m:oMath>
      </m:oMathPara>
    </w:p>
    <w:bookmarkStart w:id="120" w:name="ro6-assurance-and-validation-workflow"/>
    <w:p>
      <w:pPr>
        <w:pStyle w:val="Heading3"/>
      </w:pPr>
      <w:r>
        <w:t xml:space="preserve">6.6.1 RO6 Assurance and Validation Workflow</w:t>
      </w:r>
    </w:p>
    <w:p>
      <w:pPr>
        <w:pStyle w:val="FirstParagraph"/>
      </w:pPr>
      <w: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w:t>
      </w:r>
    </w:p>
    <w:bookmarkEnd w:id="120"/>
    <w:bookmarkStart w:id="124"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aptionedFigure"/>
      </w:pPr>
      <w:r>
        <w:drawing>
          <wp:inline>
            <wp:extent cx="3451860" cy="4212881"/>
            <wp:effectExtent b="0" l="0" r="0" t="0"/>
            <wp:docPr descr="Figure 12: RO6 planned workflow for formal security assurance and empirical validation" title="" id="122" name="Picture"/>
            <a:graphic>
              <a:graphicData uri="http://schemas.openxmlformats.org/drawingml/2006/picture">
                <pic:pic>
                  <pic:nvPicPr>
                    <pic:cNvPr descr="media/fig12.png" id="123" name="Picture"/>
                    <pic:cNvPicPr>
                      <a:picLocks noChangeArrowheads="1" noChangeAspect="1"/>
                    </pic:cNvPicPr>
                  </pic:nvPicPr>
                  <pic:blipFill>
                    <a:blip r:embed="rId121"/>
                    <a:stretch>
                      <a:fillRect/>
                    </a:stretch>
                  </pic:blipFill>
                  <pic:spPr bwMode="auto">
                    <a:xfrm>
                      <a:off x="0" y="0"/>
                      <a:ext cx="3451860" cy="4212881"/>
                    </a:xfrm>
                    <a:prstGeom prst="rect">
                      <a:avLst/>
                    </a:prstGeom>
                    <a:noFill/>
                    <a:ln w="9525">
                      <a:noFill/>
                      <a:headEnd/>
                      <a:tailEnd/>
                    </a:ln>
                  </pic:spPr>
                </pic:pic>
              </a:graphicData>
            </a:graphic>
          </wp:inline>
        </w:drawing>
      </w:r>
    </w:p>
    <w:p>
      <w:pPr>
        <w:pStyle w:val="ImageCaption"/>
      </w:pPr>
      <w:r>
        <w:t xml:space="preserve">Figure 12: RO6 planned workflow for formal security assurance and empirical validation</w:t>
      </w:r>
    </w:p>
    <w:p>
      <w:pPr>
        <w:pStyle w:val="Compact"/>
        <w:numPr>
          <w:ilvl w:val="0"/>
          <w:numId w:val="1058"/>
        </w:numPr>
      </w:pPr>
      <w:r>
        <w:rPr>
          <w:b/>
          <w:bCs/>
        </w:rPr>
        <w:t xml:space="preserve">Step 1 – Define the Expected Authorisation Properties.</w:t>
      </w:r>
    </w:p>
    <w:p>
      <w:pPr>
        <w:pStyle w:val="FirstParagraph"/>
      </w:pPr>
      <w:r>
        <w:t xml:space="preserve">The first step is to define the security and authorisation properties P 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59"/>
        </w:numPr>
      </w:pPr>
      <w:r>
        <w:rPr>
          <w:b/>
          <w:bCs/>
        </w:rPr>
        <w:t xml:space="preserve">Step 2 – Define Valid Scenarios.</w:t>
      </w:r>
    </w:p>
    <w:p>
      <w:pPr>
        <w:pStyle w:val="FirstParagraph"/>
      </w:pPr>
      <w:r>
        <w:t xml:space="preserve">The system defines a set of valid scenarios 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0"/>
        </w:numPr>
      </w:pPr>
      <w:r>
        <w:rPr>
          <w:b/>
          <w:bCs/>
        </w:rPr>
        <w:t xml:space="preserve">Step 3 – Define Negative Scenarios.</w:t>
      </w:r>
    </w:p>
    <w:p>
      <w:pPr>
        <w:pStyle w:val="FirstParagraph"/>
      </w:pPr>
      <w:r>
        <w:t xml:space="preserve">The system defines a set of negative scenarios 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1"/>
        </w:numPr>
      </w:pPr>
      <w:r>
        <w:rPr>
          <w:b/>
          <w:bCs/>
        </w:rPr>
        <w:t xml:space="preserve">Step 4 – Define Adversarial Scenarios.</w:t>
      </w:r>
    </w:p>
    <w:p>
      <w:pPr>
        <w:pStyle w:val="FirstParagraph"/>
      </w:pPr>
      <w:r>
        <w:t xml:space="preserve">The system defines adversarial scenarios 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2"/>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∈S is associated with an expected authorisation outcome and the security properties that it is intended to evaluate.</w:t>
      </w:r>
    </w:p>
    <w:p>
      <w:pPr>
        <w:pStyle w:val="Compact"/>
        <w:numPr>
          <w:ilvl w:val="0"/>
          <w:numId w:val="1063"/>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4"/>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5"/>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6"/>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7"/>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8"/>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69"/>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0"/>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1"/>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2"/>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3"/>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4"/>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m:oMath>
        <m:r>
          <m:t>S</m:t>
        </m:r>
        <m:r>
          <m:rPr>
            <m:sty m:val="p"/>
          </m:rPr>
          <m:t>*</m:t>
        </m:r>
        <m:r>
          <m:t>v</m:t>
        </m:r>
        <m:r>
          <m:t>a</m:t>
        </m:r>
        <m:r>
          <m:t>l</m:t>
        </m:r>
        <m:r>
          <m:t>i</m:t>
        </m:r>
        <m:r>
          <m:t>d</m:t>
        </m:r>
      </m:oMath>
      <w:r>
        <w:br/>
      </w:r>
      <w:r>
        <w:t xml:space="preserve">3: Define negative scenarios</w:t>
      </w:r>
      <w:r>
        <w:t xml:space="preserve"> </w:t>
      </w:r>
      <m:oMath>
        <m:r>
          <m:t>S</m:t>
        </m:r>
        <m:r>
          <m:rPr>
            <m:sty m:val="p"/>
          </m:rPr>
          <m:t>*</m:t>
        </m:r>
        <m:r>
          <m:t>n</m:t>
        </m:r>
        <m:r>
          <m:t>e</m:t>
        </m:r>
        <m:r>
          <m:t>g</m:t>
        </m:r>
        <m:r>
          <m:t>a</m:t>
        </m:r>
        <m:r>
          <m:t>t</m:t>
        </m:r>
        <m:r>
          <m:t>i</m:t>
        </m:r>
        <m:r>
          <m:t>v</m:t>
        </m:r>
        <m:r>
          <m:t>e</m:t>
        </m:r>
      </m:oMath>
      <w:r>
        <w:br/>
      </w:r>
      <w:r>
        <w:t xml:space="preserve">4: Define adversarial scenarios</w:t>
      </w:r>
      <w:r>
        <w:t xml:space="preserve"> </w:t>
      </w:r>
      <m:oMath>
        <m:r>
          <m:t>S</m:t>
        </m:r>
        <m:r>
          <m:rPr>
            <m:sty m:val="p"/>
          </m:rPr>
          <m:t>*</m:t>
        </m:r>
        <m:r>
          <m:t>a</m:t>
        </m:r>
        <m:r>
          <m:t>d</m:t>
        </m:r>
        <m:r>
          <m:t>v</m:t>
        </m:r>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m:oMath>
        <m:r>
          <m:t>S</m:t>
        </m:r>
        <m:r>
          <m:rPr>
            <m:sty m:val="p"/>
          </m:rPr>
          <m:t>*</m:t>
        </m:r>
        <m:r>
          <m:t>v</m:t>
        </m:r>
        <m:r>
          <m:t>a</m:t>
        </m:r>
        <m:r>
          <m:t>l</m:t>
        </m:r>
        <m:r>
          <m:t>i</m:t>
        </m:r>
        <m:r>
          <m:t>d</m:t>
        </m:r>
        <m:r>
          <m:rPr>
            <m:sty m:val="p"/>
          </m:rPr>
          <m:t>∪</m:t>
        </m:r>
        <m:r>
          <m:t>S</m:t>
        </m:r>
        <m:r>
          <m:rPr>
            <m:sty m:val="p"/>
          </m:rPr>
          <m:t>*</m:t>
        </m:r>
        <m:r>
          <m:t>n</m:t>
        </m:r>
        <m:r>
          <m:t>e</m:t>
        </m:r>
        <m:r>
          <m:t>g</m:t>
        </m:r>
        <m:r>
          <m:t>a</m:t>
        </m:r>
        <m:r>
          <m:t>t</m:t>
        </m:r>
        <m:r>
          <m:t>i</m:t>
        </m:r>
        <m:r>
          <m:t>v</m:t>
        </m:r>
        <m:r>
          <m:t>e</m:t>
        </m:r>
        <m:r>
          <m:rPr>
            <m:sty m:val="p"/>
          </m:rPr>
          <m:t>∪</m:t>
        </m:r>
        <m:r>
          <m:t>S</m:t>
        </m:r>
        <m:r>
          <m:rPr>
            <m:sty m:val="p"/>
          </m:rPr>
          <m:t>*</m:t>
        </m:r>
        <m:r>
          <m:t>a</m:t>
        </m:r>
        <m:r>
          <m:t>d</m:t>
        </m:r>
        <m:r>
          <m:t>v</m:t>
        </m:r>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bookmarkEnd w:id="124"/>
    <w:bookmarkStart w:id="125" w:name="Xb697f75e4cb43d67a9074b27c380a0731d6d029"/>
    <w:p>
      <w:pPr>
        <w:pStyle w:val="Heading3"/>
      </w:pPr>
      <w:r>
        <w:t xml:space="preserve">6.6.3 Algorithm 6: Formal and Empirical Authorisation Validation</w:t>
      </w:r>
    </w:p>
    <w:p>
      <w:pPr>
        <w:pStyle w:val="FirstParagraph"/>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25"/>
    <w:bookmarkEnd w:id="126"/>
    <w:bookmarkStart w:id="127"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 1) Identity Trust Authority Trust, 2) Collective Authorisation, 3) Policy Compliance, 4)Temporal and Lifecycle Trust. For the current stage implementation, the operational decision is based on</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69</m:t>
          </m:r>
          <m:r>
            <m:rPr>
              <m:sty m:val="p"/>
            </m:rPr>
            <m:t>)</m:t>
          </m:r>
        </m:oMath>
      </m:oMathPara>
    </w:p>
    <w:p>
      <w:pPr>
        <w:pStyle w:val="FirstParagraph"/>
      </w:pPr>
      <w:r>
        <w:t xml:space="preserve">The CA3 extension incorporates temporal and lifecycle conditions that</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70</m:t>
          </m:r>
          <m:r>
            <m:rPr>
              <m:sty m:val="p"/>
            </m:rPr>
            <m:t>)</m:t>
          </m:r>
        </m:oMath>
      </m:oMathPara>
    </w:p>
    <w:p>
      <w:pPr>
        <w:pStyle w:val="FirstParagraph"/>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bookmarkEnd w:id="127"/>
    <w:bookmarkEnd w:id="128"/>
    <w:bookmarkStart w:id="135" w:name="current-progress-status"/>
    <w:p>
      <w:pPr>
        <w:pStyle w:val="Heading1"/>
      </w:pPr>
      <w:r>
        <w:t xml:space="preserve">7 Current Progress Status</w:t>
      </w:r>
    </w:p>
    <w:bookmarkStart w:id="129" w:name="X14610c74215ca842dde591adf203c91218a1a96"/>
    <w:p>
      <w:pPr>
        <w:pStyle w:val="Heading2"/>
      </w:pPr>
      <w:r>
        <w:t xml:space="preserve">7.1 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71</m:t>
          </m:r>
          <m:r>
            <m:rPr>
              <m:sty m:val="p"/>
            </m:rPr>
            <m:t>)</m:t>
          </m:r>
        </m:oMath>
      </m:oMathPara>
    </w:p>
    <w:p>
      <w:pPr>
        <w:pStyle w:val="FirstParagraph"/>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bookmarkEnd w:id="129"/>
    <w:bookmarkStart w:id="130" w:name="X559e9df15ebd031f98715062b5b54bf7a8f1d60"/>
    <w:p>
      <w:pPr>
        <w:pStyle w:val="Heading2"/>
      </w:pPr>
      <w:r>
        <w:t xml:space="preserve">7.2 Progress of RO2: Decentralised Identity and Authority</w:t>
      </w:r>
    </w:p>
    <w:p>
      <w:pPr>
        <w:pStyle w:val="FirstParagraph"/>
      </w:pPr>
      <w:r>
        <w:rPr>
          <w:b/>
          <w:bCs/>
        </w:rPr>
        <w:t xml:space="preserve">Status: Completed</w:t>
      </w:r>
    </w:p>
    <w:p>
      <w:pPr>
        <w:pStyle w:val="BodyText"/>
      </w:pPr>
      <w:r>
        <w:t xml:space="preserve">RO2 has been completed at the conceptual and prototype level. The proposed framework explicitly separates identity authentication from authorisation authority that</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72</m:t>
          </m:r>
          <m:r>
            <m:rPr>
              <m:sty m:val="p"/>
            </m:rPr>
            <m:t>)</m:t>
          </m:r>
        </m:oMath>
      </m:oMathPara>
    </w:p>
    <w:p>
      <w:pPr>
        <w:pStyle w:val="FirstParagraph"/>
      </w:pPr>
      <w:r>
        <w:t xml:space="preserve">A decentralised identifier is used to establish the identity of a participant, while verifiable credentials provide evidence concerning the participant’s role or authority. The identity verification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73</m:t>
          </m:r>
          <m:r>
            <m:rPr>
              <m:sty m:val="p"/>
            </m:rPr>
            <m:t>)</m:t>
          </m:r>
        </m:oMath>
      </m:oMathPara>
    </w:p>
    <w:p>
      <w:pPr>
        <w:pStyle w:val="FirstParagraph"/>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bookmarkEnd w:id="130"/>
    <w:bookmarkStart w:id="131" w:name="Xf706e6be99deea6c1433defe6c0978157a655ed"/>
    <w:p>
      <w:pPr>
        <w:pStyle w:val="Heading2"/>
      </w:pPr>
      <w:r>
        <w:t xml:space="preserve">7.3 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 The authorisation condition is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74</m:t>
          </m:r>
          <m:r>
            <m:rPr>
              <m:sty m:val="p"/>
            </m:rPr>
            <m:t>)</m:t>
          </m:r>
        </m:oMath>
      </m:oMathPara>
    </w:p>
    <w:p>
      <w:pPr>
        <w:pStyle w:val="FirstParagraph"/>
      </w:pPr>
      <w:r>
        <w:t xml:space="preserve">If the threshold is not satisfied,</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75</m:t>
          </m:r>
          <m:r>
            <m:rPr>
              <m:sty m:val="p"/>
            </m:rPr>
            <m:t>)</m:t>
          </m:r>
        </m:oMath>
      </m:oMathPara>
    </w:p>
    <w:p>
      <w:pPr>
        <w:pStyle w:val="FirstParagraph"/>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BodyText"/>
      </w:pPr>
      <w:r>
        <w:t xml:space="preserve">For example, where two approvals are required,</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C</m:t>
          </m:r>
          <m:r>
            <m:rPr>
              <m:sty m:val="p"/>
            </m:rPr>
            <m:t>)</m:t>
          </m:r>
          <m:r>
            <m:rPr>
              <m:sty m:val="p"/>
            </m:rPr>
            <m:t>=</m:t>
          </m:r>
          <m:r>
            <m:t>1</m:t>
          </m:r>
          <m:r>
            <m:rPr>
              <m:sty m:val="p"/>
            </m:rPr>
            <m:t>,</m:t>
          </m:r>
          <m:r>
            <m:t>  </m:t>
          </m:r>
          <m:r>
            <m:t>  </m:t>
          </m:r>
          <m:r>
            <m:rPr>
              <m:sty m:val="p"/>
            </m:rPr>
            <m:t>(</m:t>
          </m:r>
          <m:r>
            <m:t>76</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C</m:t>
          </m:r>
          <m:r>
            <m:rPr>
              <m:sty m:val="p"/>
            </m:rPr>
            <m:t>)</m:t>
          </m:r>
          <m:r>
            <m:rPr>
              <m:sty m:val="p"/>
            </m:rPr>
            <m:t>=</m:t>
          </m:r>
          <m:r>
            <m:t>0</m:t>
          </m:r>
          <m:r>
            <m:rPr>
              <m:sty m:val="p"/>
            </m:rPr>
            <m:t>.</m:t>
          </m:r>
          <m:r>
            <m:t>  </m:t>
          </m:r>
          <m:r>
            <m:t>  </m:t>
          </m:r>
          <m:r>
            <m:rPr>
              <m:sty m:val="p"/>
            </m:rPr>
            <m:t>(</m:t>
          </m:r>
          <m:r>
            <m:t>77</m:t>
          </m:r>
          <m:r>
            <m:rPr>
              <m:sty m:val="p"/>
            </m:rPr>
            <m:t>)</m:t>
          </m:r>
        </m:oMath>
      </m:oMathPara>
    </w:p>
    <w:p>
      <w:pPr>
        <w:pStyle w:val="FirstParagraph"/>
      </w:pPr>
      <w:r>
        <w:t xml:space="preserve">This provides preliminary evidence that the proposed framework can enforce collective rather than unilateral authorisation.</w:t>
      </w:r>
    </w:p>
    <w:bookmarkEnd w:id="131"/>
    <w:bookmarkStart w:id="132" w:name="X8600b2f76ef27bbd75c7c71838aa9377b2ebdb3"/>
    <w:p>
      <w:pPr>
        <w:pStyle w:val="Heading2"/>
      </w:pPr>
      <w:r>
        <w:t xml:space="preserve">7.4 Progress of RO4: Policy-Aware Access Control</w:t>
      </w:r>
    </w:p>
    <w:p>
      <w:pPr>
        <w:pStyle w:val="FirstParagraph"/>
      </w:pPr>
      <w:r>
        <w:rPr>
          <w:b/>
          <w:bCs/>
        </w:rPr>
        <w:t xml:space="preserve">Status: In Progress</w:t>
      </w:r>
    </w:p>
    <w:p>
      <w:pPr>
        <w:pStyle w:val="BodyText"/>
      </w:pPr>
      <w: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78</m:t>
          </m:r>
          <m:r>
            <m:rPr>
              <m:sty m:val="p"/>
            </m:rPr>
            <m:t>)</m:t>
          </m:r>
        </m:oMath>
      </m:oMathPara>
    </w:p>
    <w:p>
      <w:pPr>
        <w:pStyle w:val="FirstParagraph"/>
      </w:pPr>
      <w:r>
        <w:t xml:space="preserve">For example, if</w:t>
      </w:r>
      <w:r>
        <w:t xml:space="preserve"> </w:t>
      </w:r>
      <w:r>
        <w:rPr>
          <w:i/>
          <w:iCs/>
        </w:rPr>
        <w:t xml:space="preserve">S</w:t>
      </w:r>
      <w:r>
        <w:rPr>
          <w:vertAlign w:val="subscript"/>
        </w:rPr>
        <w:t xml:space="preserve">C</w:t>
      </w:r>
      <w:r>
        <w:t xml:space="preserve"> </w:t>
      </w:r>
      <w:r>
        <w:t xml:space="preserve">= {</w:t>
      </w:r>
      <w:r>
        <w:rPr>
          <w:i/>
          <w:iCs/>
        </w:rPr>
        <w:t xml:space="preserve">Observation, Medication</w:t>
      </w:r>
      <w:r>
        <w:t xml:space="preserve">}, and the requester asks for</w:t>
      </w:r>
      <w:r>
        <w:t xml:space="preserve"> </w:t>
      </w:r>
      <w:r>
        <w:rPr>
          <w:i/>
          <w:iCs/>
        </w:rPr>
        <w:t xml:space="preserve">S</w:t>
      </w:r>
      <w:r>
        <w:rPr>
          <w:vertAlign w:val="subscript"/>
        </w:rPr>
        <w:t xml:space="preserve">R</w:t>
      </w:r>
      <w:r>
        <w:t xml:space="preserve"> </w:t>
      </w:r>
      <w:r>
        <w:t xml:space="preserve">= {</w:t>
      </w:r>
      <w:r>
        <w:rPr>
          <w:i/>
          <w:iCs/>
        </w:rPr>
        <w:t xml:space="preserve">Observation, Medic</w:t>
      </w:r>
      <w:r>
        <w:t xml:space="preserve"> </w:t>
      </w:r>
      <w:r>
        <w:t xml:space="preserve">the request should be rejected because</w:t>
      </w:r>
      <w:r>
        <w:t xml:space="preserve"> </w:t>
      </w:r>
      <w:r>
        <w:rPr>
          <w:i/>
          <w:iCs/>
        </w:rPr>
        <w:t xml:space="preserve">S</w:t>
      </w:r>
      <w:r>
        <w:rPr>
          <w:vertAlign w:val="subscript"/>
        </w:rPr>
        <w:t xml:space="preserve">R</w:t>
      </w:r>
      <w:r>
        <w:t xml:space="preserve"> </w:t>
      </w:r>
      <w:r>
        <w:t xml:space="preserve">⊈</w:t>
      </w:r>
      <w:r>
        <w:t xml:space="preserve"> </w:t>
      </w:r>
      <w:r>
        <w:rPr>
          <w:i/>
          <w:iCs/>
        </w:rPr>
        <w:t xml:space="preserve">S</w:t>
      </w:r>
      <w:r>
        <w:rPr>
          <w:vertAlign w:val="subscript"/>
        </w:rPr>
        <w:t xml:space="preserve">C</w:t>
      </w:r>
      <w:r>
        <w:t xml:space="preserve">. The expected outcome is a policy-aware access-control mechanism capable of evaluating purpose and data-scope constraints before an access decision is issued. This objective will provide the final foundational component of the current stage trust-oriented authorisation model.</w:t>
      </w:r>
    </w:p>
    <w:bookmarkEnd w:id="132"/>
    <w:bookmarkStart w:id="133" w:name="X8e6146f09fe285d619620b5d8a35865b7344e11"/>
    <w:p>
      <w:pPr>
        <w:pStyle w:val="Heading2"/>
      </w:pPr>
      <w:r>
        <w:t xml:space="preserve">7.5 Progress of RO5: Temporal and Lifecycle Trust</w:t>
      </w:r>
    </w:p>
    <w:p>
      <w:pPr>
        <w:pStyle w:val="FirstParagraph"/>
      </w:pPr>
      <w:r>
        <w:rPr>
          <w:b/>
          <w:bCs/>
        </w:rPr>
        <w:t xml:space="preserve">Status: In Progress</w:t>
      </w:r>
    </w:p>
    <w:p>
      <w:pPr>
        <w:pStyle w:val="BodyText"/>
      </w:pPr>
      <w:r>
        <w:t xml:space="preserve">RO5 is reserved primarily for next stage. The objective is to introduce temporal and lifecycle trust so that consent is not considered permanently valid after creation or approval. A future consent validity interval will be represented as [</w:t>
      </w:r>
      <w:r>
        <w:rPr>
          <w:i/>
          <w:iCs/>
        </w:rPr>
        <w:t xml:space="preserve">t</w:t>
      </w:r>
      <w:r>
        <w:rPr>
          <w:vertAlign w:val="subscript"/>
        </w:rPr>
        <w:t xml:space="preserve">s</w:t>
      </w:r>
      <w:r>
        <w:rPr>
          <w:i/>
          <w:iCs/>
        </w:rPr>
        <w:t xml:space="preserve">, t</w:t>
      </w:r>
      <w:r>
        <w:rPr>
          <w:vertAlign w:val="subscript"/>
        </w:rPr>
        <w:t xml:space="preserve">e</w:t>
      </w:r>
      <w:r>
        <w:t xml:space="preserve">], with temporal validity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79</m:t>
          </m:r>
          <m:r>
            <m:rPr>
              <m:sty m:val="p"/>
            </m:rPr>
            <m:t>)</m:t>
          </m:r>
        </m:oMath>
      </m:oMathPara>
    </w:p>
    <w:p>
      <w:pPr>
        <w:pStyle w:val="FirstParagraph"/>
      </w:pPr>
      <w:r>
        <w:t xml:space="preserve">The consent lifecycle will also be extended to represent controlled transitions such as</w:t>
      </w:r>
    </w:p>
    <w:p>
      <w:pPr>
        <w:pStyle w:val="BodyText"/>
      </w:pPr>
      <w:r>
        <w:rPr>
          <w:i/>
          <w:iCs/>
        </w:rPr>
        <w:t xml:space="preserve">Specification</w:t>
      </w:r>
      <w:r>
        <w:t xml:space="preserve"> </w:t>
      </w:r>
      <w:r>
        <w:t xml:space="preserve">→</w:t>
      </w:r>
      <w:r>
        <w:t xml:space="preserve"> </w:t>
      </w:r>
      <w:r>
        <w:rPr>
          <w:i/>
          <w:iCs/>
        </w:rPr>
        <w:t xml:space="preserve">Verification</w:t>
      </w:r>
      <w:r>
        <w:t xml:space="preserve"> </w:t>
      </w:r>
      <w:r>
        <w:t xml:space="preserve">→</w:t>
      </w:r>
      <w:r>
        <w:t xml:space="preserve"> </w:t>
      </w:r>
      <w:r>
        <w:rPr>
          <w:i/>
          <w:iCs/>
        </w:rPr>
        <w:t xml:space="preserve">Approval</w:t>
      </w:r>
      <w:r>
        <w:t xml:space="preserve"> </w:t>
      </w:r>
      <w:r>
        <w:t xml:space="preserve">→</w:t>
      </w:r>
      <w:r>
        <w:t xml:space="preserve"> </w:t>
      </w:r>
      <w:r>
        <w:rPr>
          <w:i/>
          <w:iCs/>
        </w:rPr>
        <w:t xml:space="preserve">Active</w:t>
      </w:r>
      <w:r>
        <w:t xml:space="preserve"> </w:t>
      </w:r>
      <w:r>
        <w:t xml:space="preserve">→</w:t>
      </w:r>
      <w:r>
        <w:t xml:space="preserve"> </w:t>
      </w:r>
      <w:r>
        <w:rPr>
          <w:i/>
          <w:iCs/>
        </w:rPr>
        <w:t xml:space="preserve">Expiration/Revocation.</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next stage.</w:t>
      </w:r>
    </w:p>
    <w:bookmarkEnd w:id="133"/>
    <w:bookmarkStart w:id="134" w:name="Xd9cfcdd9e757a6720ff3496d27d05dcd5fd4592"/>
    <w:p>
      <w:pPr>
        <w:pStyle w:val="Heading2"/>
      </w:pPr>
      <w:r>
        <w:t xml:space="preserve">7.6 Progress of RO6: Security Assurance and Validation</w:t>
      </w:r>
    </w:p>
    <w:p>
      <w:pPr>
        <w:pStyle w:val="FirstParagraph"/>
      </w:pPr>
      <w:r>
        <w:rPr>
          <w:b/>
          <w:bCs/>
        </w:rPr>
        <w:t xml:space="preserve">Status: Partially Completed (RQ1-RQ3)</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t xml:space="preserve">The current validation focuses primarily on RQ1, RQ2, and RQ3. Representative scenarios include valid identity verification, invalid identity or credential submission, insufficient multi-party approval, and successful completion of the required approval threshold. The central decision model can be formulated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80</m:t>
          </m:r>
          <m:r>
            <m:rPr>
              <m:sty m:val="p"/>
            </m:rPr>
            <m:t>)</m:t>
          </m:r>
        </m:oMath>
      </m:oMathPara>
    </w:p>
    <w:p>
      <w:pPr>
        <w:pStyle w:val="FirstParagraph"/>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bookmarkEnd w:id="134"/>
    <w:bookmarkEnd w:id="135"/>
    <w:bookmarkStart w:id="136" w:name="publications-summary"/>
    <w:p>
      <w:pPr>
        <w:pStyle w:val="Heading1"/>
      </w:pPr>
      <w:r>
        <w:t xml:space="preserve">8 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TableCaption"/>
      </w:pPr>
      <w:r>
        <w:t xml:space="preserve">Table 7: Summary of Research Outputs and Publication Plan</w:t>
      </w:r>
    </w:p>
    <w:tbl>
      <w:tblPr>
        <w:tblStyle w:val="Table"/>
        <w:tblW w:type="pct" w:w="5000"/>
        <w:tblLayout w:type="fixed"/>
        <w:tblLook w:firstRow="1" w:lastRow="0" w:firstColumn="0" w:lastColumn="0" w:noHBand="0" w:noVBand="0" w:val="0020"/>
        <w:tblCaption w:val="Table 7: Summary of Research Outputs and Publication Plan"/>
      </w:tblPr>
      <w:tblGrid>
        <w:gridCol w:w="2554"/>
        <w:gridCol w:w="1532"/>
        <w:gridCol w:w="1277"/>
        <w:gridCol w:w="25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t xml:space="preserve">Elsevier/IEEE</w:t>
            </w:r>
          </w:p>
        </w:tc>
        <w:tc>
          <w:tcPr/>
          <w:p>
            <w:pPr>
              <w:pStyle w:val="Compact"/>
              <w:jc w:val="left"/>
            </w:pPr>
            <w:r>
              <w:t xml:space="preserve">Almost Ready</w:t>
            </w:r>
          </w:p>
        </w:tc>
        <w:tc>
          <w:tcPr/>
          <w:p>
            <w:pPr>
              <w:pStyle w:val="Compact"/>
              <w:jc w:val="left"/>
            </w:pPr>
            <w:r>
              <w:t xml:space="preserve">Core architectural contribution; addresses RQ1-RQ4 (Chapters 3-4).</w:t>
            </w:r>
          </w:p>
        </w:tc>
      </w:tr>
      <w:tr>
        <w:trPr>
          <w:cantSplit/>
        </w:trPr>
        <w:tc>
          <w:tcPr/>
          <w:p>
            <w:pPr>
              <w:pStyle w:val="Compact"/>
              <w:jc w:val="left"/>
            </w:pPr>
            <w:r>
              <w:rPr>
                <w:b/>
                <w:bCs/>
              </w:rPr>
              <w:t xml:space="preserve">HALAH Prototype &amp; Validation</w:t>
            </w:r>
            <w:r>
              <w:t xml:space="preserve"> </w:t>
            </w:r>
            <w:r>
              <w:rPr>
                <w:i/>
                <w:iCs/>
              </w:rPr>
              <w:t xml:space="preserve">Decentralised implementation and performance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t xml:space="preserve">Specialized Workshop / Journal</w:t>
            </w:r>
          </w:p>
        </w:tc>
        <w:tc>
          <w:tcPr/>
          <w:p>
            <w:pPr>
              <w:pStyle w:val="Compact"/>
              <w:jc w:val="left"/>
            </w:pPr>
            <w:r>
              <w:t xml:space="preserve">Planned</w:t>
            </w:r>
          </w:p>
        </w:tc>
        <w:tc>
          <w:tcPr/>
          <w:p>
            <w:pPr>
              <w:pStyle w:val="Compact"/>
              <w:jc w:val="left"/>
            </w:pPr>
            <w:r>
              <w:t xml:space="preserve">Next stage research extension; addresses formal security assurance (Chapter 6).</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36"/>
    <w:bookmarkStart w:id="139" w:name="research-plan"/>
    <w:p>
      <w:pPr>
        <w:pStyle w:val="Heading1"/>
      </w:pPr>
      <w:r>
        <w:t xml:space="preserve">9 Research Plan</w:t>
      </w:r>
    </w:p>
    <w:p>
      <w:pPr>
        <w:pStyle w:val="FirstParagraph"/>
      </w:pPr>
      <w:r>
        <w:t xml:space="preserve">The research plan is divided into two major stages corresponding to current and next stage.</w:t>
      </w:r>
    </w:p>
    <w:bookmarkStart w:id="137" w:name="current-stage-completed-and-current-work"/>
    <w:p>
      <w:pPr>
        <w:pStyle w:val="Heading2"/>
      </w:pPr>
      <w:r>
        <w:t xml:space="preserve">9.1 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BodyText"/>
      </w:pPr>
      <w:r>
        <w:t xml:space="preserve">The progression is RO1, RO2, RO3 and then RO4, in which RO1, RO2, and RO3 have been implemented and initially validated through the HALAH prototype. RO4 represents the current transition towards policy-aware access control.</w:t>
      </w:r>
    </w:p>
    <w:bookmarkEnd w:id="137"/>
    <w:bookmarkStart w:id="138" w:name="next-stage-planned-work"/>
    <w:p>
      <w:pPr>
        <w:pStyle w:val="Heading2"/>
      </w:pPr>
      <w:r>
        <w:t xml:space="preserve">9.2 Next Stage: Planned Work</w:t>
      </w:r>
    </w:p>
    <w:p>
      <w:pPr>
        <w:pStyle w:val="FirstParagraph"/>
      </w:pPr>
      <w: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BodyText"/>
      </w:pPr>
      <w:r>
        <w:t xml:space="preserve">The first major focus of next stageis 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 policy enforcement.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pStyle w:val="BodyText"/>
      </w:pPr>
      <w: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t xml:space="preserve">Table 8: Next Stage Research Activities, Methodological Focus, and Expected Outcomes</w:t>
      </w:r>
    </w:p>
    <w:tbl>
      <w:tblPr>
        <w:tblStyle w:val="Table"/>
        <w:tblW w:type="pct" w:w="5000"/>
        <w:tblLayout w:type="fixed"/>
        <w:tblLook w:firstRow="1" w:lastRow="0" w:firstColumn="0" w:lastColumn="0" w:noHBand="0" w:noVBand="0" w:val="0020"/>
        <w:tblCaption w:val="Table 8: Next Stage Research Activities, Methodological Focus, and Expected Outcomes"/>
      </w:tblPr>
      <w:tblGrid>
        <w:gridCol w:w="1760"/>
        <w:gridCol w:w="352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current stage and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81</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t xml:space="preserve">Consequently, next stagewill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38"/>
    <w:bookmarkEnd w:id="139"/>
    <w:bookmarkStart w:id="140"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2022.</w:t>
      </w:r>
    </w:p>
    <w:p>
      <w:pPr>
        <w:pStyle w:val="BodyText"/>
      </w:pPr>
      <w:r>
        <w:t xml:space="preserve">[4]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p>
    <w:p>
      <w:pPr>
        <w:pStyle w:val="BodyText"/>
      </w:pPr>
      <w:r>
        <w:t xml:space="preserve">[6] Abdul Ghafoor,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[8] Remy Hellstern, Daniel C Park, Victoria Lemieux, and Guldana Salimjan. Leveraging blockchain-based archival solutions for sensitive documentation: A xinjiang case study.</w:t>
      </w:r>
      <w:r>
        <w:t xml:space="preserve"> </w:t>
      </w:r>
      <w:r>
        <w:rPr>
          <w:i/>
          <w:iCs/>
        </w:rPr>
        <w:t xml:space="preserve">Digital Society</w:t>
      </w:r>
      <w:r>
        <w:t xml:space="preserve">, 1(1):4, 2022.</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[11]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w:t>
      </w:r>
      <w:r>
        <w:t xml:space="preserve"> </w:t>
      </w:r>
      <w:r>
        <w:rPr>
          <w:i/>
          <w:iCs/>
        </w:rPr>
        <w:t xml:space="preserve">Sensors</w:t>
      </w:r>
      <w:r>
        <w:t xml:space="preserve">, 26(14):4577, 2026.</w:t>
      </w:r>
    </w:p>
    <w:p>
      <w:pPr>
        <w:pStyle w:val="BodyText"/>
      </w:pPr>
      <w:r>
        <w:t xml:space="preserve">[18] Lanlan Li, Charles Z Liu, and Sanjeeb Shrestha. Analytical entropy approach for mea-suring blockchain immutability and tamper-resilient trust.</w:t>
      </w:r>
      <w:r>
        <w:t xml:space="preserve"> </w:t>
      </w:r>
      <w:r>
        <w:rPr>
          <w:i/>
          <w:iCs/>
        </w:rPr>
        <w:t xml:space="preserve">Entropy</w:t>
      </w:r>
      <w:r>
        <w:t xml:space="preserve">, 28(6):690, 2026.</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2025.</w:t>
      </w:r>
    </w:p>
    <w:p>
      <w:pPr>
        <w:pStyle w:val="BodyText"/>
      </w:pPr>
      <w:r>
        <w:t xml:space="preserve">[21] Andrei McCall. Privacy-preserving interoperability in healthcare data ecosystems: balancing data sharing with individual autonomy.</w:t>
      </w:r>
      <w:r>
        <w:t xml:space="preserve"> </w:t>
      </w:r>
      <w:r>
        <w:rPr>
          <w:i/>
          <w:iCs/>
        </w:rPr>
        <w:t xml:space="preserve">IEEE J. Biomed. Health Inform</w:t>
      </w:r>
      <w:r>
        <w:t xml:space="preserve">, 28(3):1234–1245, 2024.</w:t>
      </w:r>
    </w:p>
    <w:p>
      <w:pPr>
        <w:pStyle w:val="BodyText"/>
      </w:pPr>
      <w:r>
        <w:t xml:space="preserve">[22]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BodyText"/>
      </w:pPr>
      <w:r>
        <w:t xml:space="preserve">[30] Mohammad Nawab Turan, Irshad Ahmed Hashimzai, and Mohammad Qaseem Qiam. A blockchain-based framework for secure and transparent environmental data sharing in smart cities: Enhancing trust, integrity, and interoperability in urban sustainability systems.</w:t>
      </w:r>
      <w:r>
        <w:t xml:space="preserve"> </w:t>
      </w:r>
      <w:r>
        <w:rPr>
          <w:i/>
          <w:iCs/>
        </w:rPr>
        <w:t xml:space="preserve">Nata Palemahan: Journal of Environmental Engineering Innovations</w:t>
      </w:r>
      <w:r>
        <w:t xml:space="preserve">, 2(2):70–79, 2025.</w:t>
      </w:r>
    </w:p>
    <w:p>
      <w:pPr>
        <w:pStyle w:val="BodyText"/>
      </w:pPr>
      <w:r>
        <w:t xml:space="preserve">[31] Emily C Webber, David Brick, James P Scibilia, Peter Dehnel, Council on Clinical Information Technology, et al. Electronic communication of the health record and information with pediatric patients and their guardians. 2022.</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[33]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bookmarkEnd w:id="140"/>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115" Target="media/rId115.png" /><Relationship Type="http://schemas.openxmlformats.org/officeDocument/2006/relationships/image" Id="rId121" Target="media/rId1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2026-09-29T05:26:38Z</dcterms:created>
  <dcterms:modified xsi:type="dcterms:W3CDTF">2026-09-29T05:26:38Z</dcterms:modified>
</cp:coreProperties>
</file>

<file path=docProps/custom.xml><?xml version="1.0" encoding="utf-8"?>
<Properties xmlns="http://schemas.openxmlformats.org/officeDocument/2006/custom-properties" xmlns:vt="http://schemas.openxmlformats.org/officeDocument/2006/docPropsVTypes"/>
</file>