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Authorization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pPr>
        <w:spacing w:before="400"/>
        <w:jc w:val="center"/>
      </w:pPr>
      <w:r>
        <w:rPr>
          <w:rFonts w:ascii="Cambria" w:cs="Cambria" w:eastAsia="Cambria" w:hAnsi="Cambria"/>
          <w:i/>
          <w:iCs/>
          <w:color w:val="C00000"/>
          <w:sz w:val="20"/>
          <w:szCs w:val="20"/>
        </w:rPr>
        <w:t xml:space="preserve">Final aligned copy: the corrections aligning this report with the implemented HALAH v1.2 system (companion document: HALAH Implementation v1.3) have been applied in place. New and revised wording appears in red, reference corrections in green; recolour to black after review.</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9</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2.2 Systematic Literature Review Methodology</w:t>
      </w:r>
      <w:r>
        <w:rPr>
          <w:rFonts w:ascii="Cambria" w:cs="Cambria" w:eastAsia="Cambria" w:hAnsi="Cambria"/>
          <w:sz w:val="22"/>
          <w:szCs w:val="22"/>
        </w:rPr>
        <w:t xml:space="preserve">	13</w:t>
      </w:r>
    </w:p>
    <w:p>
      <w:pPr>
        <w:tabs>
          <w:tab w:val="right" w:pos="9360" w:leader="dot"/>
        </w:tabs>
        <w:spacing w:after="60"/>
        <w:ind w:left="720"/>
      </w:pPr>
      <w:r>
        <w:rPr>
          <w:rFonts w:ascii="Cambria" w:cs="Cambria" w:eastAsia="Cambria" w:hAnsi="Cambria"/>
          <w:b w:val="false"/>
          <w:bCs w:val="false"/>
          <w:sz w:val="20"/>
          <w:szCs w:val="20"/>
        </w:rPr>
        <w:t xml:space="preserve">2.2.1 Review Design and Reporting Framework</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2.2.2 Questions for Review</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2.2.3 Search Databases and Search Strategy</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Search Period and Search Execution</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Eligibility Criteria</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Screening and Study Selection</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2.2.7 Data Extraction and Synthesis</w:t>
      </w:r>
      <w:r>
        <w:rPr>
          <w:rFonts w:ascii="Cambria" w:cs="Cambria" w:eastAsia="Cambria" w:hAnsi="Cambria"/>
          <w:sz w:val="20"/>
          <w:szCs w:val="20"/>
        </w:rPr>
        <w:t xml:space="preserve">	19</w:t>
      </w:r>
    </w:p>
    <w:p>
      <w:pPr>
        <w:tabs>
          <w:tab w:val="right" w:pos="9360" w:leader="dot"/>
        </w:tabs>
        <w:spacing w:after="60"/>
        <w:ind w:left="360"/>
      </w:pPr>
      <w:r>
        <w:rPr>
          <w:rFonts w:ascii="Cambria" w:cs="Cambria" w:eastAsia="Cambria" w:hAnsi="Cambria"/>
          <w:b w:val="false"/>
          <w:bCs w:val="false"/>
          <w:sz w:val="22"/>
          <w:szCs w:val="22"/>
        </w:rPr>
        <w:t xml:space="preserve">2.3 Review</w:t>
      </w:r>
      <w:r>
        <w:rPr>
          <w:rFonts w:ascii="Cambria" w:cs="Cambria" w:eastAsia="Cambria" w:hAnsi="Cambria"/>
          <w:sz w:val="22"/>
          <w:szCs w:val="22"/>
        </w:rPr>
        <w:t xml:space="preserve">	20</w:t>
      </w:r>
    </w:p>
    <w:p>
      <w:pPr>
        <w:tabs>
          <w:tab w:val="right" w:pos="9360" w:leader="dot"/>
        </w:tabs>
        <w:spacing w:after="60"/>
        <w:ind w:left="720"/>
      </w:pPr>
      <w:r>
        <w:rPr>
          <w:rFonts w:ascii="Cambria" w:cs="Cambria" w:eastAsia="Cambria" w:hAnsi="Cambria"/>
          <w:b w:val="false"/>
          <w:bCs w:val="false"/>
          <w:sz w:val="20"/>
          <w:szCs w:val="20"/>
        </w:rPr>
        <w:t xml:space="preserve">2.3.1 Healthcare Consent and Decentralised Data Governance</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2.3.2 Blockchain-Based Consent and Data Governance</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2.3.3 Decentralised Identity and Verifiable Credentials</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2.3.4 Multi-Party Authorisation and Collaborative Consent</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2.3.5 Policy-Based and Context-Aware Access Control</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2.3.6 Trusted Computing, Secure Execution, and Security Assurance</w:t>
      </w:r>
      <w:r>
        <w:rPr>
          <w:rFonts w:ascii="Cambria" w:cs="Cambria" w:eastAsia="Cambria" w:hAnsi="Cambria"/>
          <w:sz w:val="20"/>
          <w:szCs w:val="20"/>
        </w:rPr>
        <w:t xml:space="preserve">	25</w:t>
      </w:r>
    </w:p>
    <w:p>
      <w:pPr>
        <w:tabs>
          <w:tab w:val="right" w:pos="9360" w:leader="dot"/>
        </w:tabs>
        <w:spacing w:after="60"/>
        <w:ind w:left="720"/>
      </w:pPr>
      <w:r>
        <w:rPr>
          <w:rFonts w:ascii="Cambria" w:cs="Cambria" w:eastAsia="Cambria" w:hAnsi="Cambria"/>
          <w:b w:val="false"/>
          <w:bCs w:val="false"/>
          <w:sz w:val="20"/>
          <w:szCs w:val="20"/>
        </w:rPr>
        <w:t xml:space="preserve">2.3.7 Comparative Analysis of Existing Approaches</w:t>
      </w:r>
      <w:r>
        <w:rPr>
          <w:rFonts w:ascii="Cambria" w:cs="Cambria" w:eastAsia="Cambria" w:hAnsi="Cambria"/>
          <w:sz w:val="20"/>
          <w:szCs w:val="20"/>
        </w:rPr>
        <w:t xml:space="preserve">	26</w:t>
      </w:r>
    </w:p>
    <w:p>
      <w:pPr>
        <w:tabs>
          <w:tab w:val="right" w:pos="9360" w:leader="dot"/>
        </w:tabs>
        <w:spacing w:after="60"/>
        <w:ind w:left="360"/>
      </w:pPr>
      <w:r>
        <w:rPr>
          <w:rFonts w:ascii="Cambria" w:cs="Cambria" w:eastAsia="Cambria" w:hAnsi="Cambria"/>
          <w:b w:val="false"/>
          <w:bCs w:val="false"/>
          <w:sz w:val="22"/>
          <w:szCs w:val="22"/>
        </w:rPr>
        <w:t xml:space="preserve">2.4 Synthesis and Research Gap</w:t>
      </w:r>
      <w:r>
        <w:rPr>
          <w:rFonts w:ascii="Cambria" w:cs="Cambria" w:eastAsia="Cambria" w:hAnsi="Cambria"/>
          <w:sz w:val="22"/>
          <w:szCs w:val="22"/>
        </w:rPr>
        <w:t xml:space="preserve">	28</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31</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31</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32</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33</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33</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36</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38</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43</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44</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47</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47</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49</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51</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53</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Authorization Workflow</w:t>
      </w:r>
      <w:r>
        <w:rPr>
          <w:rFonts w:ascii="Cambria" w:cs="Cambria" w:eastAsia="Cambria" w:hAnsi="Cambria"/>
          <w:sz w:val="22"/>
          <w:szCs w:val="22"/>
        </w:rPr>
        <w:t xml:space="preserve">	54</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57</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63</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63</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66</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66</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66</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68</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70</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70</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71</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71</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74</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75</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75</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76</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79</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80</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6.4.2 Procedure for Temporal and Lifecycle Validation</w:t>
      </w:r>
      <w:r>
        <w:rPr>
          <w:rFonts w:ascii="Cambria" w:cs="Cambria" w:eastAsia="Cambria" w:hAnsi="Cambria"/>
          <w:sz w:val="20"/>
          <w:szCs w:val="20"/>
        </w:rPr>
        <w:t xml:space="preserve">	82</w:t>
      </w:r>
    </w:p>
    <w:p>
      <w:pPr>
        <w:tabs>
          <w:tab w:val="right" w:pos="9360" w:leader="dot"/>
        </w:tabs>
        <w:spacing w:after="60"/>
        <w:ind w:left="720"/>
      </w:pPr>
      <w:r>
        <w:rPr>
          <w:rFonts w:ascii="Cambria" w:cs="Cambria" w:eastAsia="Cambria" w:hAnsi="Cambria"/>
          <w:b w:val="false"/>
          <w:bCs w:val="false"/>
          <w:sz w:val="20"/>
          <w:szCs w:val="20"/>
        </w:rPr>
        <w:t xml:space="preserve">6.4.3 Algorithm 4: Policy-Aware Access Decision</w:t>
      </w:r>
      <w:r>
        <w:rPr>
          <w:rFonts w:ascii="Cambria" w:cs="Cambria" w:eastAsia="Cambria" w:hAnsi="Cambria"/>
          <w:sz w:val="20"/>
          <w:szCs w:val="20"/>
        </w:rPr>
        <w:t xml:space="preserve">	85</w:t>
      </w:r>
    </w:p>
    <w:p>
      <w:pPr>
        <w:tabs>
          <w:tab w:val="right" w:pos="9360" w:leader="dot"/>
        </w:tabs>
        <w:spacing w:after="60"/>
        <w:ind w:left="720"/>
      </w:pPr>
      <w:r>
        <w:rPr>
          <w:rFonts w:ascii="Cambria" w:cs="Cambria" w:eastAsia="Cambria" w:hAnsi="Cambria"/>
          <w:b w:val="false"/>
          <w:bCs w:val="false"/>
          <w:sz w:val="20"/>
          <w:szCs w:val="20"/>
        </w:rPr>
        <w:t xml:space="preserve">6.4.4 Procedure for Policy-Aware Access Decision</w:t>
      </w:r>
      <w:r>
        <w:rPr>
          <w:rFonts w:ascii="Cambria" w:cs="Cambria" w:eastAsia="Cambria" w:hAnsi="Cambria"/>
          <w:sz w:val="20"/>
          <w:szCs w:val="20"/>
        </w:rPr>
        <w:t xml:space="preserve">	86</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89</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6.5.2 Algorithm 5: Temporal and Lifecycle Validation</w:t>
      </w:r>
      <w:r>
        <w:rPr>
          <w:rFonts w:ascii="Cambria" w:cs="Cambria" w:eastAsia="Cambria" w:hAnsi="Cambria"/>
          <w:sz w:val="20"/>
          <w:szCs w:val="20"/>
        </w:rPr>
        <w:t xml:space="preserve">	90</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91</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92</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92</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97</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98</w:t>
      </w:r>
    </w:p>
    <w:p>
      <w:pPr>
        <w:tabs>
          <w:tab w:val="right" w:pos="9360" w:leader="dot"/>
        </w:tabs>
        <w:spacing w:after="60"/>
        <w:ind w:left="360"/>
      </w:pPr>
      <w:r>
        <w:rPr>
          <w:rFonts w:ascii="Cambria" w:cs="Cambria" w:eastAsia="Cambria" w:hAnsi="Cambria"/>
          <w:b w:val="false"/>
          <w:bCs w:val="false"/>
          <w:color w:val="C00000"/>
          <w:sz w:val="22"/>
          <w:szCs w:val="22"/>
        </w:rPr>
        <w:t xml:space="preserve">6.8 Implementation and Live Demonstration of the Proposed Solution</w:t>
      </w:r>
      <w:r>
        <w:rPr>
          <w:rFonts w:ascii="Cambria" w:cs="Cambria" w:eastAsia="Cambria" w:hAnsi="Cambria"/>
          <w:color w:val="C00000"/>
          <w:sz w:val="22"/>
          <w:szCs w:val="22"/>
        </w:rPr>
        <w:t xml:space="preserve">	100</w:t>
      </w:r>
    </w:p>
    <w:p>
      <w:pPr>
        <w:tabs>
          <w:tab w:val="right" w:pos="9360" w:leader="dot"/>
        </w:tabs>
        <w:spacing w:after="60"/>
        <w:ind w:left="720"/>
      </w:pPr>
      <w:r>
        <w:rPr>
          <w:rFonts w:ascii="Cambria" w:cs="Cambria" w:eastAsia="Cambria" w:hAnsi="Cambria"/>
          <w:b w:val="false"/>
          <w:bCs w:val="false"/>
          <w:color w:val="C00000"/>
          <w:sz w:val="20"/>
          <w:szCs w:val="20"/>
        </w:rPr>
        <w:t xml:space="preserve">6.8.1 The HALAH System</w:t>
      </w:r>
      <w:r>
        <w:rPr>
          <w:rFonts w:ascii="Cambria" w:cs="Cambria" w:eastAsia="Cambria" w:hAnsi="Cambria"/>
          <w:color w:val="C00000"/>
          <w:sz w:val="20"/>
          <w:szCs w:val="20"/>
        </w:rPr>
        <w:t xml:space="preserve">	100</w:t>
      </w:r>
    </w:p>
    <w:p>
      <w:pPr>
        <w:tabs>
          <w:tab w:val="right" w:pos="9360" w:leader="dot"/>
        </w:tabs>
        <w:spacing w:after="60"/>
        <w:ind w:left="720"/>
      </w:pPr>
      <w:r>
        <w:rPr>
          <w:rFonts w:ascii="Cambria" w:cs="Cambria" w:eastAsia="Cambria" w:hAnsi="Cambria"/>
          <w:b w:val="false"/>
          <w:bCs w:val="false"/>
          <w:color w:val="C00000"/>
          <w:sz w:val="20"/>
          <w:szCs w:val="20"/>
        </w:rPr>
        <w:t xml:space="preserve">6.8.2 Create Smart Consent Contract: Patient Subsystem</w:t>
      </w:r>
      <w:r>
        <w:rPr>
          <w:rFonts w:ascii="Cambria" w:cs="Cambria" w:eastAsia="Cambria" w:hAnsi="Cambria"/>
          <w:color w:val="C00000"/>
          <w:sz w:val="20"/>
          <w:szCs w:val="20"/>
        </w:rPr>
        <w:t xml:space="preserve">	104</w:t>
      </w:r>
    </w:p>
    <w:p>
      <w:pPr>
        <w:tabs>
          <w:tab w:val="right" w:pos="9360" w:leader="dot"/>
        </w:tabs>
        <w:spacing w:after="60"/>
        <w:ind w:left="720"/>
      </w:pPr>
      <w:r>
        <w:rPr>
          <w:rFonts w:ascii="Cambria" w:cs="Cambria" w:eastAsia="Cambria" w:hAnsi="Cambria"/>
          <w:b w:val="false"/>
          <w:bCs w:val="false"/>
          <w:color w:val="C00000"/>
          <w:sz w:val="20"/>
          <w:szCs w:val="20"/>
        </w:rPr>
        <w:t xml:space="preserve">6.8.3 Guardian Cryptographic Approval</w:t>
      </w:r>
      <w:r>
        <w:rPr>
          <w:rFonts w:ascii="Cambria" w:cs="Cambria" w:eastAsia="Cambria" w:hAnsi="Cambria"/>
          <w:color w:val="C00000"/>
          <w:sz w:val="20"/>
          <w:szCs w:val="20"/>
        </w:rPr>
        <w:t xml:space="preserve">	106</w:t>
      </w:r>
    </w:p>
    <w:p>
      <w:pPr>
        <w:tabs>
          <w:tab w:val="right" w:pos="9360" w:leader="dot"/>
        </w:tabs>
        <w:spacing w:after="60"/>
        <w:ind w:left="720"/>
      </w:pPr>
      <w:r>
        <w:rPr>
          <w:rFonts w:ascii="Cambria" w:cs="Cambria" w:eastAsia="Cambria" w:hAnsi="Cambria"/>
          <w:b w:val="false"/>
          <w:bCs w:val="false"/>
          <w:color w:val="C00000"/>
          <w:sz w:val="20"/>
          <w:szCs w:val="20"/>
        </w:rPr>
        <w:t xml:space="preserve">6.8.4 Secure Patient Data Access for the Doctor</w:t>
      </w:r>
      <w:r>
        <w:rPr>
          <w:rFonts w:ascii="Cambria" w:cs="Cambria" w:eastAsia="Cambria" w:hAnsi="Cambria"/>
          <w:color w:val="C00000"/>
          <w:sz w:val="20"/>
          <w:szCs w:val="20"/>
        </w:rPr>
        <w:t xml:space="preserve">	110</w:t>
      </w:r>
    </w:p>
    <w:p>
      <w:pPr>
        <w:tabs>
          <w:tab w:val="right" w:pos="9360" w:leader="dot"/>
        </w:tabs>
        <w:spacing w:after="60"/>
        <w:ind w:left="720"/>
      </w:pPr>
      <w:r>
        <w:rPr>
          <w:rFonts w:ascii="Cambria" w:cs="Cambria" w:eastAsia="Cambria" w:hAnsi="Cambria"/>
          <w:b w:val="false"/>
          <w:bCs w:val="false"/>
          <w:color w:val="C00000"/>
          <w:sz w:val="20"/>
          <w:szCs w:val="20"/>
        </w:rPr>
        <w:t xml:space="preserve">6.8.5 Negative Demonstration: Jurisdiction Violation</w:t>
      </w:r>
      <w:r>
        <w:rPr>
          <w:rFonts w:ascii="Cambria" w:cs="Cambria" w:eastAsia="Cambria" w:hAnsi="Cambria"/>
          <w:color w:val="C00000"/>
          <w:sz w:val="20"/>
          <w:szCs w:val="20"/>
        </w:rPr>
        <w:t xml:space="preserve">	114</w:t>
      </w:r>
    </w:p>
    <w:p>
      <w:pPr>
        <w:tabs>
          <w:tab w:val="right" w:pos="9360" w:leader="dot"/>
        </w:tabs>
        <w:spacing w:after="60"/>
        <w:ind w:left="720"/>
      </w:pPr>
      <w:r>
        <w:rPr>
          <w:rFonts w:ascii="Cambria" w:cs="Cambria" w:eastAsia="Cambria" w:hAnsi="Cambria"/>
          <w:b w:val="false"/>
          <w:bCs w:val="false"/>
          <w:color w:val="C00000"/>
          <w:sz w:val="20"/>
          <w:szCs w:val="20"/>
        </w:rPr>
        <w:t xml:space="preserve">6.8.6 Consent Revocation</w:t>
      </w:r>
      <w:r>
        <w:rPr>
          <w:rFonts w:ascii="Cambria" w:cs="Cambria" w:eastAsia="Cambria" w:hAnsi="Cambria"/>
          <w:color w:val="C00000"/>
          <w:sz w:val="20"/>
          <w:szCs w:val="20"/>
        </w:rPr>
        <w:t xml:space="preserve">	116</w:t>
      </w:r>
    </w:p>
    <w:p>
      <w:pPr>
        <w:tabs>
          <w:tab w:val="right" w:pos="9360" w:leader="dot"/>
        </w:tabs>
        <w:spacing w:after="60"/>
        <w:ind w:left="720"/>
      </w:pPr>
      <w:r>
        <w:rPr>
          <w:rFonts w:ascii="Cambria" w:cs="Cambria" w:eastAsia="Cambria" w:hAnsi="Cambria"/>
          <w:b w:val="false"/>
          <w:bCs w:val="false"/>
          <w:color w:val="C00000"/>
          <w:sz w:val="20"/>
          <w:szCs w:val="20"/>
        </w:rPr>
        <w:t xml:space="preserve">6.8.7 Blockchain Audit and Consent Lifecycle for the Auditor</w:t>
      </w:r>
      <w:r>
        <w:rPr>
          <w:rFonts w:ascii="Cambria" w:cs="Cambria" w:eastAsia="Cambria" w:hAnsi="Cambria"/>
          <w:color w:val="C00000"/>
          <w:sz w:val="20"/>
          <w:szCs w:val="20"/>
        </w:rPr>
        <w:t xml:space="preserve">	119</w:t>
      </w:r>
    </w:p>
    <w:p>
      <w:pPr>
        <w:tabs>
          <w:tab w:val="right" w:pos="9360" w:leader="dot"/>
        </w:tabs>
        <w:spacing w:after="60"/>
        <w:ind w:left="720"/>
      </w:pPr>
      <w:r>
        <w:rPr>
          <w:rFonts w:ascii="Cambria" w:cs="Cambria" w:eastAsia="Cambria" w:hAnsi="Cambria"/>
          <w:b w:val="false"/>
          <w:bCs w:val="false"/>
          <w:color w:val="C00000"/>
          <w:sz w:val="20"/>
          <w:szCs w:val="20"/>
        </w:rPr>
        <w:t xml:space="preserve">6.8.8 Detailed Audit Records</w:t>
      </w:r>
      <w:r>
        <w:rPr>
          <w:rFonts w:ascii="Cambria" w:cs="Cambria" w:eastAsia="Cambria" w:hAnsi="Cambria"/>
          <w:color w:val="C00000"/>
          <w:sz w:val="20"/>
          <w:szCs w:val="20"/>
        </w:rPr>
        <w:t xml:space="preserve">	122</w:t>
      </w:r>
    </w:p>
    <w:p>
      <w:pPr>
        <w:tabs>
          <w:tab w:val="right" w:pos="9360" w:leader="dot"/>
        </w:tabs>
        <w:spacing w:after="60"/>
        <w:ind w:left="720"/>
      </w:pPr>
      <w:r>
        <w:rPr>
          <w:rFonts w:ascii="Cambria" w:cs="Cambria" w:eastAsia="Cambria" w:hAnsi="Cambria"/>
          <w:b w:val="false"/>
          <w:bCs w:val="false"/>
          <w:color w:val="C00000"/>
          <w:sz w:val="20"/>
          <w:szCs w:val="20"/>
        </w:rPr>
        <w:t xml:space="preserve">6.8.9 Complete Audit Ledger and Independent Verification</w:t>
      </w:r>
      <w:r>
        <w:rPr>
          <w:rFonts w:ascii="Cambria" w:cs="Cambria" w:eastAsia="Cambria" w:hAnsi="Cambria"/>
          <w:color w:val="C00000"/>
          <w:sz w:val="20"/>
          <w:szCs w:val="20"/>
        </w:rPr>
        <w:t xml:space="preserve">	122</w:t>
      </w:r>
    </w:p>
    <w:p>
      <w:pPr>
        <w:tabs>
          <w:tab w:val="right" w:pos="9360" w:leader="dot"/>
        </w:tabs>
        <w:spacing w:after="60"/>
        <w:ind w:left="720"/>
      </w:pPr>
      <w:r>
        <w:rPr>
          <w:rFonts w:ascii="Cambria" w:cs="Cambria" w:eastAsia="Cambria" w:hAnsi="Cambria"/>
          <w:b w:val="false"/>
          <w:bCs w:val="false"/>
          <w:color w:val="C00000"/>
          <w:sz w:val="20"/>
          <w:szCs w:val="20"/>
        </w:rPr>
        <w:t xml:space="preserve">6.8.10 Correspondence Between the Subsystems and the Framework</w:t>
      </w:r>
      <w:r>
        <w:rPr>
          <w:rFonts w:ascii="Cambria" w:cs="Cambria" w:eastAsia="Cambria" w:hAnsi="Cambria"/>
          <w:color w:val="C00000"/>
          <w:sz w:val="20"/>
          <w:szCs w:val="20"/>
        </w:rPr>
        <w:t xml:space="preserve">	123</w:t>
      </w:r>
    </w:p>
    <w:p>
      <w:pPr>
        <w:tabs>
          <w:tab w:val="right" w:pos="9360" w:leader="dot"/>
        </w:tabs>
        <w:spacing w:after="60"/>
        <w:ind w:left="720"/>
      </w:pPr>
      <w:r>
        <w:rPr>
          <w:rFonts w:ascii="Cambria" w:cs="Cambria" w:eastAsia="Cambria" w:hAnsi="Cambria"/>
          <w:b w:val="false"/>
          <w:bCs w:val="false"/>
          <w:color w:val="C00000"/>
          <w:sz w:val="20"/>
          <w:szCs w:val="20"/>
        </w:rPr>
        <w:t xml:space="preserve">6.8.11 Overall System Demonstration</w:t>
      </w:r>
      <w:r>
        <w:rPr>
          <w:rFonts w:ascii="Cambria" w:cs="Cambria" w:eastAsia="Cambria" w:hAnsi="Cambria"/>
          <w:color w:val="C00000"/>
          <w:sz w:val="20"/>
          <w:szCs w:val="20"/>
        </w:rPr>
        <w:t xml:space="preserve">	123</w:t>
      </w:r>
    </w:p>
    <w:p>
      <w:pPr>
        <w:tabs>
          <w:tab w:val="right" w:pos="9360" w:leader="dot"/>
        </w:tabs>
        <w:spacing w:after="60"/>
        <w:ind w:left="720"/>
      </w:pPr>
      <w:r>
        <w:rPr>
          <w:rFonts w:ascii="Cambria" w:cs="Cambria" w:eastAsia="Cambria" w:hAnsi="Cambria"/>
          <w:b w:val="false"/>
          <w:bCs w:val="false"/>
          <w:color w:val="C00000"/>
          <w:sz w:val="20"/>
          <w:szCs w:val="20"/>
        </w:rPr>
        <w:t xml:space="preserve">6.8.12 Verification Links</w:t>
      </w:r>
      <w:r>
        <w:rPr>
          <w:rFonts w:ascii="Cambria" w:cs="Cambria" w:eastAsia="Cambria" w:hAnsi="Cambria"/>
          <w:color w:val="C00000"/>
          <w:sz w:val="20"/>
          <w:szCs w:val="20"/>
        </w:rPr>
        <w:t xml:space="preserve">	124</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126</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126</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126</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127</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127</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128</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130</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131</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131</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131</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136</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w:t>
      </w:r>
      <w:r>
        <w:rPr>
          <w:rFonts w:ascii="Cambria" w:cs="Cambria" w:eastAsia="Cambria" w:hAnsi="Cambria"/>
          <w:b/>
          <w:bCs/>
          <w:color w:val="007A00"/>
          <w:sz w:val="24"/>
          <w:szCs w:val="24"/>
        </w:rPr>
        <w:t xml:space="preserve">[31, 14]</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color w:val="C00000"/>
          <w:sz w:val="24"/>
          <w:szCs w:val="24"/>
        </w:rPr>
        <w:t xml:space="preserve">The framework has been extended to incorporate temporal validity and lifecycle trust.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C00000"/>
          <w:sz w:val="24"/>
          <w:szCs w:val="24"/>
        </w:rPr>
        <w:t xml:space="preserve">Adversarial and negative testing has been undertaken using the HALAH prototype, encompassing per-dimension denial scenarios, signature-rejection tests, and zero-knowledge tamper and expiry tests, together with a live negative evaluation on the Sepolia network. Consequently, formal security analysis remains the subject of the next research stage.</w:t>
      </w:r>
    </w:p>
    <w:p>
      <w:pPr>
        <w:spacing w:after="140" w:line="300"/>
        <w:jc w:val="both"/>
      </w:pPr>
      <w:r>
        <w:rPr>
          <w:rFonts w:ascii="Cambria" w:cs="Cambria" w:eastAsia="Cambria" w:hAnsi="Cambria"/>
          <w:color w:val="C00000"/>
          <w:sz w:val="24"/>
          <w:szCs w:val="24"/>
        </w:rPr>
        <w:t xml:space="preserve">The next stage will investigate formal security assurance, whereas empirical validation has now been undertaken on the implemented prototype.</w:t>
      </w:r>
    </w:p>
    <w:p>
      <w:pPr>
        <w:spacing w:after="140" w:line="300"/>
        <w:jc w:val="both"/>
      </w:pPr>
      <w:r>
        <w:rPr>
          <w:rFonts w:ascii="Cambria" w:cs="Cambria" w:eastAsia="Cambria" w:hAnsi="Cambria"/>
          <w:color w:val="C00000"/>
          <w:sz w:val="24"/>
          <w:szCs w:val="24"/>
        </w:rPr>
        <w:t xml:space="preserve">The implemented prototype now maintains authorisation trust dynamically over time and has been validated through prototype-based experimentation. Consequently, the next stage will build upon these foundations by reasoning formally about the authorisation model under defined security assumptions.</w:t>
      </w:r>
    </w:p>
    <w:p>
      <w:pPr>
        <w:spacing w:after="140" w:line="300"/>
        <w:jc w:val="both"/>
      </w:pPr>
      <w:r>
        <w:rPr>
          <w:rFonts w:ascii="Cambria" w:cs="Cambria" w:eastAsia="Cambria" w:hAnsi="Cambria"/>
          <w:color w:val="C00000"/>
          <w:sz w:val="24"/>
          <w:szCs w:val="24"/>
        </w:rPr>
        <w:t xml:space="preserve">The research has since extended this foundation towards dynamic trust management, and stronger formal security assurance remains the focus of the subsequent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A consent that was valid when initially approved may subsequently become invalid due to expiration, revocation, or a change in its authorised lifecycle state.</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The distinction between the current contribution and the subsequent research is summarised in Table 1.</w:t>
      </w:r>
    </w:p>
    <w:p>
      <w:pPr>
        <w:spacing w:after="140" w:line="300"/>
        <w:jc w:val="both"/>
      </w:pPr>
      <w:r>
        <w:rPr>
          <w:rFonts w:ascii="Cambria" w:cs="Cambria" w:eastAsia="Cambria" w:hAnsi="Cambria"/>
          <w:color w:val="C00000"/>
          <w:sz w:val="24"/>
          <w:szCs w:val="24"/>
        </w:rPr>
        <w:t xml:space="preserve">Table 1 summarises the research dimensions, distinguishing those realised in the implemented HALAH prototype from the formal security assurance that remains for the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C00000"/>
          <w:sz w:val="24"/>
          <w:szCs w:val="24"/>
        </w:rPr>
        <w:t xml:space="preserve">The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sz w:val="21"/>
          <w:szCs w:val="21"/>
        </w:rPr>
        <w:t xml:space="preserve">Table 1: </w:t>
      </w:r>
      <w:r>
        <w:rPr>
          <w:rFonts w:ascii="Cambria" w:cs="Cambria" w:eastAsia="Cambria" w:hAnsi="Cambria"/>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C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2"/>
        <w:spacing w:after="160" w:before="280"/>
      </w:pPr>
      <w:r>
        <w:t xml:space="preserve">2.2  Systematic Literature Review Methodology</w:t>
      </w:r>
    </w:p>
    <w:p>
      <w:pPr>
        <w:spacing w:after="140" w:line="300"/>
        <w:jc w:val="both"/>
      </w:pPr>
      <w:r>
        <w:rPr>
          <w:rFonts w:ascii="Cambria" w:cs="Cambria" w:eastAsia="Cambria" w:hAnsi="Cambria"/>
          <w:b/>
          <w:bCs/>
          <w:color w:val="007A00"/>
          <w:sz w:val="24"/>
          <w:szCs w:val="24"/>
        </w:rPr>
        <w:t xml:space="preserve">The review corpus comprises the 33 studies identified through the search and screening process described in the remainder of this section. </w:t>
      </w:r>
      <w:r>
        <w:rPr>
          <w:rFonts w:ascii="Cambria" w:cs="Cambria" w:eastAsia="Cambria" w:hAnsi="Cambria"/>
          <w:b/>
          <w:bCs/>
          <w:color w:val="C00000"/>
          <w:sz w:val="24"/>
          <w:szCs w:val="24"/>
        </w:rPr>
        <w:t xml:space="preserve">Thirty-two of the 33 included studies were published between 2022 and 2026; one earlier foundational study [31] was retained under the eligibility provision for necessary foundational contributions. The corpus concentrates</w:t>
      </w:r>
      <w:r>
        <w:rPr>
          <w:rFonts w:ascii="Cambria" w:cs="Cambria" w:eastAsia="Cambria" w:hAnsi="Cambria"/>
          <w:b/>
          <w:bCs/>
          <w:color w:val="007A00"/>
          <w:sz w:val="24"/>
          <w:szCs w:val="24"/>
        </w:rPr>
        <w:t xml:space="preserve"> on blockchain-based data governance, decentralised identity, verifiable credentials, healthcare access control, and consent management.</w:t>
      </w:r>
    </w:p>
    <w:p>
      <w:pPr>
        <w:spacing w:after="140" w:line="300"/>
        <w:jc w:val="both"/>
      </w:pPr>
      <w:r>
        <w:rPr>
          <w:rFonts w:ascii="Cambria" w:cs="Cambria" w:eastAsia="Cambria" w:hAnsi="Cambria"/>
          <w:b/>
          <w:bCs/>
          <w:color w:val="007A00"/>
          <w:sz w:val="24"/>
          <w:szCs w:val="24"/>
        </w:rPr>
        <w:t xml:space="preserve">Within this corpus, references </w:t>
      </w:r>
      <w:r>
        <w:rPr>
          <w:rFonts w:ascii="Cambria" w:cs="Cambria" w:eastAsia="Cambria" w:hAnsi="Cambria"/>
          <w:b/>
          <w:bCs/>
          <w:color w:val="C00000"/>
          <w:sz w:val="24"/>
          <w:szCs w:val="24"/>
        </w:rPr>
        <w:t xml:space="preserve">[1, 2, 3, 7, 9, 10, 11, 12, 13, 14, 21, 22, 24, 25, 28, 31, 32]</w:t>
      </w:r>
      <w:r>
        <w:rPr>
          <w:rFonts w:ascii="Cambria" w:cs="Cambria" w:eastAsia="Cambria" w:hAnsi="Cambria"/>
          <w:b/>
          <w:bCs/>
          <w:color w:val="007A00"/>
          <w:sz w:val="24"/>
          <w:szCs w:val="24"/>
        </w:rPr>
        <w:t xml:space="preserve"> address the healthcare data sharing, consent, and access-control dimensions of the review, while references </w:t>
      </w:r>
      <w:r>
        <w:rPr>
          <w:rFonts w:ascii="Cambria" w:cs="Cambria" w:eastAsia="Cambria" w:hAnsi="Cambria"/>
          <w:b/>
          <w:bCs/>
          <w:color w:val="C00000"/>
          <w:sz w:val="24"/>
          <w:szCs w:val="24"/>
        </w:rPr>
        <w:t xml:space="preserve">[4, 5, 15, 16, 20, 27, 33]</w:t>
      </w:r>
      <w:r>
        <w:rPr>
          <w:rFonts w:ascii="Cambria" w:cs="Cambria" w:eastAsia="Cambria" w:hAnsi="Cambria"/>
          <w:b/>
          <w:bCs/>
          <w:color w:val="007A00"/>
          <w:sz w:val="24"/>
          <w:szCs w:val="24"/>
        </w:rPr>
        <w:t xml:space="preserve"> address the decentralised identifier, verifiable credential, and trust-architecture dimensions; the remaining studies contribute to multi-party governance and security assurance.</w:t>
      </w:r>
    </w:p>
    <w:p>
      <w:pPr>
        <w:pStyle w:val="Heading3"/>
        <w:spacing w:after="160" w:before="280"/>
      </w:pPr>
      <w:r>
        <w:t xml:space="preserve">2.2.1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w:t>
      </w:r>
      <w:r>
        <w:rPr>
          <w:rFonts w:ascii="Cambria" w:cs="Cambria" w:eastAsia="Cambria" w:hAnsi="Cambria"/>
          <w:color w:val="C00000"/>
          <w:sz w:val="24"/>
          <w:szCs w:val="24"/>
        </w:rPr>
        <w:t xml:space="preserve">decentralised</w:t>
      </w:r>
      <w:r>
        <w:rPr>
          <w:rFonts w:ascii="Cambria" w:cs="Cambria" w:eastAsia="Cambria" w:hAnsi="Cambria"/>
          <w:sz w:val="24"/>
          <w:szCs w:val="24"/>
        </w:rPr>
        <w:t xml:space="preserve"> identity, privacy-preserving access control, and auditability. The review was designed to establish the conceptual and technical foundations of the research and thus </w:t>
      </w:r>
      <w:r>
        <w:rPr>
          <w:rFonts w:ascii="Cambria" w:cs="Cambria" w:eastAsia="Cambria" w:hAnsi="Cambria"/>
          <w:color w:val="C00000"/>
          <w:sz w:val="24"/>
          <w:szCs w:val="24"/>
        </w:rPr>
        <w:t xml:space="preserve">of the</w:t>
      </w:r>
      <w:r>
        <w:rPr>
          <w:rFonts w:ascii="Cambria" w:cs="Cambria" w:eastAsia="Cambria" w:hAnsi="Cambria"/>
          <w:sz w:val="24"/>
          <w:szCs w:val="24"/>
        </w:rPr>
        <w:t xml:space="preserv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w:t>
      </w:r>
      <w:r>
        <w:rPr>
          <w:rFonts w:ascii="Cambria" w:cs="Cambria" w:eastAsia="Cambria" w:hAnsi="Cambria"/>
          <w:color w:val="C00000"/>
          <w:sz w:val="24"/>
          <w:szCs w:val="24"/>
        </w:rPr>
        <w:t xml:space="preserve">authorisation</w:t>
      </w:r>
      <w:r>
        <w:rPr>
          <w:rFonts w:ascii="Cambria" w:cs="Cambria" w:eastAsia="Cambria" w:hAnsi="Cambria"/>
          <w:sz w:val="24"/>
          <w:szCs w:val="24"/>
        </w:rPr>
        <w:t xml:space="preserve">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w:t>
      </w:r>
      <w:r>
        <w:rPr>
          <w:rFonts w:ascii="Cambria" w:cs="Cambria" w:eastAsia="Cambria" w:hAnsi="Cambria"/>
          <w:color w:val="C00000"/>
          <w:sz w:val="24"/>
          <w:szCs w:val="24"/>
        </w:rPr>
        <w:t xml:space="preserve">[34]</w:t>
      </w:r>
      <w:r>
        <w:rPr>
          <w:rFonts w:ascii="Cambria" w:cs="Cambria" w:eastAsia="Cambria" w:hAnsi="Cambria"/>
          <w:sz w:val="24"/>
          <w:szCs w:val="24"/>
        </w:rPr>
        <w:t xml:space="preserve">.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2.2.2  Questions for Review</w:t>
      </w:r>
    </w:p>
    <w:p>
      <w:pPr>
        <w:spacing w:after="140" w:line="300"/>
        <w:jc w:val="both"/>
      </w:pPr>
      <w:r>
        <w:rPr>
          <w:rFonts w:ascii="Cambria" w:cs="Cambria" w:eastAsia="Cambria" w:hAnsi="Cambria"/>
          <w:sz w:val="24"/>
          <w:szCs w:val="24"/>
        </w:rPr>
        <w:t xml:space="preserve">This systematic literature review is guided by the following questions</w:t>
      </w:r>
      <w:r>
        <w:rPr>
          <w:rFonts w:ascii="Cambria" w:cs="Cambria" w:eastAsia="Cambria" w:hAnsi="Cambria"/>
          <w:color w:val="C00000"/>
          <w:sz w:val="24"/>
          <w:szCs w:val="24"/>
        </w:rPr>
        <w:t xml:space="preserve">:</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w:t>
      </w:r>
      <w:r>
        <w:rPr>
          <w:rFonts w:ascii="Cambria" w:cs="Cambria" w:eastAsia="Cambria" w:hAnsi="Cambria"/>
          <w:color w:val="C00000"/>
          <w:sz w:val="24"/>
          <w:szCs w:val="24"/>
        </w:rPr>
        <w:t xml:space="preserve">decentralised</w:t>
      </w:r>
      <w:r>
        <w:rPr>
          <w:rFonts w:ascii="Cambria" w:cs="Cambria" w:eastAsia="Cambria" w:hAnsi="Cambria"/>
          <w:sz w:val="24"/>
          <w:szCs w:val="24"/>
        </w:rPr>
        <w:t xml:space="preserve">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color w:val="C00000"/>
          <w:sz w:val="24"/>
          <w:szCs w:val="24"/>
        </w:rPr>
        <w:t xml:space="preserve">6. How do existing systems manage the temporal validity and lifecycle of consent, including expiration, revocation, and state transitions, after consent has been granted?</w:t>
      </w:r>
    </w:p>
    <w:p>
      <w:pPr>
        <w:spacing w:after="140" w:line="300"/>
        <w:jc w:val="both"/>
      </w:pPr>
      <w:r>
        <w:rPr>
          <w:rFonts w:ascii="Cambria" w:cs="Cambria" w:eastAsia="Cambria" w:hAnsi="Cambria"/>
          <w:color w:val="C00000"/>
          <w:sz w:val="24"/>
          <w:szCs w:val="24"/>
        </w:rPr>
        <w:t xml:space="preserve">7. How are the security properties of existing consent and access-control systems evaluated, and to what extent is formal security analysis employed alongside empirical prototyping?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2.2.3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w:t>
      </w:r>
      <w:r>
        <w:rPr>
          <w:rFonts w:ascii="Cambria" w:cs="Cambria" w:eastAsia="Cambria" w:hAnsi="Cambria"/>
          <w:color w:val="C00000"/>
          <w:sz w:val="24"/>
          <w:szCs w:val="24"/>
        </w:rPr>
        <w:t xml:space="preserve">: 1) IEEE Xplore, 2) ACM Digital Library, 3) ScienceDirect, 4) SpringerLink, 5) PubMed, 6) Scopus, and 7) Web of Science</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w:t>
      </w:r>
      <w:r>
        <w:rPr>
          <w:rFonts w:ascii="Cambria" w:cs="Cambria" w:eastAsia="Cambria" w:hAnsi="Cambria"/>
          <w:color w:val="C00000"/>
          <w:sz w:val="24"/>
          <w:szCs w:val="24"/>
        </w:rPr>
        <w:t xml:space="preserve">decentralised</w:t>
      </w:r>
      <w:r>
        <w:rPr>
          <w:rFonts w:ascii="Cambria" w:cs="Cambria" w:eastAsia="Cambria" w:hAnsi="Cambria"/>
          <w:sz w:val="24"/>
          <w:szCs w:val="24"/>
        </w:rPr>
        <w:t xml:space="preserve">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w:t>
      </w:r>
      <w:r>
        <w:rPr>
          <w:rFonts w:ascii="Cambria" w:cs="Cambria" w:eastAsia="Cambria" w:hAnsi="Cambria"/>
          <w:color w:val="C00000"/>
          <w:sz w:val="24"/>
          <w:szCs w:val="24"/>
        </w:rPr>
        <w:t xml:space="preserve">blockchain and distributed-ledger technology,</w:t>
      </w:r>
      <w:r>
        <w:rPr>
          <w:rFonts w:ascii="Cambria" w:cs="Cambria" w:eastAsia="Cambria" w:hAnsi="Cambria"/>
          <w:sz w:val="24"/>
          <w:szCs w:val="24"/>
        </w:rPr>
        <w:t xml:space="preserve"> healthcare data, patient consent, </w:t>
      </w:r>
      <w:r>
        <w:rPr>
          <w:rFonts w:ascii="Cambria" w:cs="Cambria" w:eastAsia="Cambria" w:hAnsi="Cambria"/>
          <w:color w:val="C00000"/>
          <w:sz w:val="24"/>
          <w:szCs w:val="24"/>
        </w:rPr>
        <w:t xml:space="preserve">decentralised</w:t>
      </w:r>
      <w:r>
        <w:rPr>
          <w:rFonts w:ascii="Cambria" w:cs="Cambria" w:eastAsia="Cambria" w:hAnsi="Cambria"/>
          <w:sz w:val="24"/>
          <w:szCs w:val="24"/>
        </w:rPr>
        <w:t xml:space="preserve"> identity, access control, privacy, and auditability. The general search string was defined as shown in Figure 1.</w:t>
      </w:r>
    </w:p>
    <w:p>
      <w:pPr>
        <w:spacing w:after="140" w:line="300"/>
        <w:jc w:val="both"/>
      </w:pPr>
      <w:r>
        <w:rPr>
          <w:rFonts w:ascii="Cambria" w:cs="Cambria" w:eastAsia="Cambria" w:hAnsi="Cambria"/>
          <w:b/>
          <w:bCs/>
          <w:color w:val="007A00"/>
          <w:sz w:val="24"/>
          <w:szCs w:val="24"/>
        </w:rPr>
        <w:t xml:space="preserve">The supporting-requirements block of the search string additionally captured trusted-execution terminology (trusted computing, trusted execution environment, attestation), which yielded the secure-execution studies reviewed in Section 2.3.6.</w:t>
      </w:r>
    </w:p>
    <w:p>
      <w:pPr>
        <w:keepNext/>
        <w:spacing w:after="60" w:before="140"/>
        <w:jc w:val="center"/>
      </w:pPr>
      <w:r>
        <w:drawing>
          <wp:inline distT="0" distB="0" distL="0" distR="0">
            <wp:extent cx="5715000" cy="3638550"/>
            <wp:effectExtent t="0" r="0" b="0" l="0"/>
            <wp:docPr id="1" name="gfig1.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38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pStyle w:val="Heading3"/>
        <w:spacing w:after="160" w:before="280"/>
      </w:pPr>
      <w:r>
        <w:t xml:space="preserve">2.2.4  Search Period and Search Execution</w:t>
      </w:r>
    </w:p>
    <w:p>
      <w:pPr>
        <w:spacing w:after="140" w:line="300"/>
        <w:jc w:val="both"/>
      </w:pPr>
      <w:r>
        <w:rPr>
          <w:rFonts w:ascii="Cambria" w:cs="Cambria" w:eastAsia="Cambria" w:hAnsi="Cambria"/>
          <w:sz w:val="24"/>
          <w:szCs w:val="24"/>
        </w:rPr>
        <w:t xml:space="preserve">The search was restricted to studies published between </w:t>
      </w:r>
      <w:r>
        <w:rPr>
          <w:rFonts w:ascii="Cambria" w:cs="Cambria" w:eastAsia="Cambria" w:hAnsi="Cambria"/>
          <w:color w:val="C00000"/>
          <w:sz w:val="24"/>
          <w:szCs w:val="24"/>
        </w:rPr>
        <w:t xml:space="preserve">January 2022 and the search date, and was performed in August 2026</w:t>
      </w:r>
      <w:r>
        <w:rPr>
          <w:rFonts w:ascii="Cambria" w:cs="Cambria" w:eastAsia="Cambria" w:hAnsi="Cambria"/>
          <w:sz w:val="24"/>
          <w:szCs w:val="24"/>
        </w:rPr>
        <w:t xml:space="preserve">. The search period was selected to capture the rapid development of multi-party trust healthcare data management, </w:t>
      </w:r>
      <w:r>
        <w:rPr>
          <w:rFonts w:ascii="Cambria" w:cs="Cambria" w:eastAsia="Cambria" w:hAnsi="Cambria"/>
          <w:color w:val="C00000"/>
          <w:sz w:val="24"/>
          <w:szCs w:val="24"/>
        </w:rPr>
        <w:t xml:space="preserve">decentralised</w:t>
      </w:r>
      <w:r>
        <w:rPr>
          <w:rFonts w:ascii="Cambria" w:cs="Cambria" w:eastAsia="Cambria" w:hAnsi="Cambria"/>
          <w:sz w:val="24"/>
          <w:szCs w:val="24"/>
        </w:rPr>
        <w:t xml:space="preserve">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2.2.5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r>
        <w:rPr>
          <w:rFonts w:ascii="Cambria" w:cs="Cambria" w:eastAsia="Cambria" w:hAnsi="Cambria"/>
          <w:color w:val="C00000"/>
          <w:sz w:val="24"/>
          <w:szCs w:val="24"/>
        </w:rPr>
        <w:t xml:space="preserve">:</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w:t>
      </w:r>
      <w:r>
        <w:rPr>
          <w:rFonts w:ascii="Cambria" w:cs="Cambria" w:eastAsia="Cambria" w:hAnsi="Cambria"/>
          <w:color w:val="C00000"/>
          <w:sz w:val="24"/>
          <w:szCs w:val="24"/>
        </w:rPr>
        <w:t xml:space="preserve">decentralised</w:t>
      </w:r>
      <w:r>
        <w:rPr>
          <w:rFonts w:ascii="Cambria" w:cs="Cambria" w:eastAsia="Cambria" w:hAnsi="Cambria"/>
          <w:sz w:val="24"/>
          <w:szCs w:val="24"/>
        </w:rPr>
        <w:t xml:space="preserve">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r>
        <w:rPr>
          <w:rFonts w:ascii="Cambria" w:cs="Cambria" w:eastAsia="Cambria" w:hAnsi="Cambria"/>
          <w:color w:val="C00000"/>
          <w:sz w:val="24"/>
          <w:szCs w:val="24"/>
        </w:rPr>
        <w:t xml:space="preserve">:</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spacing w:after="140" w:line="300"/>
        <w:jc w:val="both"/>
      </w:pPr>
      <w:r>
        <w:rPr>
          <w:rFonts w:ascii="Cambria" w:cs="Cambria" w:eastAsia="Cambria" w:hAnsi="Cambria"/>
          <w:color w:val="C00000"/>
          <w:sz w:val="24"/>
          <w:szCs w:val="24"/>
        </w:rPr>
        <w:t xml:space="preserve">A small number of included studies address domains other than healthcare, such as cross-organisational livestock data sharing, archival record-keeping, smart agriculture, electric-vehicle charging, and smart-city data governance [6, 8, 17, 27, 30]. These studies were retained under criterion 6 because they provide transferable insights on decentralised trust, verifiable credentials, and auditable data governance that bear directly on the review questions.</w:t>
      </w:r>
    </w:p>
    <w:p>
      <w:pPr>
        <w:pStyle w:val="Heading3"/>
        <w:spacing w:after="160" w:before="280"/>
      </w:pPr>
      <w:r>
        <w:t xml:space="preserve">2.2.6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w:t>
      </w:r>
      <w:r>
        <w:rPr>
          <w:rFonts w:ascii="Cambria" w:cs="Cambria" w:eastAsia="Cambria" w:hAnsi="Cambria"/>
          <w:color w:val="C00000"/>
          <w:sz w:val="24"/>
          <w:szCs w:val="24"/>
        </w:rPr>
        <w:t xml:space="preserve">authorisation</w:t>
      </w:r>
      <w:r>
        <w:rPr>
          <w:rFonts w:ascii="Cambria" w:cs="Cambria" w:eastAsia="Cambria" w:hAnsi="Cambria"/>
          <w:sz w:val="24"/>
          <w:szCs w:val="24"/>
        </w:rPr>
        <w:t xml:space="preserve">,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w:t>
      </w:r>
      <w:r>
        <w:rPr>
          <w:rFonts w:ascii="Cambria" w:cs="Cambria" w:eastAsia="Cambria" w:hAnsi="Cambria"/>
          <w:color w:val="C00000"/>
          <w:sz w:val="24"/>
          <w:szCs w:val="24"/>
        </w:rPr>
        <w:t xml:space="preserve">, which summarises</w:t>
      </w:r>
      <w:r>
        <w:rPr>
          <w:rFonts w:ascii="Cambria" w:cs="Cambria" w:eastAsia="Cambria" w:hAnsi="Cambria"/>
          <w:sz w:val="24"/>
          <w:szCs w:val="24"/>
        </w:rPr>
        <w:t xml:space="preserve">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bCs/>
          <w:color w:val="007A00"/>
          <w:sz w:val="24"/>
          <w:szCs w:val="24"/>
        </w:rPr>
        <w:t xml:space="preserve">Seven of the removed records were flagged as ineligible during automated pre-screening (non-English sources and non-peer-reviewed material) and were excluded before the manual title and abstract screening.</w:t>
      </w:r>
    </w:p>
    <w:p>
      <w:pPr>
        <w:spacing w:after="140" w:line="300"/>
        <w:jc w:val="both"/>
      </w:pPr>
      <w:r>
        <w:rPr>
          <w:rFonts w:ascii="Cambria" w:cs="Cambria" w:eastAsia="Cambria" w:hAnsi="Cambria"/>
          <w:color w:val="C00000"/>
          <w:sz w:val="24"/>
          <w:szCs w:val="24"/>
        </w:rPr>
        <w:t xml:space="preserve">In numerical terms, the database searches returned 125 records. Before screening, 35 duplicate records and the seven records flagged during automated pre-screening were removed, leaving 83 records for title and abstract screening. Of these, 40 records were excluded as unrelated to the review scope and 43 reports were sought for retrieval; three full texts were inaccessible, so 40 reports were assessed for eligibility. Seven reports were excluded at this stage, three for insufficient technical or architectural detail and four for scope mismatch with the consent and decentralised-identity focus of the review, and 33 studies were included in the final qualitative synthesis, exactly as reported in Figure 2.</w:t>
      </w:r>
    </w:p>
    <w:p>
      <w:pPr>
        <w:pStyle w:val="Heading3"/>
        <w:spacing w:after="160" w:before="280"/>
      </w:pPr>
      <w:r>
        <w:t xml:space="preserve">2.2.7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w:t>
      </w:r>
      <w:r>
        <w:rPr>
          <w:rFonts w:ascii="Cambria" w:cs="Cambria" w:eastAsia="Cambria" w:hAnsi="Cambria"/>
          <w:color w:val="C00000"/>
          <w:sz w:val="24"/>
          <w:szCs w:val="24"/>
        </w:rPr>
        <w:t xml:space="preserve">organised</w:t>
      </w:r>
      <w:r>
        <w:rPr>
          <w:rFonts w:ascii="Cambria" w:cs="Cambria" w:eastAsia="Cambria" w:hAnsi="Cambria"/>
          <w:sz w:val="24"/>
          <w:szCs w:val="24"/>
        </w:rPr>
        <w:t xml:space="preserve"> into thematic categories corresponding to the research questions. These categories included consent specification and management, </w:t>
      </w:r>
      <w:r>
        <w:rPr>
          <w:rFonts w:ascii="Cambria" w:cs="Cambria" w:eastAsia="Cambria" w:hAnsi="Cambria"/>
          <w:color w:val="C00000"/>
          <w:sz w:val="24"/>
          <w:szCs w:val="24"/>
        </w:rPr>
        <w:t xml:space="preserve">decentralised</w:t>
      </w:r>
      <w:r>
        <w:rPr>
          <w:rFonts w:ascii="Cambria" w:cs="Cambria" w:eastAsia="Cambria" w:hAnsi="Cambria"/>
          <w:sz w:val="24"/>
          <w:szCs w:val="24"/>
        </w:rPr>
        <w:t xml:space="preserve"> identity and credential verification, </w:t>
      </w:r>
      <w:r>
        <w:rPr>
          <w:rFonts w:ascii="Cambria" w:cs="Cambria" w:eastAsia="Cambria" w:hAnsi="Cambria"/>
          <w:color w:val="C00000"/>
          <w:sz w:val="24"/>
          <w:szCs w:val="24"/>
        </w:rPr>
        <w:t xml:space="preserve">authorisation</w:t>
      </w:r>
      <w:r>
        <w:rPr>
          <w:rFonts w:ascii="Cambria" w:cs="Cambria" w:eastAsia="Cambria" w:hAnsi="Cambria"/>
          <w:sz w:val="24"/>
          <w:szCs w:val="24"/>
        </w:rPr>
        <w:t xml:space="preserve">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w:t>
      </w:r>
      <w:r>
        <w:rPr>
          <w:rFonts w:ascii="Cambria" w:cs="Cambria" w:eastAsia="Cambria" w:hAnsi="Cambria"/>
          <w:color w:val="C00000"/>
          <w:sz w:val="24"/>
          <w:szCs w:val="24"/>
        </w:rPr>
        <w:t xml:space="preserve">authorisation</w:t>
      </w:r>
      <w:r>
        <w:rPr>
          <w:rFonts w:ascii="Cambria" w:cs="Cambria" w:eastAsia="Cambria" w:hAnsi="Cambria"/>
          <w:sz w:val="24"/>
          <w:szCs w:val="24"/>
        </w:rPr>
        <w:t xml:space="preserve">, auditable access records, and mechanisms for preserving patient autonomy.</w:t>
      </w:r>
    </w:p>
    <w:p>
      <w:pPr>
        <w:spacing w:after="140" w:line="300"/>
        <w:jc w:val="both"/>
      </w:pPr>
      <w:r>
        <w:rPr>
          <w:rFonts w:ascii="Cambria" w:cs="Cambria" w:eastAsia="Cambria" w:hAnsi="Cambria"/>
          <w:color w:val="C00000"/>
          <w:sz w:val="24"/>
          <w:szCs w:val="24"/>
        </w:rPr>
        <w:t xml:space="preserve">Each study assessed at the full-text stage was additionally evaluated against four predefined quality criteria: clarity of the research objective, adequacy of the methodological description, rigour of the reported evaluation or validation, and relevance of the evidence to the review questions. Studies that failed more than one criterion were excluded during the full-text assessment, so the quality assessment operated as part of the eligibility decision rather than as a separate scoring exercise.</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Heading2"/>
        <w:spacing w:after="160" w:before="280"/>
      </w:pPr>
      <w:r>
        <w:t xml:space="preserve">2.3  Review</w:t>
      </w:r>
    </w:p>
    <w:p>
      <w:pPr>
        <w:spacing w:after="140" w:line="300"/>
        <w:jc w:val="both"/>
      </w:pPr>
      <w:r>
        <w:rPr>
          <w:rFonts w:ascii="Cambria" w:cs="Cambria" w:eastAsia="Cambria" w:hAnsi="Cambria"/>
          <w:color w:val="C00000"/>
          <w:sz w:val="24"/>
          <w:szCs w:val="24"/>
        </w:rPr>
        <w:t xml:space="preserve">The thematic sections that follow (Sections 2.3.1–2.3.6), together with the comparative analysis in Section 2.3.7, address the review questions as follows. Review question 1 is addressed principally in Sections 2.3.2 and 2.3.4; review question 2 in Sections 2.3.1 and 2.3.5; review question 3 in Section 2.3.3; review question 4 in Sections 2.3.2 and 2.3.5, with its selective-disclosure dimension addressed in Section 2.3.3; and review question 5 is synthesised in Sections 2.3.7 and 2.4, where it motivates the research gap. The lifecycle and evaluation questions 6 and 7 are addressed in Sections 2.3.1 and 2.3.6 respectively.</w:t>
      </w:r>
    </w:p>
    <w:p>
      <w:pPr>
        <w:spacing w:after="140" w:line="300"/>
        <w:jc w:val="both"/>
      </w:pPr>
      <w:r>
        <w:rPr>
          <w:rFonts w:ascii="Cambria" w:cs="Cambria" w:eastAsia="Cambria" w:hAnsi="Cambria"/>
          <w:color w:val="C00000"/>
          <w:sz w:val="24"/>
          <w:szCs w:val="24"/>
        </w:rPr>
        <w:t xml:space="preserve">Consistent with the scope established in Section 2.1, the following subsections examine each research stream in turn: healthcare consent governance, blockchain-based data governance, decentralised identity and verifiable credentials, multi-party authorisation, policy-based and context-aware access control, and Trusted Computing. Each subsection evaluates how the reviewed approaches contribute to the conditions required for a trustworthy authorisation decision and identifies the limitations that motivate the proposed framework.</w:t>
      </w:r>
    </w:p>
    <w:p>
      <w:pPr>
        <w:pStyle w:val="Heading3"/>
        <w:spacing w:after="160" w:before="280"/>
      </w:pPr>
      <w:r>
        <w:t xml:space="preserve">2.3.1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w:t>
      </w:r>
      <w:r>
        <w:rPr>
          <w:rFonts w:ascii="Cambria" w:cs="Cambria" w:eastAsia="Cambria" w:hAnsi="Cambria"/>
          <w:color w:val="C00000"/>
          <w:sz w:val="24"/>
          <w:szCs w:val="24"/>
        </w:rPr>
        <w:t xml:space="preserve">are</w:t>
      </w:r>
      <w:r>
        <w:rPr>
          <w:rFonts w:ascii="Cambria" w:cs="Cambria" w:eastAsia="Cambria" w:hAnsi="Cambria"/>
          <w:sz w:val="24"/>
          <w:szCs w:val="24"/>
        </w:rPr>
        <w:t xml:space="preserve">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w:t>
      </w:r>
      <w:r>
        <w:rPr>
          <w:rFonts w:ascii="Cambria" w:cs="Cambria" w:eastAsia="Cambria" w:hAnsi="Cambria"/>
          <w:color w:val="C00000"/>
          <w:sz w:val="24"/>
          <w:szCs w:val="24"/>
        </w:rPr>
        <w:t xml:space="preserve"> [13, 10]</w:t>
      </w:r>
      <w:r>
        <w:rPr>
          <w:rFonts w:ascii="Cambria" w:cs="Cambria" w:eastAsia="Cambria" w:hAnsi="Cambria"/>
          <w:sz w:val="24"/>
          <w:szCs w:val="24"/>
        </w:rPr>
        <w:t xml:space="preserve">.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spacing w:after="140" w:line="300"/>
        <w:jc w:val="both"/>
      </w:pPr>
      <w:r>
        <w:rPr>
          <w:rFonts w:ascii="Cambria" w:cs="Cambria" w:eastAsia="Cambria" w:hAnsi="Cambria"/>
          <w:color w:val="C00000"/>
          <w:sz w:val="24"/>
          <w:szCs w:val="24"/>
        </w:rPr>
        <w:t xml:space="preserve">Within this stream, dynamic-consent research [13] and consent-receipt mechanisms [10] already recognise that a patient's permission changes over time; however, the reviewed systems provide limited support for treating expiration, revocation, and consent state transitions as first-class and independently verifiable authorisation conditions after consent has been granted. This limitation motivates the lifecycle dimension examined by review question 6.</w:t>
      </w:r>
    </w:p>
    <w:p>
      <w:pPr>
        <w:pStyle w:val="Heading3"/>
        <w:spacing w:after="160" w:before="280"/>
      </w:pPr>
      <w:r>
        <w:t xml:space="preserve">2.3.2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Heading3"/>
        <w:spacing w:after="160" w:before="280"/>
      </w:pPr>
      <w:r>
        <w:t xml:space="preserve">2.3.3  Decentralised Identity and Verifiable Credentials</w:t>
      </w:r>
    </w:p>
    <w:p>
      <w:pPr>
        <w:spacing w:after="140" w:line="300"/>
        <w:jc w:val="both"/>
      </w:pPr>
      <w:r>
        <w:rPr>
          <w:rFonts w:ascii="Cambria" w:cs="Cambria" w:eastAsia="Cambria" w:hAnsi="Cambria"/>
          <w:color w:val="C00000"/>
          <w:sz w:val="24"/>
          <w:szCs w:val="24"/>
        </w:rPr>
        <w:t xml:space="preserve">Decentralised Identifiers (DIDs)</w:t>
      </w:r>
      <w:r>
        <w:rPr>
          <w:rFonts w:ascii="Cambria" w:cs="Cambria" w:eastAsia="Cambria" w:hAnsi="Cambria"/>
          <w:sz w:val="24"/>
          <w:szCs w:val="24"/>
        </w:rPr>
        <w:t xml:space="preserve">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bCs/>
          <w:color w:val="007A00"/>
          <w:sz w:val="24"/>
          <w:szCs w:val="24"/>
        </w:rPr>
        <w:t xml:space="preserve">Recent reviews of blockchain-based identity management further consolidate this stream, surveying identity management, access control and trust mechanisms for connected environments and confirming the maturity of DID- and VC-based designs [15].</w:t>
      </w:r>
    </w:p>
    <w:p>
      <w:pPr>
        <w:pStyle w:val="Heading3"/>
        <w:spacing w:after="160" w:before="280"/>
      </w:pPr>
      <w:r>
        <w:t xml:space="preserve">2.3.4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r>
        <w:rPr>
          <w:rFonts w:ascii="Cambria" w:cs="Cambria" w:eastAsia="Cambria" w:hAnsi="Cambria"/>
          <w:color w:val="C00000"/>
          <w:sz w:val="24"/>
          <w:szCs w:val="24"/>
        </w:rPr>
        <w:t xml:space="preserve">, 31</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bCs/>
          <w:color w:val="007A00"/>
          <w:sz w:val="24"/>
          <w:szCs w:val="24"/>
        </w:rPr>
        <w:t xml:space="preserve">Beyond healthcare, decentralised trust mechanisms have also been applied to empower independent stakeholders in cross-organisational data sharing, demonstrating that multi-party governance generalises across application domains [6].</w:t>
      </w:r>
    </w:p>
    <w:p>
      <w:pPr>
        <w:spacing w:after="140" w:line="300"/>
        <w:jc w:val="both"/>
      </w:pPr>
      <w:r>
        <w:rPr>
          <w:rFonts w:ascii="Cambria" w:cs="Cambria" w:eastAsia="Cambria" w:hAnsi="Cambria"/>
          <w:color w:val="C00000"/>
          <w:sz w:val="24"/>
          <w:szCs w:val="24"/>
        </w:rPr>
        <w:t xml:space="preserve">Where the reviewed systems support multiple approvers, approval is typically implemented as a workflow or signature-collection step [19, 29] rather than represented as a verifiable threshold condition bound to the consent object itself. It is this representational absence, rather than the absence of multi-party mechanisms as such, that the proposed framework addresses.</w:t>
      </w:r>
    </w:p>
    <w:p>
      <w:pPr>
        <w:pStyle w:val="Heading3"/>
        <w:spacing w:after="160" w:before="280"/>
      </w:pPr>
      <w:r>
        <w:t xml:space="preserve">2.3.5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spacing w:after="140" w:line="300"/>
        <w:jc w:val="both"/>
      </w:pPr>
      <w:r>
        <w:rPr>
          <w:rFonts w:ascii="Cambria" w:cs="Cambria" w:eastAsia="Cambria" w:hAnsi="Cambria"/>
          <w:color w:val="C00000"/>
          <w:sz w:val="24"/>
          <w:szCs w:val="24"/>
        </w:rPr>
        <w:t xml:space="preserve">Across the reviewed access-control approaches [32, 11, 28, 25], policy evaluation is bound primarily to the requester's roles, attributes, or risk context rather than to the purpose and data scope authorised by the patient's consent. It is this missing relationship between the evaluated policy and the consent object itself that the proposed framework formalises.</w:t>
      </w:r>
    </w:p>
    <w:p>
      <w:pPr>
        <w:pStyle w:val="Heading3"/>
        <w:spacing w:after="160" w:before="280"/>
      </w:pPr>
      <w:r>
        <w:t xml:space="preserve">2.3.6  Trusted Computing, Secure Execution, and Security Assurance</w:t>
      </w:r>
    </w:p>
    <w:p>
      <w:pPr>
        <w:spacing w:after="140" w:line="300"/>
        <w:jc w:val="both"/>
      </w:pPr>
      <w:r>
        <w:rPr>
          <w:rFonts w:ascii="Cambria" w:cs="Cambria" w:eastAsia="Cambria" w:hAnsi="Cambria"/>
          <w:color w:val="C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r>
        <w:rPr>
          <w:rFonts w:ascii="Cambria" w:cs="Cambria" w:eastAsia="Cambria" w:hAnsi="Cambria"/>
          <w:color w:val="C00000"/>
          <w:sz w:val="24"/>
          <w:szCs w:val="24"/>
        </w:rPr>
        <w:t xml:space="preserve"> [23]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w:t>
      </w:r>
    </w:p>
    <w:p>
      <w:pPr>
        <w:spacing w:after="140" w:line="300"/>
        <w:jc w:val="both"/>
      </w:pPr>
      <w:r>
        <w:rPr>
          <w:rFonts w:ascii="Cambria" w:cs="Cambria" w:eastAsia="Cambria" w:hAnsi="Cambria"/>
          <w:color w:val="C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bCs/>
          <w:color w:val="007A00"/>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spacing w:after="140" w:line="300"/>
        <w:jc w:val="both"/>
      </w:pPr>
      <w:r>
        <w:rPr>
          <w:rFonts w:ascii="Cambria" w:cs="Cambria" w:eastAsia="Cambria" w:hAnsi="Cambria"/>
          <w:color w:val="C00000"/>
          <w:sz w:val="24"/>
          <w:szCs w:val="24"/>
        </w:rPr>
        <w:t xml:space="preserve">Formal security analysis nevertheless remains rare across the reviewed corpus: security arguments are predominantly architectural or empirical, and only a minority of studies accompany their designs with formal reasoning about the stated security properties [17, 18]. This observation grounds review question 7 and motivates the formal-assurance direction of the research. While Trusted Computing mechanisms could further harden the execution of the proposed authorisation evaluation, hardware-supported execution is treated as an orthogonal assurance layer and lies outside the scope of the present research questions.</w:t>
      </w:r>
    </w:p>
    <w:p>
      <w:pPr>
        <w:pStyle w:val="Heading3"/>
        <w:spacing w:after="160" w:before="280"/>
      </w:pPr>
      <w:r>
        <w:t xml:space="preserve">2.3.7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w:t>
      </w:r>
      <w:r>
        <w:rPr>
          <w:rFonts w:ascii="Cambria" w:cs="Cambria" w:eastAsia="Cambria" w:hAnsi="Cambria"/>
          <w:color w:val="C00000"/>
          <w:sz w:val="24"/>
          <w:szCs w:val="24"/>
        </w:rPr>
        <w:t xml:space="preserve"> [2, 7, 28]</w:t>
      </w:r>
      <w:r>
        <w:rPr>
          <w:rFonts w:ascii="Cambria" w:cs="Cambria" w:eastAsia="Cambria" w:hAnsi="Cambria"/>
          <w:sz w:val="24"/>
          <w:szCs w:val="24"/>
        </w:rPr>
        <w:t xml:space="preserve">; DID and VC mechanisms provide decentralised identity and verifiable attributes</w:t>
      </w:r>
      <w:r>
        <w:rPr>
          <w:rFonts w:ascii="Cambria" w:cs="Cambria" w:eastAsia="Cambria" w:hAnsi="Cambria"/>
          <w:color w:val="C00000"/>
          <w:sz w:val="24"/>
          <w:szCs w:val="24"/>
        </w:rPr>
        <w:t xml:space="preserve"> [20, 4, 5]</w:t>
      </w:r>
      <w:r>
        <w:rPr>
          <w:rFonts w:ascii="Cambria" w:cs="Cambria" w:eastAsia="Cambria" w:hAnsi="Cambria"/>
          <w:sz w:val="24"/>
          <w:szCs w:val="24"/>
        </w:rPr>
        <w:t xml:space="preserve">; policy-based and cryptographic access-control mechanisms provide fine-grained data protection</w:t>
      </w:r>
      <w:r>
        <w:rPr>
          <w:rFonts w:ascii="Cambria" w:cs="Cambria" w:eastAsia="Cambria" w:hAnsi="Cambria"/>
          <w:color w:val="C00000"/>
          <w:sz w:val="24"/>
          <w:szCs w:val="24"/>
        </w:rPr>
        <w:t xml:space="preserve"> [32, 11, 25]</w:t>
      </w:r>
      <w:r>
        <w:rPr>
          <w:rFonts w:ascii="Cambria" w:cs="Cambria" w:eastAsia="Cambria" w:hAnsi="Cambria"/>
          <w:sz w:val="24"/>
          <w:szCs w:val="24"/>
        </w:rPr>
        <w:t xml:space="preserve">; collaborative governance mechanisms support distributed participation</w:t>
      </w:r>
      <w:r>
        <w:rPr>
          <w:rFonts w:ascii="Cambria" w:cs="Cambria" w:eastAsia="Cambria" w:hAnsi="Cambria"/>
          <w:color w:val="C00000"/>
          <w:sz w:val="24"/>
          <w:szCs w:val="24"/>
        </w:rPr>
        <w:t xml:space="preserve"> [19, 29, 6]</w:t>
      </w:r>
      <w:r>
        <w:rPr>
          <w:rFonts w:ascii="Cambria" w:cs="Cambria" w:eastAsia="Cambria" w:hAnsi="Cambria"/>
          <w:sz w:val="24"/>
          <w:szCs w:val="24"/>
        </w:rPr>
        <w:t xml:space="preserve">; and Trusted Computing provides secure execution and attestation capabilities</w:t>
      </w:r>
      <w:r>
        <w:rPr>
          <w:rFonts w:ascii="Cambria" w:cs="Cambria" w:eastAsia="Cambria" w:hAnsi="Cambria"/>
          <w:color w:val="C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2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sz w:val="21"/>
          <w:szCs w:val="21"/>
        </w:rPr>
        <w:t xml:space="preserve">Table 2: </w:t>
      </w:r>
      <w:r>
        <w:rPr>
          <w:rFonts w:ascii="Cambria" w:cs="Cambria" w:eastAsia="Cambria" w:hAnsi="Cambria"/>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Requires further extension towards lifecycle trust, formal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color w:val="C00000"/>
          <w:sz w:val="24"/>
          <w:szCs w:val="24"/>
        </w:rPr>
        <w:t xml:space="preserve">Lifecycle trust and empirical validation realised in the implemented prototype; formal security assurance requires further extension</w:t>
      </w: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2.4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w:t>
      </w:r>
      <w:r>
        <w:rPr>
          <w:rFonts w:ascii="Cambria" w:cs="Cambria" w:eastAsia="Cambria" w:hAnsi="Cambria"/>
          <w:color w:val="C00000"/>
          <w:sz w:val="24"/>
          <w:szCs w:val="24"/>
        </w:rPr>
        <w:t xml:space="preserve"> [2, 7, 28]</w:t>
      </w:r>
      <w:r>
        <w:rPr>
          <w:rFonts w:ascii="Cambria" w:cs="Cambria" w:eastAsia="Cambria" w:hAnsi="Cambria"/>
          <w:sz w:val="24"/>
          <w:szCs w:val="24"/>
        </w:rPr>
        <w:t xml:space="preserve">. Decentralised identity and verifiable credential systems address the identification and attribute verification of participating entities</w:t>
      </w:r>
      <w:r>
        <w:rPr>
          <w:rFonts w:ascii="Cambria" w:cs="Cambria" w:eastAsia="Cambria" w:hAnsi="Cambria"/>
          <w:color w:val="C00000"/>
          <w:sz w:val="24"/>
          <w:szCs w:val="24"/>
        </w:rPr>
        <w:t xml:space="preserve"> [20, 33, 4]</w:t>
      </w:r>
      <w:r>
        <w:rPr>
          <w:rFonts w:ascii="Cambria" w:cs="Cambria" w:eastAsia="Cambria" w:hAnsi="Cambria"/>
          <w:sz w:val="24"/>
          <w:szCs w:val="24"/>
        </w:rPr>
        <w:t xml:space="preserve">. Multi-party governance mechanisms address distributed participation and collective decision-making</w:t>
      </w:r>
      <w:r>
        <w:rPr>
          <w:rFonts w:ascii="Cambria" w:cs="Cambria" w:eastAsia="Cambria" w:hAnsi="Cambria"/>
          <w:color w:val="C00000"/>
          <w:sz w:val="24"/>
          <w:szCs w:val="24"/>
        </w:rPr>
        <w:t xml:space="preserve"> [19, 29]</w:t>
      </w:r>
      <w:r>
        <w:rPr>
          <w:rFonts w:ascii="Cambria" w:cs="Cambria" w:eastAsia="Cambria" w:hAnsi="Cambria"/>
          <w:sz w:val="24"/>
          <w:szCs w:val="24"/>
        </w:rPr>
        <w:t xml:space="preserve">. Policy-based access-control approaches determine whether requested operations comply with predefined constraints</w:t>
      </w:r>
      <w:r>
        <w:rPr>
          <w:rFonts w:ascii="Cambria" w:cs="Cambria" w:eastAsia="Cambria" w:hAnsi="Cambria"/>
          <w:color w:val="C00000"/>
          <w:sz w:val="24"/>
          <w:szCs w:val="24"/>
        </w:rPr>
        <w:t xml:space="preserve"> [32, 11, 25]</w:t>
      </w:r>
      <w:r>
        <w:rPr>
          <w:rFonts w:ascii="Cambria" w:cs="Cambria" w:eastAsia="Cambria" w:hAnsi="Cambria"/>
          <w:sz w:val="24"/>
          <w:szCs w:val="24"/>
        </w:rPr>
        <w:t xml:space="preserve">. Trusted Computing technologies protect the execution of security-sensitive computation</w:t>
      </w:r>
      <w:r>
        <w:rPr>
          <w:rFonts w:ascii="Cambria" w:cs="Cambria" w:eastAsia="Cambria" w:hAnsi="Cambria"/>
          <w:color w:val="C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spacing w:after="140" w:line="300"/>
        <w:jc w:val="both"/>
      </w:pPr>
      <w:r>
        <w:rPr>
          <w:rFonts w:ascii="Cambria" w:cs="Cambria" w:eastAsia="Cambria" w:hAnsi="Cambria"/>
          <w:sz w:val="24"/>
          <w:szCs w:val="24"/>
        </w:rPr>
        <w:t xml:space="preserve">The central research gap therefore concerns the absence of a sufficiently integrated </w:t>
      </w:r>
      <w:r>
        <w:rPr>
          <w:rFonts w:ascii="Cambria" w:cs="Cambria" w:eastAsia="Cambria" w:hAnsi="Cambria"/>
          <w:color w:val="C00000"/>
          <w:sz w:val="24"/>
          <w:szCs w:val="24"/>
        </w:rPr>
        <w:t xml:space="preserve">trust-oriented authorisation</w:t>
      </w:r>
      <w:r>
        <w:rPr>
          <w:rFonts w:ascii="Cambria" w:cs="Cambria" w:eastAsia="Cambria" w:hAnsi="Cambria"/>
          <w:sz w:val="24"/>
          <w:szCs w:val="24"/>
        </w:rPr>
        <w:t xml:space="preserve">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color w:val="C00000"/>
          <w:sz w:val="24"/>
          <w:szCs w:val="24"/>
        </w:rPr>
        <w:t xml:space="preserve">The reviewed literature also identifies persistent challenges of privacy preservation, scalability, and interoperability in blockchain-based healthcare systems [2, 7, 3, 28]; while these concerns inform the design constraints of the proposed framework, they are treated as engineering constraints rather than as the conceptual gap pursued by this research.</w:t>
      </w:r>
    </w:p>
    <w:p>
      <w:pPr>
        <w:spacing w:after="140" w:line="300"/>
        <w:jc w:val="both"/>
      </w:pPr>
      <w:r>
        <w:rPr>
          <w:rFonts w:ascii="Cambria" w:cs="Cambria" w:eastAsia="Cambria" w:hAnsi="Cambria"/>
          <w:color w:val="C00000"/>
          <w:sz w:val="24"/>
          <w:szCs w:val="24"/>
        </w:rPr>
        <w:t xml:space="preserve">In the same way, the consent-lifecycle limitation identified in Section 2.3.1 and the scarcity of formal security analysis identified in Section 2.3.6 define the temporal-lifecycle and formal-assurance dimensions that the next stage of this research addresses.</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C00000"/>
          <w:sz w:val="22"/>
          <w:szCs w:val="22"/>
        </w:rPr>
        <w:t xml:space="preserve">Decision(C, R, t) = ALLOW ⟺ VI ∧ VA ∧ VP ∧ VT ∧ VL</w:t>
      </w:r>
      <w:r>
        <w:rPr>
          <w:rFonts w:ascii="Cambria" w:cs="Cambria" w:eastAsia="Cambria" w:hAnsi="Cambria"/>
          <w:color w:val="C00000"/>
          <w:sz w:val="22"/>
          <w:szCs w:val="22"/>
        </w:rPr>
        <w:t xml:space="preserve">	(6)</w:t>
      </w:r>
    </w:p>
    <w:p>
      <w:pPr>
        <w:spacing w:after="140" w:line="300"/>
        <w:jc w:val="both"/>
      </w:pPr>
      <w:r>
        <w:rPr>
          <w:rFonts w:ascii="Cambria" w:cs="Cambria" w:eastAsia="Cambria" w:hAnsi="Cambria"/>
          <w:color w:val="C00000"/>
          <w:sz w:val="24"/>
          <w:szCs w:val="24"/>
        </w:rPr>
        <w:t xml:space="preserve">This is the rule enforced by the implemented Consent Engine: every access request is evaluated over the complete tuple, and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C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color w:val="C00000"/>
          <w:sz w:val="24"/>
          <w:szCs w:val="24"/>
        </w:rPr>
        <w:t xml:space="preserve">Temporal and lifecycle trust has been operationalised in the current prototype, and empirical validation has been partially completed through automated and live negative testing. Consequently, formal security assurance forms the subsequent research scope and will be developed further in CA3.</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C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C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C00000"/>
          <w:sz w:val="24"/>
          <w:szCs w:val="24"/>
        </w:rPr>
        <w:t xml:space="preserve">The remaining two sub-questions, addressing temporal and lifecycle trust and formal security assurance, complete the six-question structure and are carried into the next stage of the research.</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color w:val="C00000"/>
          <w:sz w:val="22"/>
          <w:szCs w:val="22"/>
        </w:rPr>
        <w:t xml:space="preserve">	(7)</w:t>
      </w:r>
    </w:p>
    <w:p>
      <w:pPr>
        <w:spacing w:after="140" w:line="300"/>
        <w:jc w:val="both"/>
      </w:pPr>
      <w:r>
        <w:rPr>
          <w:rFonts w:ascii="Cambria" w:cs="Cambria" w:eastAsia="Cambria" w:hAnsi="Cambria"/>
          <w:color w:val="C00000"/>
          <w:sz w:val="24"/>
          <w:szCs w:val="24"/>
        </w:rPr>
        <w:t xml:space="preserve">where I represents the participating identities, A represents the authority and multi-party authorisation evidence, P represents the purpose and data-scope constraints, T represents the temporal validity window, L represents the jurisdictional constraint, and E represents the enforcement state recording whether the consent remains active or has been revoked.</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w:t>
      </w:r>
      <w:r>
        <w:rPr>
          <w:rFonts w:ascii="Cambria" w:cs="Cambria" w:eastAsia="Cambria" w:hAnsi="Cambria"/>
          <w:color w:val="C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spacing w:after="140" w:line="300"/>
        <w:jc w:val="both"/>
      </w:pPr>
      <w:r>
        <w:rPr>
          <w:rFonts w:ascii="Cambria" w:cs="Cambria" w:eastAsia="Cambria" w:hAnsi="Cambria"/>
          <w:color w:val="C00000"/>
          <w:sz w:val="24"/>
          <w:szCs w:val="24"/>
        </w:rPr>
        <w:t xml:space="preserve">In the implemented framework, N is instantiated as |G|, the number of designated guardians, such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C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consent lifecycle validity.</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C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C00000"/>
          <w:sz w:val="24"/>
          <w:szCs w:val="24"/>
        </w:rPr>
        <w:t xml:space="preserve">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current stage,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color w:val="C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color w:val="C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color w:val="C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t xml:space="preserve">4.6  RO6 - Formal Security Assurance and Empirical Validation</w:t>
      </w:r>
    </w:p>
    <w:p>
      <w:pPr>
        <w:spacing w:after="140" w:line="300"/>
        <w:jc w:val="both"/>
      </w:pPr>
      <w:r>
        <w:rPr>
          <w:rFonts w:ascii="Cambria" w:cs="Cambria" w:eastAsia="Cambria" w:hAnsi="Cambria"/>
          <w:color w:val="C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C00000"/>
          <w:sz w:val="24"/>
          <w:szCs w:val="24"/>
        </w:rPr>
        <w:t xml:space="preserve">The empirical component has been executed against the demonstrated prototype. In particular,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color w:val="C00000"/>
          <w:sz w:val="24"/>
          <w:szCs w:val="24"/>
        </w:rPr>
        <w:t xml:space="preserve">summarised in Table 3 and Table 4.</w:t>
      </w:r>
    </w:p>
    <w:p>
      <w:pPr>
        <w:spacing w:after="140" w:line="300"/>
        <w:jc w:val="both"/>
      </w:pPr>
      <w:r>
        <w:rPr>
          <w:rFonts w:ascii="Cambria" w:cs="Cambria" w:eastAsia="Cambria" w:hAnsi="Cambria"/>
          <w:sz w:val="24"/>
          <w:szCs w:val="24"/>
        </w:rPr>
        <w:t xml:space="preserve">The relationship between the six research questions and the six research objectives is</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spacing w:after="140" w:line="300"/>
        <w:jc w:val="both"/>
      </w:pPr>
      <w:r>
        <w:rPr>
          <w:rFonts w:ascii="Cambria" w:cs="Cambria" w:eastAsia="Cambria" w:hAnsi="Cambria"/>
          <w:color w:val="C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keepNext/>
        <w:spacing w:after="80" w:before="160"/>
        <w:jc w:val="center"/>
      </w:pPr>
      <w:r>
        <w:rPr>
          <w:rFonts w:ascii="Cambria" w:cs="Cambria" w:eastAsia="Cambria" w:hAnsi="Cambria"/>
          <w:b/>
          <w:bCs/>
          <w:sz w:val="21"/>
          <w:szCs w:val="21"/>
        </w:rPr>
        <w:t xml:space="preserve">Table 3: </w:t>
      </w:r>
      <w:r>
        <w:rPr>
          <w:rFonts w:ascii="Cambria" w:cs="Cambria" w:eastAsia="Cambria" w:hAnsi="Cambria"/>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sz w:val="21"/>
          <w:szCs w:val="21"/>
        </w:rPr>
        <w:t xml:space="preserve">Table 4: </w:t>
      </w:r>
      <w:r>
        <w:rPr>
          <w:rFonts w:ascii="Cambria" w:cs="Cambria" w:eastAsia="Cambria" w:hAnsi="Cambria"/>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temporal validity, expiration, revocation, and controlled consent-state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140" w:line="300"/>
        <w:jc w:val="both"/>
      </w:pPr>
      <w:r>
        <w:rPr>
          <w:rFonts w:ascii="Cambria" w:cs="Cambria" w:eastAsia="Cambria" w:hAnsi="Cambria"/>
          <w:color w:val="C00000"/>
          <w:sz w:val="24"/>
          <w:szCs w:val="24"/>
        </w:rPr>
        <w:t xml:space="preserve">RO5_SCOPE_Temporal validity, expiration, revocation and controlled state transitions, enforced in the current prototype and anchored on-chain RO6_SCOPE_Formal analysis of the security properties (CA3), building upon the empirical negative and adversarial testing already performed with the HALAH prototype</w:t>
      </w: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tabs>
          <w:tab w:val="right" w:pos="9360"/>
        </w:tabs>
        <w:spacing w:after="160" w:before="60"/>
        <w:jc w:val="center"/>
      </w:pPr>
      <w:r>
        <w:rPr>
          <w:rFonts w:ascii="Cambria Math" w:cs="Cambria Math" w:eastAsia="Cambria Math" w:hAnsi="Cambria Math"/>
          <w:i/>
          <w:iCs/>
          <w:color w:val="C00000"/>
          <w:sz w:val="22"/>
          <w:szCs w:val="22"/>
        </w:rPr>
        <w:t xml:space="preserve">Decision(C, R, t) = ALLOW ⟺ VI ∧ VA ∧ VP ∧ VT ∧ VL</w:t>
      </w:r>
      <w:r>
        <w:rPr>
          <w:rFonts w:ascii="Cambria" w:cs="Cambria" w:eastAsia="Cambria" w:hAnsi="Cambria"/>
          <w:color w:val="C00000"/>
          <w:sz w:val="22"/>
          <w:szCs w:val="22"/>
        </w:rPr>
        <w:t xml:space="preserve">	(29)</w:t>
      </w:r>
    </w:p>
    <w:p>
      <w:pPr>
        <w:spacing w:after="140" w:line="300"/>
        <w:jc w:val="both"/>
      </w:pPr>
      <w:r>
        <w:rPr>
          <w:rFonts w:ascii="Cambria" w:cs="Cambria" w:eastAsia="Cambria" w:hAnsi="Cambria"/>
          <w:color w:val="C00000"/>
          <w:sz w:val="24"/>
          <w:szCs w:val="24"/>
        </w:rPr>
        <w:t xml:space="preserve">This five-predicate conjunction constitutes the decision rule of the implemented Consent Engine and is applied consistently throughout this chapter; the earlier three-predicate formulation represents an initial design iteration that has since been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3: Layered MVC Architecture and Component Decomposition of the HALAH Framework" title="Figure 3: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Layered MVC Architecture and Component Decomposition of the HALAH Framework</w:t>
      </w:r>
    </w:p>
    <w:p>
      <w:pPr>
        <w:spacing w:after="140" w:line="300"/>
        <w:jc w:val="both"/>
      </w:pPr>
      <w:r>
        <w:rPr>
          <w:rFonts w:ascii="Cambria" w:cs="Cambria" w:eastAsia="Cambria" w:hAnsi="Cambria"/>
          <w:color w:val="C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C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140" w:line="300"/>
        <w:jc w:val="both"/>
      </w:pPr>
      <w:r>
        <w:rPr>
          <w:rFonts w:ascii="Cambria" w:cs="Cambria" w:eastAsia="Cambria" w:hAnsi="Cambria"/>
          <w:color w:val="C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4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4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4: Functional Decomposition of the MVC Components" title="Figure 4: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5. Figure 5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VL (C), determines whether the consent remains in a valid lifecycle state. The integrated decision can therefore be expressed as</w:t>
      </w:r>
    </w:p>
    <w:p>
      <w:pPr>
        <w:spacing w:after="140" w:line="300"/>
        <w:jc w:val="both"/>
      </w:pPr>
      <w:r>
        <w:rPr>
          <w:rFonts w:ascii="Cambria" w:cs="Cambria" w:eastAsia="Cambria" w:hAnsi="Cambria"/>
          <w:color w:val="C00000"/>
          <w:sz w:val="24"/>
          <w:szCs w:val="24"/>
        </w:rPr>
        <w:t xml:space="preserve">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Consequently, the corresponding component in Figure 5 is depicted as 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(C, j), the jurisdiction verification function, rather than as a lifecycle check.</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5: Trust Predicate Evaluation and Authorisation Decision Flow" title="Figure 5: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following</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Authorization Workflow</w:t>
      </w:r>
    </w:p>
    <w:p>
      <w:pPr>
        <w:spacing w:after="140" w:line="300"/>
        <w:jc w:val="both"/>
      </w:pPr>
      <w:r>
        <w:rPr>
          <w:rFonts w:ascii="Cambria" w:cs="Cambria" w:eastAsia="Cambria" w:hAnsi="Cambria"/>
          <w:sz w:val="24"/>
          <w:szCs w:val="24"/>
        </w:rPr>
        <w:t xml:space="preserve">Figure 6 presents the end-to-end workflow of the proposed trust-oriented patient consent authorization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authorization, and policy compliance. Accordingly, the proposed workflow transforms a patient’s consent from a static permission record into an evaluable authorization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authorization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authorization decisions. The next stage performs decentralized identity and authority verification using Decentralized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authorization.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authorization requirement may involve multiple independent participants, such as a patient together with one or more guardians or other authorized parties. The framework then collects their independent approvals and evaluates whether the predefined authorization threshold has been satisfied. Let Av denote the set of successfully verified approvals and let N denote the required authorization threshold. Multi-party authorization is satisfied when</w:t>
      </w:r>
    </w:p>
    <w:p>
      <w:pPr>
        <w:keepNext/>
        <w:spacing w:after="60" w:before="140"/>
        <w:jc w:val="center"/>
      </w:pPr>
      <w:r>
        <w:drawing>
          <wp:inline distT="0" distB="0" distL="0" distR="0">
            <wp:extent cx="4000500" cy="6181725"/>
            <wp:effectExtent t="0" r="0" b="0" l="0"/>
            <wp:docPr id="1" name="fig6.png" descr="Figure 6: End-to-End Workflow of Trust-Oriented Consent Authorization Framework" title="Figure 6: End-to-End Workflow of Trust-Oriented Consent Authoriz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End-to-End Workflow of Trust-Oriented Consent Authorization Framework</w:t>
      </w:r>
    </w:p>
    <w:p>
      <w:pPr>
        <w:spacing w:after="140" w:line="300"/>
        <w:jc w:val="both"/>
      </w:pPr>
      <w:r>
        <w:rPr>
          <w:rFonts w:ascii="Cambria" w:cs="Cambria" w:eastAsia="Cambria" w:hAnsi="Cambria"/>
          <w:color w:val="C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C00000"/>
          <w:sz w:val="24"/>
          <w:szCs w:val="24"/>
          <w:vertAlign w:val="subscript"/>
        </w:rPr>
        <w:t xml:space="preserve">T</w:t>
      </w:r>
      <w:r>
        <w:rPr>
          <w:rFonts w:ascii="Cambria" w:cs="Cambria" w:eastAsia="Cambria" w:hAnsi="Cambria"/>
          <w:color w:val="C00000"/>
          <w:sz w:val="24"/>
          <w:szCs w:val="24"/>
        </w:rPr>
        <w:t xml:space="preserve"> and the jurisdictional check 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C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authorization process terminates with a denial decision. This prevents a single participant from unilaterally establishing authorization when the consent policy requires collective approval. When the authorization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authorized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authorization decision is therefore determined by the conjunction of identity and authority verification, multi-party authorization, and policy compliance. For the current stage scope of the proposed framework,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authorization threshold, and VP (C, R) represents compliance between the access request and the consent policy. If any of these conditions is false, the request is denied. Only when all required conditions are satisfied is healthcare data access granted. Finally, the framework records the resulting authorization evidence in the audit layer. Importantly, both successful and denied decisions should be recorded because a trustworthy authorization framework requires accountability not only for data that were released but also for access attempts that were rejected. The audit evidence can therefore provide a traceable record of the authorization decision, including the relevant consent, participants, policy evaluation, decision outcome, and associated evidence. In this manner, the workflow connects consent specification with identity trust, collective authorization, policy enforcement, and accountability, providing the operational foundation of the proposed trust-oriented authorization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color w:val="C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C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color w:val="C00000"/>
          <w:sz w:val="22"/>
          <w:szCs w:val="22"/>
        </w:rPr>
        <w:t xml:space="preserve">	(36)</w:t>
      </w:r>
    </w:p>
    <w:p>
      <w:pPr>
        <w:spacing w:after="140" w:line="300"/>
        <w:jc w:val="both"/>
      </w:pPr>
      <w:r>
        <w:rPr>
          <w:rFonts w:ascii="Cambria" w:cs="Cambria" w:eastAsia="Cambria" w:hAnsi="Cambria"/>
          <w:color w:val="C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 that</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color w:val="C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5.</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sz w:val="21"/>
          <w:szCs w:val="21"/>
        </w:rPr>
        <w:t xml:space="preserve">Table 5: </w:t>
      </w:r>
      <w:r>
        <w:rPr>
          <w:rFonts w:ascii="Cambria" w:cs="Cambria" w:eastAsia="Cambria" w:hAnsi="Cambria"/>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provide</w:t>
            </w:r>
            <w:r>
              <w:rPr>
                <w:rFonts w:ascii="Cambria" w:cs="Cambria" w:eastAsia="Cambria" w:hAnsi="Cambria"/>
                <w:b w:val="false"/>
                <w:bCs w:val="false"/>
                <w:sz w:val="19"/>
                <w:szCs w:val="19"/>
              </w:rPr>
              <w:t xml:space="preserve"> traceability and supports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sz w:val="21"/>
          <w:szCs w:val="21"/>
        </w:rPr>
        <w:t xml:space="preserve">Table 6: </w:t>
      </w:r>
      <w:r>
        <w:rPr>
          <w:rFonts w:ascii="Cambria" w:cs="Cambria" w:eastAsia="Cambria" w:hAnsi="Cambria"/>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C00000"/>
          <w:sz w:val="24"/>
          <w:szCs w:val="24"/>
        </w:rPr>
        <w:t xml:space="preserve">next stage will</w:t>
      </w:r>
      <w:r>
        <w:rPr>
          <w:rFonts w:ascii="Cambria" w:cs="Cambria" w:eastAsia="Cambria" w:hAnsi="Cambria"/>
          <w:sz w:val="24"/>
          <w:szCs w:val="24"/>
        </w:rPr>
        <w:t xml:space="preserve"> investigate whether this core can maintain trust dynamically over time,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color w:val="C00000"/>
          <w:sz w:val="22"/>
          <w:szCs w:val="22"/>
        </w:rPr>
        <w:t xml:space="preserve">	(51)</w:t>
      </w:r>
    </w:p>
    <w:p>
      <w:pPr>
        <w:spacing w:after="140" w:line="300"/>
        <w:jc w:val="both"/>
      </w:pPr>
      <w:r>
        <w:rPr>
          <w:rFonts w:ascii="Cambria" w:cs="Cambria" w:eastAsia="Cambria" w:hAnsi="Cambria"/>
          <w:color w:val="C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7: RO1 workflow for trust-centric consent creation" title="Figure 7: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RO1 workflow for trust-centric consent creation</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C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C00000"/>
          <w:sz w:val="24"/>
          <w:szCs w:val="24"/>
          <w:vertAlign w:val="subscript"/>
        </w:rPr>
        <w:t xml:space="preserve">p</w:t>
      </w:r>
      <w:r>
        <w:rPr>
          <w:rFonts w:ascii="Cambria" w:cs="Cambria" w:eastAsia="Cambria" w:hAnsi="Cambria"/>
          <w:color w:val="C00000"/>
          <w:sz w:val="24"/>
          <w:szCs w:val="24"/>
        </w:rPr>
        <w:t xml:space="preserve"> → D → G → P</w:t>
      </w:r>
      <w:r>
        <w:rPr>
          <w:rFonts w:ascii="Cambria" w:cs="Cambria" w:eastAsia="Cambria" w:hAnsi="Cambria"/>
          <w:color w:val="C00000"/>
          <w:sz w:val="24"/>
          <w:szCs w:val="24"/>
          <w:vertAlign w:val="subscript"/>
        </w:rPr>
        <w:t xml:space="preserve">u</w:t>
      </w:r>
      <w:r>
        <w:rPr>
          <w:rFonts w:ascii="Cambria" w:cs="Cambria" w:eastAsia="Cambria" w:hAnsi="Cambria"/>
          <w:color w:val="C00000"/>
          <w:sz w:val="24"/>
          <w:szCs w:val="24"/>
        </w:rPr>
        <w:t xml:space="preserve"> → S</w:t>
      </w:r>
      <w:r>
        <w:rPr>
          <w:rFonts w:ascii="Cambria" w:cs="Cambria" w:eastAsia="Cambria" w:hAnsi="Cambria"/>
          <w:color w:val="C00000"/>
          <w:sz w:val="24"/>
          <w:szCs w:val="24"/>
          <w:vertAlign w:val="subscript"/>
        </w:rPr>
        <w:t xml:space="preserve">C</w:t>
      </w:r>
      <w:r>
        <w:rPr>
          <w:rFonts w:ascii="Cambria" w:cs="Cambria" w:eastAsia="Cambria" w:hAnsi="Cambria"/>
          <w:color w:val="C00000"/>
          <w:sz w:val="24"/>
          <w:szCs w:val="24"/>
        </w:rPr>
        <w:t xml:space="preserve"> → T → L → A → id_C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C00000"/>
          <w:sz w:val="24"/>
          <w:szCs w:val="24"/>
        </w:rPr>
        <w:t xml:space="preserve">In the current prototype this validation is a structural check that each identifier constitutes a well-formed DID.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C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C00000"/>
          <w:sz w:val="18"/>
          <w:szCs w:val="18"/>
        </w:rPr>
        <w:t xml:space="preserve">15:  </w:t>
      </w:r>
      <w:r>
        <w:rPr>
          <w:rFonts w:ascii="Cambria" w:cs="Cambria" w:eastAsia="Cambria" w:hAnsi="Cambria"/>
          <w:color w:val="C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C00000"/>
          <w:sz w:val="18"/>
          <w:szCs w:val="18"/>
        </w:rPr>
        <w:t xml:space="preserve">16a:  </w:t>
      </w:r>
      <w:r>
        <w:rPr>
          <w:rFonts w:ascii="Cambria" w:cs="Cambria" w:eastAsia="Cambria" w:hAnsi="Cambria"/>
          <w:color w:val="C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8: RO2 workflow for decentralised identity and authority verification" title="Figure 8: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C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C00000"/>
          <w:sz w:val="24"/>
          <w:szCs w:val="24"/>
        </w:rPr>
        <w:t xml:space="preserve">This condition defines the target verification model rather than the behaviour presently exercised. The current prototype implements V</w:t>
      </w:r>
      <w:r>
        <w:rPr>
          <w:rFonts w:ascii="Cambria" w:cs="Cambria" w:eastAsia="Cambria" w:hAnsi="Cambria"/>
          <w:color w:val="C00000"/>
          <w:sz w:val="24"/>
          <w:szCs w:val="24"/>
          <w:vertAlign w:val="subscript"/>
        </w:rPr>
        <w:t xml:space="preserve">I</w:t>
      </w:r>
      <w:r>
        <w:rPr>
          <w:rFonts w:ascii="Cambria" w:cs="Cambria" w:eastAsia="Cambria" w:hAnsi="Cambria"/>
          <w:color w:val="C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C00000"/>
          <w:sz w:val="24"/>
          <w:szCs w:val="24"/>
        </w:rPr>
        <w:t xml:space="preserve">In the current implementation the threshold is fixed to the full guardian set, N = |G|, so that every designated guardian must approve before the consent is activated; the demonstrated configuration is therefore 2-of-2. This distinction is important because a configurable k-of-n threshold, while a direct generalisation of the implemented mechanism, is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C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9: RO3 workflow for threshold-based multi-party authorisation" title="Figure 9: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sz w:val="21"/>
          <w:szCs w:val="21"/>
        </w:rPr>
        <w:t xml:space="preserve">Require: </w:t>
      </w:r>
      <w:r>
        <w:rPr>
          <w:rFonts w:ascii="Cambria" w:cs="Cambria" w:eastAsia="Cambria" w:hAnsi="Cambria"/>
          <w:strike/>
          <w:color w:val="808080"/>
          <w:sz w:val="21"/>
          <w:szCs w:val="21"/>
        </w:rPr>
        <w:t xml:space="preserve">Consent object C, participant approval a, threshold N</w:t>
      </w:r>
    </w:p>
    <w:p>
      <w:pPr>
        <w:spacing w:after="20"/>
      </w:pPr>
      <w:r>
        <w:rPr>
          <w:rFonts w:ascii="Cambria" w:cs="Cambria" w:eastAsia="Cambria" w:hAnsi="Cambria"/>
          <w:b/>
          <w:bCs/>
          <w:color w:val="C00000"/>
          <w:sz w:val="21"/>
          <w:szCs w:val="21"/>
        </w:rPr>
        <w:t xml:space="preserve">Require: </w:t>
      </w:r>
      <w:r>
        <w:rPr>
          <w:rFonts w:ascii="Cambria" w:cs="Cambria" w:eastAsia="Cambria" w:hAnsi="Cambria"/>
          <w:color w:val="C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C00000"/>
          <w:sz w:val="18"/>
          <w:szCs w:val="18"/>
        </w:rPr>
        <w:t xml:space="preserve">1a:  </w:t>
      </w:r>
      <w:r>
        <w:rPr>
          <w:rFonts w:ascii="Cambria" w:cs="Cambria" w:eastAsia="Cambria" w:hAnsi="Cambria"/>
          <w:color w:val="C00000"/>
          <w:sz w:val="21"/>
          <w:szCs w:val="21"/>
        </w:rPr>
        <w:t xml:space="preserve">N ← |G|</w:t>
      </w:r>
    </w:p>
    <w:p>
      <w:pPr>
        <w:spacing w:after="20"/>
        <w:ind w:left="240"/>
      </w:pPr>
      <w:r>
        <w:rPr>
          <w:rFonts w:ascii="Cambria" w:cs="Cambria" w:eastAsia="Cambria" w:hAnsi="Cambria"/>
          <w:color w:val="C00000"/>
          <w:sz w:val="18"/>
          <w:szCs w:val="18"/>
        </w:rPr>
        <w:t xml:space="preserve">2:  </w:t>
      </w:r>
      <w:r>
        <w:rPr>
          <w:rFonts w:ascii="Cambria" w:cs="Cambria" w:eastAsia="Cambria" w:hAnsi="Cambria"/>
          <w:color w:val="C00000"/>
          <w:sz w:val="21"/>
          <w:szCs w:val="21"/>
        </w:rPr>
        <w:t xml:space="preserve">signer ← RecoverEIP712(domain, {id</w:t>
      </w:r>
      <w:r>
        <w:rPr>
          <w:rFonts w:ascii="Cambria" w:cs="Cambria" w:eastAsia="Cambria" w:hAnsi="Cambria"/>
          <w:color w:val="C00000"/>
          <w:sz w:val="21"/>
          <w:szCs w:val="21"/>
          <w:vertAlign w:val="subscript"/>
        </w:rPr>
        <w:t xml:space="preserve">C</w:t>
      </w:r>
      <w:r>
        <w:rPr>
          <w:rFonts w:ascii="Cambria" w:cs="Cambria" w:eastAsia="Cambria" w:hAnsi="Cambria"/>
          <w:color w:val="C00000"/>
          <w:sz w:val="21"/>
          <w:szCs w:val="21"/>
        </w:rPr>
        <w:t xml:space="preserve">, g, APPROVE}, sig</w:t>
      </w:r>
      <w:r>
        <w:rPr>
          <w:rFonts w:ascii="Cambria" w:cs="Cambria" w:eastAsia="Cambria" w:hAnsi="Cambria"/>
          <w:color w:val="C00000"/>
          <w:sz w:val="21"/>
          <w:szCs w:val="21"/>
          <w:vertAlign w:val="subscript"/>
        </w:rPr>
        <w:t xml:space="preserve">a</w:t>
      </w:r>
      <w:r>
        <w:rPr>
          <w:rFonts w:ascii="Cambria" w:cs="Cambria" w:eastAsia="Cambria" w:hAnsi="Cambria"/>
          <w:color w:val="C00000"/>
          <w:sz w:val="21"/>
          <w:szCs w:val="21"/>
        </w:rPr>
        <w:t xml:space="preserve">)   ▷ off-chain recovery</w:t>
      </w:r>
    </w:p>
    <w:p>
      <w:pPr>
        <w:spacing w:after="20"/>
        <w:ind w:left="240"/>
      </w:pPr>
      <w:r>
        <w:rPr>
          <w:rFonts w:ascii="Cambria" w:cs="Cambria" w:eastAsia="Cambria" w:hAnsi="Cambria"/>
          <w:color w:val="C00000"/>
          <w:sz w:val="18"/>
          <w:szCs w:val="18"/>
        </w:rPr>
        <w:t xml:space="preserve">3: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signer ≠ Addr(g), or the signature binds a different consent, guardian, or chain </w:t>
      </w:r>
      <w:r>
        <w:rPr>
          <w:rFonts w:ascii="Cambria" w:cs="Cambria" w:eastAsia="Cambria" w:hAnsi="Cambria"/>
          <w:b/>
          <w:bCs/>
          <w:color w:val="C00000"/>
          <w:sz w:val="21"/>
          <w:szCs w:val="21"/>
        </w:rPr>
        <w:t xml:space="preserve">then</w:t>
      </w:r>
    </w:p>
    <w:p>
      <w:pPr>
        <w:spacing w:after="20"/>
        <w:ind w:left="600"/>
      </w:pPr>
      <w:r>
        <w:rPr>
          <w:rFonts w:ascii="Cambria" w:cs="Cambria" w:eastAsia="Cambria" w:hAnsi="Cambria"/>
          <w:color w:val="555555"/>
          <w:sz w:val="18"/>
          <w:szCs w:val="18"/>
        </w:rPr>
        <w:t xml:space="preserve">4: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12: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13: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end if</w:t>
      </w:r>
    </w:p>
    <w:p>
      <w:pPr>
        <w:spacing w:after="20"/>
        <w:ind w:left="240"/>
      </w:pPr>
      <w:r>
        <w:rPr>
          <w:rFonts w:ascii="Cambria" w:cs="Cambria" w:eastAsia="Cambria" w:hAnsi="Cambria"/>
          <w:color w:val="C00000"/>
          <w:sz w:val="18"/>
          <w:szCs w:val="18"/>
        </w:rPr>
        <w:t xml:space="preserve">15:  </w:t>
      </w:r>
      <w:r>
        <w:rPr>
          <w:rFonts w:ascii="Cambria" w:cs="Cambria" w:eastAsia="Cambria" w:hAnsi="Cambria"/>
          <w:color w:val="C00000"/>
          <w:sz w:val="21"/>
          <w:szCs w:val="21"/>
        </w:rPr>
        <w:t xml:space="preserve">Record signature_data[g] ← (signer, sig</w:t>
      </w:r>
      <w:r>
        <w:rPr>
          <w:rFonts w:ascii="Cambria" w:cs="Cambria" w:eastAsia="Cambria" w:hAnsi="Cambria"/>
          <w:color w:val="C00000"/>
          <w:sz w:val="21"/>
          <w:szCs w:val="21"/>
          <w:vertAlign w:val="subscript"/>
        </w:rPr>
        <w:t xml:space="preserve">a</w:t>
      </w:r>
      <w:r>
        <w:rPr>
          <w:rFonts w:ascii="Cambria" w:cs="Cambria" w:eastAsia="Cambria" w:hAnsi="Cambria"/>
          <w:color w:val="C00000"/>
          <w:sz w:val="21"/>
          <w:szCs w:val="21"/>
        </w:rPr>
        <w:t xml:space="preserv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C00000"/>
          <w:sz w:val="18"/>
          <w:szCs w:val="18"/>
        </w:rPr>
        <w:t xml:space="preserve">19:  </w:t>
      </w:r>
      <w:r>
        <w:rPr>
          <w:rFonts w:ascii="Cambria" w:cs="Cambria" w:eastAsia="Cambria" w:hAnsi="Cambria"/>
          <w:color w:val="C00000"/>
          <w:sz w:val="21"/>
          <w:szCs w:val="21"/>
        </w:rPr>
        <w:t xml:space="preserve">state ← PENDING_TOKEN</w:t>
      </w:r>
    </w:p>
    <w:p>
      <w:pPr>
        <w:spacing w:after="20"/>
        <w:ind w:left="600"/>
      </w:pPr>
      <w:r>
        <w:rPr>
          <w:rFonts w:ascii="Cambria" w:cs="Cambria" w:eastAsia="Cambria" w:hAnsi="Cambria"/>
          <w:color w:val="C00000"/>
          <w:sz w:val="18"/>
          <w:szCs w:val="18"/>
        </w:rPr>
        <w:t xml:space="preserve">19a:  </w:t>
      </w:r>
      <w:r>
        <w:rPr>
          <w:rFonts w:ascii="Cambria" w:cs="Cambria" w:eastAsia="Cambria" w:hAnsi="Cambria"/>
          <w:color w:val="C00000"/>
          <w:sz w:val="21"/>
          <w:szCs w:val="21"/>
        </w:rPr>
        <w:t xml:space="preserve">submit mintConsentV3(addr</w:t>
      </w:r>
      <w:r>
        <w:rPr>
          <w:rFonts w:ascii="Cambria" w:cs="Cambria" w:eastAsia="Cambria" w:hAnsi="Cambria"/>
          <w:color w:val="C00000"/>
          <w:sz w:val="21"/>
          <w:szCs w:val="21"/>
          <w:vertAlign w:val="subscript"/>
        </w:rPr>
        <w:t xml:space="preserve">p</w:t>
      </w:r>
      <w:r>
        <w:rPr>
          <w:rFonts w:ascii="Cambria" w:cs="Cambria" w:eastAsia="Cambria" w:hAnsi="Cambria"/>
          <w:color w:val="C00000"/>
          <w:sz w:val="21"/>
          <w:szCs w:val="21"/>
        </w:rPr>
        <w:t xml:space="preserve">, addr</w:t>
      </w:r>
      <w:r>
        <w:rPr>
          <w:rFonts w:ascii="Cambria" w:cs="Cambria" w:eastAsia="Cambria" w:hAnsi="Cambria"/>
          <w:color w:val="C00000"/>
          <w:sz w:val="21"/>
          <w:szCs w:val="21"/>
          <w:vertAlign w:val="subscript"/>
        </w:rPr>
        <w:t xml:space="preserve">r</w:t>
      </w:r>
      <w:r>
        <w:rPr>
          <w:rFonts w:ascii="Cambria" w:cs="Cambria" w:eastAsia="Cambria" w:hAnsi="Cambria"/>
          <w:color w:val="C00000"/>
          <w:sz w:val="21"/>
          <w:szCs w:val="21"/>
        </w:rPr>
        <w:t xml:space="preserve">, keccak(P</w:t>
      </w:r>
      <w:r>
        <w:rPr>
          <w:rFonts w:ascii="Cambria" w:cs="Cambria" w:eastAsia="Cambria" w:hAnsi="Cambria"/>
          <w:color w:val="C00000"/>
          <w:sz w:val="21"/>
          <w:szCs w:val="21"/>
          <w:vertAlign w:val="subscript"/>
        </w:rPr>
        <w:t xml:space="preserve">u</w:t>
      </w:r>
      <w:r>
        <w:rPr>
          <w:rFonts w:ascii="Cambria" w:cs="Cambria" w:eastAsia="Cambria" w:hAnsi="Cambria"/>
          <w:color w:val="C00000"/>
          <w:sz w:val="21"/>
          <w:szCs w:val="21"/>
        </w:rPr>
        <w:t xml:space="preserve">), t</w:t>
      </w:r>
      <w:r>
        <w:rPr>
          <w:rFonts w:ascii="Cambria" w:cs="Cambria" w:eastAsia="Cambria" w:hAnsi="Cambria"/>
          <w:color w:val="C00000"/>
          <w:sz w:val="21"/>
          <w:szCs w:val="21"/>
          <w:vertAlign w:val="subscript"/>
        </w:rPr>
        <w:t xml:space="preserve">s</w:t>
      </w:r>
      <w:r>
        <w:rPr>
          <w:rFonts w:ascii="Cambria" w:cs="Cambria" w:eastAsia="Cambria" w:hAnsi="Cambria"/>
          <w:color w:val="C00000"/>
          <w:sz w:val="21"/>
          <w:szCs w:val="21"/>
        </w:rPr>
        <w:t xml:space="preserve">, t</w:t>
      </w:r>
      <w:r>
        <w:rPr>
          <w:rFonts w:ascii="Cambria" w:cs="Cambria" w:eastAsia="Cambria" w:hAnsi="Cambria"/>
          <w:color w:val="C00000"/>
          <w:sz w:val="21"/>
          <w:szCs w:val="21"/>
          <w:vertAlign w:val="subscript"/>
        </w:rPr>
        <w:t xml:space="preserve">e</w:t>
      </w:r>
      <w:r>
        <w:rPr>
          <w:rFonts w:ascii="Cambria" w:cs="Cambria" w:eastAsia="Cambria" w:hAnsi="Cambria"/>
          <w:color w:val="C00000"/>
          <w:sz w:val="21"/>
          <w:szCs w:val="21"/>
        </w:rPr>
        <w:t xml:space="preserve">, L, burnAuth) via the owner account   ▷ background job; reconciled on next lookup</w:t>
      </w:r>
    </w:p>
    <w:p>
      <w:pPr>
        <w:spacing w:after="20"/>
        <w:ind w:left="600"/>
      </w:pPr>
      <w:r>
        <w:rPr>
          <w:rFonts w:ascii="Cambria" w:cs="Cambria" w:eastAsia="Cambria" w:hAnsi="Cambria"/>
          <w:color w:val="C00000"/>
          <w:sz w:val="18"/>
          <w:szCs w:val="18"/>
        </w:rPr>
        <w:t xml:space="preserve">19b:  </w:t>
      </w:r>
      <w:r>
        <w:rPr>
          <w:rFonts w:ascii="Cambria" w:cs="Cambria" w:eastAsia="Cambria" w:hAnsi="Cambria"/>
          <w:color w:val="C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20: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C00000"/>
          <w:sz w:val="18"/>
          <w:szCs w:val="18"/>
        </w:rPr>
        <w:t xml:space="preserve">21:  </w:t>
      </w:r>
      <w:r>
        <w:rPr>
          <w:rFonts w:ascii="Cambria" w:cs="Cambria" w:eastAsia="Cambria" w:hAnsi="Cambria"/>
          <w:b/>
          <w:bCs/>
          <w:color w:val="C00000"/>
          <w:sz w:val="21"/>
          <w:szCs w:val="21"/>
        </w:rPr>
        <w:t xml:space="preserve">return</w:t>
      </w:r>
      <w:r>
        <w:rPr>
          <w:rFonts w:ascii="Cambria" w:cs="Cambria" w:eastAsia="Cambria" w:hAnsi="Cambria"/>
          <w:color w:val="C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24: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26: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current stage research on authorisation decision is</w:t>
      </w:r>
    </w:p>
    <w:p>
      <w:pPr>
        <w:tabs>
          <w:tab w:val="right" w:pos="9360"/>
        </w:tabs>
        <w:spacing w:after="160" w:before="60"/>
        <w:jc w:val="center"/>
      </w:pPr>
      <w:r>
        <w:rPr>
          <w:rFonts w:ascii="Cambria Math" w:cs="Cambria Math" w:eastAsia="Cambria Math" w:hAnsi="Cambria Math"/>
          <w:i/>
          <w:iCs/>
          <w:color w:val="C00000"/>
          <w:sz w:val="22"/>
          <w:szCs w:val="22"/>
        </w:rPr>
        <w:t xml:space="preserve">Decision(C, R, t) = ALLOW ⟺ V</w:t>
      </w:r>
      <w:r>
        <w:rPr>
          <w:rFonts w:ascii="Cambria Math" w:cs="Cambria Math" w:eastAsia="Cambria Math" w:hAnsi="Cambria Math"/>
          <w:i/>
          <w:iCs/>
          <w:color w:val="C00000"/>
          <w:sz w:val="22"/>
          <w:szCs w:val="22"/>
          <w:vertAlign w:val="subscript"/>
        </w:rPr>
        <w:t xml:space="preserve">I</w:t>
      </w:r>
      <w:r>
        <w:rPr>
          <w:rFonts w:ascii="Cambria Math" w:cs="Cambria Math" w:eastAsia="Cambria Math" w:hAnsi="Cambria Math"/>
          <w:i/>
          <w:iCs/>
          <w:color w:val="C00000"/>
          <w:sz w:val="22"/>
          <w:szCs w:val="22"/>
        </w:rPr>
        <w:t xml:space="preserve"> ∧ V</w:t>
      </w:r>
      <w:r>
        <w:rPr>
          <w:rFonts w:ascii="Cambria Math" w:cs="Cambria Math" w:eastAsia="Cambria Math" w:hAnsi="Cambria Math"/>
          <w:i/>
          <w:iCs/>
          <w:color w:val="C00000"/>
          <w:sz w:val="22"/>
          <w:szCs w:val="22"/>
          <w:vertAlign w:val="subscript"/>
        </w:rPr>
        <w:t xml:space="preserve">A</w:t>
      </w:r>
      <w:r>
        <w:rPr>
          <w:rFonts w:ascii="Cambria Math" w:cs="Cambria Math" w:eastAsia="Cambria Math" w:hAnsi="Cambria Math"/>
          <w:i/>
          <w:iCs/>
          <w:color w:val="C00000"/>
          <w:sz w:val="22"/>
          <w:szCs w:val="22"/>
        </w:rPr>
        <w:t xml:space="preserve"> ∧ V</w:t>
      </w:r>
      <w:r>
        <w:rPr>
          <w:rFonts w:ascii="Cambria Math" w:cs="Cambria Math" w:eastAsia="Cambria Math" w:hAnsi="Cambria Math"/>
          <w:i/>
          <w:iCs/>
          <w:color w:val="C00000"/>
          <w:sz w:val="22"/>
          <w:szCs w:val="22"/>
          <w:vertAlign w:val="subscript"/>
        </w:rPr>
        <w:t xml:space="preserve">P</w:t>
      </w:r>
      <w:r>
        <w:rPr>
          <w:rFonts w:ascii="Cambria Math" w:cs="Cambria Math" w:eastAsia="Cambria Math" w:hAnsi="Cambria Math"/>
          <w:i/>
          <w:iCs/>
          <w:color w:val="C00000"/>
          <w:sz w:val="22"/>
          <w:szCs w:val="22"/>
        </w:rPr>
        <w:t xml:space="preserve"> ∧ V</w:t>
      </w:r>
      <w:r>
        <w:rPr>
          <w:rFonts w:ascii="Cambria Math" w:cs="Cambria Math" w:eastAsia="Cambria Math" w:hAnsi="Cambria Math"/>
          <w:i/>
          <w:iCs/>
          <w:color w:val="C00000"/>
          <w:sz w:val="22"/>
          <w:szCs w:val="22"/>
          <w:vertAlign w:val="subscript"/>
        </w:rPr>
        <w:t xml:space="preserve">T</w:t>
      </w:r>
      <w:r>
        <w:rPr>
          <w:rFonts w:ascii="Cambria Math" w:cs="Cambria Math" w:eastAsia="Cambria Math" w:hAnsi="Cambria Math"/>
          <w:i/>
          <w:iCs/>
          <w:color w:val="C00000"/>
          <w:sz w:val="22"/>
          <w:szCs w:val="22"/>
        </w:rPr>
        <w:t xml:space="preserve"> ∧ V</w:t>
      </w:r>
      <w:r>
        <w:rPr>
          <w:rFonts w:ascii="Cambria Math" w:cs="Cambria Math" w:eastAsia="Cambria Math" w:hAnsi="Cambria Math"/>
          <w:i/>
          <w:iCs/>
          <w:color w:val="C00000"/>
          <w:sz w:val="22"/>
          <w:szCs w:val="22"/>
          <w:vertAlign w:val="subscript"/>
        </w:rPr>
        <w:t xml:space="preserve">L</w:t>
      </w:r>
      <w:r>
        <w:rPr>
          <w:rFonts w:ascii="Cambria" w:cs="Cambria" w:eastAsia="Cambria" w:hAnsi="Cambria"/>
          <w:color w:val="C00000"/>
          <w:sz w:val="22"/>
          <w:szCs w:val="22"/>
        </w:rPr>
        <w:t xml:space="preserve">	(59)</w:t>
      </w:r>
    </w:p>
    <w:p>
      <w:pPr>
        <w:spacing w:after="140" w:line="300"/>
        <w:jc w:val="both"/>
      </w:pPr>
      <w:r>
        <w:rPr>
          <w:rFonts w:ascii="Cambria" w:cs="Cambria" w:eastAsia="Cambria" w:hAnsi="Cambria"/>
          <w:color w:val="C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0: RO4 workflow for policy- and context-aware access control" title="Figure 10: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RO4 workflow for policy- and context-aware access control</w:t>
      </w:r>
    </w:p>
    <w:p>
      <w:pPr>
        <w:pStyle w:val="Heading3"/>
        <w:spacing w:after="160" w:before="280"/>
      </w:pPr>
      <w:r>
        <w:t xml:space="preserve">6.4.2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C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VALID. If any mandatory condition fails, the procedure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 Consent → Identity → Authority → Policy → Temporal/Lifecycle Validation → Access</w:t>
      </w:r>
    </w:p>
    <w:p>
      <w:pPr>
        <w:spacing w:after="140" w:line="300"/>
        <w:jc w:val="both"/>
      </w:pPr>
      <w:r>
        <w:rPr>
          <w:rFonts w:ascii="Cambria" w:cs="Cambria" w:eastAsia="Cambria" w:hAnsi="Cambria"/>
          <w:color w:val="C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6.4.3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C00000"/>
          <w:sz w:val="18"/>
          <w:szCs w:val="18"/>
        </w:rPr>
        <w:t xml:space="preserve">22: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S</w:t>
      </w:r>
      <w:r>
        <w:rPr>
          <w:rFonts w:ascii="Cambria" w:cs="Cambria" w:eastAsia="Cambria" w:hAnsi="Cambria"/>
          <w:color w:val="C00000"/>
          <w:sz w:val="21"/>
          <w:szCs w:val="21"/>
          <w:vertAlign w:val="subscript"/>
        </w:rPr>
        <w:t xml:space="preserve">R</w:t>
      </w:r>
      <w:r>
        <w:rPr>
          <w:rFonts w:ascii="Cambria" w:cs="Cambria" w:eastAsia="Cambria" w:hAnsi="Cambria"/>
          <w:color w:val="C00000"/>
          <w:sz w:val="21"/>
          <w:szCs w:val="21"/>
        </w:rPr>
        <w:t xml:space="preserve"> = ∅ or S</w:t>
      </w:r>
      <w:r>
        <w:rPr>
          <w:rFonts w:ascii="Cambria" w:cs="Cambria" w:eastAsia="Cambria" w:hAnsi="Cambria"/>
          <w:color w:val="C00000"/>
          <w:sz w:val="21"/>
          <w:szCs w:val="21"/>
          <w:vertAlign w:val="subscript"/>
        </w:rPr>
        <w:t xml:space="preserve">R</w:t>
      </w:r>
      <w:r>
        <w:rPr>
          <w:rFonts w:ascii="Cambria" w:cs="Cambria" w:eastAsia="Cambria" w:hAnsi="Cambria"/>
          <w:color w:val="C00000"/>
          <w:sz w:val="21"/>
          <w:szCs w:val="21"/>
        </w:rPr>
        <w:t xml:space="preserve"> ⊈ S</w:t>
      </w:r>
      <w:r>
        <w:rPr>
          <w:rFonts w:ascii="Cambria" w:cs="Cambria" w:eastAsia="Cambria" w:hAnsi="Cambria"/>
          <w:color w:val="C00000"/>
          <w:sz w:val="21"/>
          <w:szCs w:val="21"/>
          <w:vertAlign w:val="subscript"/>
        </w:rPr>
        <w:t xml:space="preserve">C</w:t>
      </w:r>
      <w:r>
        <w:rPr>
          <w:rFonts w:ascii="Cambria" w:cs="Cambria" w:eastAsia="Cambria" w:hAnsi="Cambria"/>
          <w:color w:val="C00000"/>
          <w:sz w:val="21"/>
          <w:szCs w:val="21"/>
        </w:rPr>
        <w:t xml:space="preserve"> </w:t>
      </w:r>
      <w:r>
        <w:rPr>
          <w:rFonts w:ascii="Cambria" w:cs="Cambria" w:eastAsia="Cambria" w:hAnsi="Cambria"/>
          <w:b/>
          <w:bCs/>
          <w:color w:val="C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C00000"/>
          <w:sz w:val="18"/>
          <w:szCs w:val="18"/>
        </w:rPr>
        <w:t xml:space="preserve">25a: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t &lt; t</w:t>
      </w:r>
      <w:r>
        <w:rPr>
          <w:rFonts w:ascii="Cambria" w:cs="Cambria" w:eastAsia="Cambria" w:hAnsi="Cambria"/>
          <w:color w:val="C00000"/>
          <w:sz w:val="21"/>
          <w:szCs w:val="21"/>
          <w:vertAlign w:val="subscript"/>
        </w:rPr>
        <w:t xml:space="preserve">s</w:t>
      </w:r>
      <w:r>
        <w:rPr>
          <w:rFonts w:ascii="Cambria" w:cs="Cambria" w:eastAsia="Cambria" w:hAnsi="Cambria"/>
          <w:color w:val="C00000"/>
          <w:sz w:val="21"/>
          <w:szCs w:val="21"/>
        </w:rPr>
        <w:t xml:space="preserve"> or t &gt; t</w:t>
      </w:r>
      <w:r>
        <w:rPr>
          <w:rFonts w:ascii="Cambria" w:cs="Cambria" w:eastAsia="Cambria" w:hAnsi="Cambria"/>
          <w:color w:val="C00000"/>
          <w:sz w:val="21"/>
          <w:szCs w:val="21"/>
          <w:vertAlign w:val="subscript"/>
        </w:rPr>
        <w:t xml:space="preserve">e</w:t>
      </w:r>
      <w:r>
        <w:rPr>
          <w:rFonts w:ascii="Cambria" w:cs="Cambria" w:eastAsia="Cambria" w:hAnsi="Cambria"/>
          <w:color w:val="C00000"/>
          <w:sz w:val="21"/>
          <w:szCs w:val="21"/>
        </w:rPr>
        <w:t xml:space="preserve"> </w:t>
      </w:r>
      <w:r>
        <w:rPr>
          <w:rFonts w:ascii="Cambria" w:cs="Cambria" w:eastAsia="Cambria" w:hAnsi="Cambria"/>
          <w:b/>
          <w:bCs/>
          <w:color w:val="C00000"/>
          <w:sz w:val="21"/>
          <w:szCs w:val="21"/>
        </w:rPr>
        <w:t xml:space="preserve">then</w:t>
      </w:r>
      <w:r>
        <w:rPr>
          <w:rFonts w:ascii="Cambria" w:cs="Cambria" w:eastAsia="Cambria" w:hAnsi="Cambria"/>
          <w:color w:val="C00000"/>
          <w:sz w:val="21"/>
          <w:szCs w:val="21"/>
        </w:rPr>
        <w:t xml:space="preserve"> Record denied decision; </w:t>
      </w:r>
      <w:r>
        <w:rPr>
          <w:rFonts w:ascii="Cambria" w:cs="Cambria" w:eastAsia="Cambria" w:hAnsi="Cambria"/>
          <w:b/>
          <w:bCs/>
          <w:color w:val="C00000"/>
          <w:sz w:val="21"/>
          <w:szCs w:val="21"/>
        </w:rPr>
        <w:t xml:space="preserve">return</w:t>
      </w:r>
      <w:r>
        <w:rPr>
          <w:rFonts w:ascii="Cambria" w:cs="Cambria" w:eastAsia="Cambria" w:hAnsi="Cambria"/>
          <w:color w:val="C00000"/>
          <w:sz w:val="21"/>
          <w:szCs w:val="21"/>
        </w:rPr>
        <w:t xml:space="preserve"> DENY </w:t>
      </w:r>
      <w:r>
        <w:rPr>
          <w:rFonts w:ascii="Cambria" w:cs="Cambria" w:eastAsia="Cambria" w:hAnsi="Cambria"/>
          <w:b/>
          <w:bCs/>
          <w:color w:val="C00000"/>
          <w:sz w:val="21"/>
          <w:szCs w:val="21"/>
        </w:rPr>
        <w:t xml:space="preserve">end if</w:t>
      </w:r>
    </w:p>
    <w:p>
      <w:pPr>
        <w:spacing w:after="20"/>
        <w:ind w:left="240"/>
      </w:pPr>
      <w:r>
        <w:rPr>
          <w:rFonts w:ascii="Cambria" w:cs="Cambria" w:eastAsia="Cambria" w:hAnsi="Cambria"/>
          <w:color w:val="C00000"/>
          <w:sz w:val="18"/>
          <w:szCs w:val="18"/>
        </w:rPr>
        <w:t xml:space="preserve">25b: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Jur(R) ≠ Jur(C) </w:t>
      </w:r>
      <w:r>
        <w:rPr>
          <w:rFonts w:ascii="Cambria" w:cs="Cambria" w:eastAsia="Cambria" w:hAnsi="Cambria"/>
          <w:b/>
          <w:bCs/>
          <w:color w:val="C00000"/>
          <w:sz w:val="21"/>
          <w:szCs w:val="21"/>
        </w:rPr>
        <w:t xml:space="preserve">then</w:t>
      </w:r>
      <w:r>
        <w:rPr>
          <w:rFonts w:ascii="Cambria" w:cs="Cambria" w:eastAsia="Cambria" w:hAnsi="Cambria"/>
          <w:color w:val="C00000"/>
          <w:sz w:val="21"/>
          <w:szCs w:val="21"/>
        </w:rPr>
        <w:t xml:space="preserve"> Record denied decision; </w:t>
      </w:r>
      <w:r>
        <w:rPr>
          <w:rFonts w:ascii="Cambria" w:cs="Cambria" w:eastAsia="Cambria" w:hAnsi="Cambria"/>
          <w:b/>
          <w:bCs/>
          <w:color w:val="C00000"/>
          <w:sz w:val="21"/>
          <w:szCs w:val="21"/>
        </w:rPr>
        <w:t xml:space="preserve">return</w:t>
      </w:r>
      <w:r>
        <w:rPr>
          <w:rFonts w:ascii="Cambria" w:cs="Cambria" w:eastAsia="Cambria" w:hAnsi="Cambria"/>
          <w:color w:val="C00000"/>
          <w:sz w:val="21"/>
          <w:szCs w:val="21"/>
        </w:rPr>
        <w:t xml:space="preserve"> DENY </w:t>
      </w:r>
      <w:r>
        <w:rPr>
          <w:rFonts w:ascii="Cambria" w:cs="Cambria" w:eastAsia="Cambria" w:hAnsi="Cambria"/>
          <w:b/>
          <w:bCs/>
          <w:color w:val="C00000"/>
          <w:sz w:val="21"/>
          <w:szCs w:val="21"/>
        </w:rPr>
        <w:t xml:space="preserve">end if</w:t>
      </w:r>
    </w:p>
    <w:p>
      <w:pPr>
        <w:spacing w:after="20"/>
        <w:ind w:left="240"/>
      </w:pPr>
      <w:r>
        <w:rPr>
          <w:rFonts w:ascii="Cambria" w:cs="Cambria" w:eastAsia="Cambria" w:hAnsi="Cambria"/>
          <w:color w:val="C00000"/>
          <w:sz w:val="18"/>
          <w:szCs w:val="18"/>
        </w:rPr>
        <w:t xml:space="preserve">26:  </w:t>
      </w:r>
      <w:r>
        <w:rPr>
          <w:rFonts w:ascii="Cambria" w:cs="Cambria" w:eastAsia="Cambria" w:hAnsi="Cambria"/>
          <w:color w:val="C00000"/>
          <w:sz w:val="21"/>
          <w:szCs w:val="21"/>
        </w:rPr>
        <w:t xml:space="preserve">Generate and verify a Groth16 proof that Poseidon(secret, expiry) equals the public commitment and that t ≤ t</w:t>
      </w:r>
      <w:r>
        <w:rPr>
          <w:rFonts w:ascii="Cambria" w:cs="Cambria" w:eastAsia="Cambria" w:hAnsi="Cambria"/>
          <w:color w:val="C00000"/>
          <w:sz w:val="21"/>
          <w:szCs w:val="21"/>
          <w:vertAlign w:val="subscript"/>
        </w:rPr>
        <w:t xml:space="preserve">e</w:t>
      </w:r>
      <w:r>
        <w:rPr>
          <w:rFonts w:ascii="Cambria" w:cs="Cambria" w:eastAsia="Cambria" w:hAnsi="Cambria"/>
          <w:color w:val="C00000"/>
          <w:sz w:val="21"/>
          <w:szCs w:val="21"/>
        </w:rPr>
        <w:t xml:space="preserve">; record proof_mode = groth16</w:t>
      </w:r>
    </w:p>
    <w:p>
      <w:pPr>
        <w:spacing w:after="20"/>
        <w:ind w:left="240"/>
      </w:pPr>
      <w:r>
        <w:rPr>
          <w:rFonts w:ascii="Cambria" w:cs="Cambria" w:eastAsia="Cambria" w:hAnsi="Cambria"/>
          <w:color w:val="555555"/>
          <w:sz w:val="18"/>
          <w:szCs w:val="18"/>
        </w:rPr>
        <w:t xml:space="preserve">27: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28: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6.4.4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C00000"/>
          <w:sz w:val="24"/>
          <w:szCs w:val="24"/>
        </w:rPr>
        <w:t xml:space="preserve">which means the requested purpose is required to satisfy the privacy constraint P</w:t>
      </w:r>
      <w:r>
        <w:rPr>
          <w:rFonts w:ascii="Cambria" w:cs="Cambria" w:eastAsia="Cambria" w:hAnsi="Cambria"/>
          <w:color w:val="C00000"/>
          <w:sz w:val="24"/>
          <w:szCs w:val="24"/>
          <w:vertAlign w:val="subscript"/>
        </w:rPr>
        <w:t xml:space="preserve">C</w:t>
      </w:r>
      <w:r>
        <w:rPr>
          <w:rFonts w:ascii="Cambria" w:cs="Cambria" w:eastAsia="Cambria" w:hAnsi="Cambria"/>
          <w:color w:val="C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C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C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C00000"/>
          <w:sz w:val="24"/>
          <w:szCs w:val="24"/>
        </w:rPr>
        <w:t xml:space="preserve">In the demonstrated prototype, purpose compatibility is evaluated as an exact match against the consent purpose, which is stored on-chain as keccak256(purpose). Therefore, a formal proof that no execution path can violate the privacy policy is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40" w:before="60"/>
      </w:pPr>
      <w:r>
        <w:rPr>
          <w:rFonts w:ascii="Cambria" w:cs="Cambria" w:eastAsia="Cambria" w:hAnsi="Cambria"/>
          <w:b/>
          <w:bCs/>
          <w:color w:val="C00000"/>
          <w:sz w:val="18"/>
          <w:szCs w:val="18"/>
        </w:rPr>
        <w:t xml:space="preserve">[GENERATED ADDITION — Figure A, implemented consent lifecycle (companion to HALAH Implementation v1.3, Section 6)]</w:t>
      </w:r>
    </w:p>
    <w:p>
      <w:pPr>
        <w:keepNext/>
        <w:spacing w:after="60" w:before="140"/>
        <w:jc w:val="center"/>
      </w:pPr>
      <w:r>
        <w:drawing>
          <wp:inline distT="0" distB="0" distL="0" distR="0">
            <wp:extent cx="5715000" cy="2009775"/>
            <wp:effectExtent t="0" r="0" b="0" l="0"/>
            <wp:docPr id="1" name="lifecycle.png" descr="Figure A: The implemented consent lifecycle: every consent progresses through controlled states, and the activating and revoking transitions are anchored as verifiable Sepolia transactions (blocks 11,771,243 and 11,771,307)." title="Figure A: The implemented consent lifecycle: every consent progresses through controlled states, and the activating and revoking transitions are anchored as verifiable Sepolia transactions (blocks 11,771,243 and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A: The implemented consent lifecycle: every consent progresses through controlled states, and the activating and revoking transitions are anchored as verifiable Sepolia transactions (blocks 11,771,243 and 11,771,307).</w:t>
      </w:r>
    </w:p>
    <w:p>
      <w:pPr>
        <w:spacing w:after="140" w:line="300"/>
        <w:jc w:val="both"/>
      </w:pPr>
      <w:r>
        <w:rPr>
          <w:rFonts w:ascii="Cambria" w:cs="Cambria" w:eastAsia="Cambria" w:hAnsi="Cambria"/>
          <w:sz w:val="24"/>
          <w:szCs w:val="24"/>
        </w:rPr>
        <w:t xml:space="preserve">RO5 addresses RQ5 and extends the foundational current stage works on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spacing w:after="140" w:line="300"/>
        <w:jc w:val="both"/>
      </w:pPr>
      <w:r>
        <w:rPr>
          <w:rFonts w:ascii="Cambria" w:cs="Cambria" w:eastAsia="Cambria" w:hAnsi="Cambria"/>
          <w:color w:val="C00000"/>
          <w:sz w:val="24"/>
          <w:szCs w:val="24"/>
        </w:rPr>
        <w:t xml:space="preserve">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(C, R) = 1 ⟺ Jur(R) = Jur(C) ∨ Jur(C) = ∅, where Jur(·) denotes the jurisdiction attribute, recorded on-chain as a two-letter ISO code, and where lifecycle state and revocation are evaluated within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rather than within this predicate. This is important because it is precisely this check that produced the demonstrated denial in which a request declaring jurisdiction SA was refused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color w:val="C00000"/>
          <w:sz w:val="24"/>
          <w:szCs w:val="24"/>
        </w:rPr>
        <w:t xml:space="preserve">Temporal and lifecycle enforcement is implemented in the demonstrated prototype. In particular, the Consent Engine evaluates t</w:t>
      </w:r>
      <w:r>
        <w:rPr>
          <w:rFonts w:ascii="Cambria" w:cs="Cambria" w:eastAsia="Cambria" w:hAnsi="Cambria"/>
          <w:color w:val="C00000"/>
          <w:sz w:val="24"/>
          <w:szCs w:val="24"/>
          <w:vertAlign w:val="subscript"/>
        </w:rPr>
        <w:t xml:space="preserve">s</w:t>
      </w:r>
      <w:r>
        <w:rPr>
          <w:rFonts w:ascii="Cambria" w:cs="Cambria" w:eastAsia="Cambria" w:hAnsi="Cambria"/>
          <w:color w:val="C00000"/>
          <w:sz w:val="24"/>
          <w:szCs w:val="24"/>
        </w:rPr>
        <w:t xml:space="preserve"> ≤ t ≤ t</w:t>
      </w:r>
      <w:r>
        <w:rPr>
          <w:rFonts w:ascii="Cambria" w:cs="Cambria" w:eastAsia="Cambria" w:hAnsi="Cambria"/>
          <w:color w:val="C00000"/>
          <w:sz w:val="24"/>
          <w:szCs w:val="24"/>
          <w:vertAlign w:val="subscript"/>
        </w:rPr>
        <w:t xml:space="preserve">e</w:t>
      </w:r>
      <w:r>
        <w:rPr>
          <w:rFonts w:ascii="Cambria" w:cs="Cambria" w:eastAsia="Cambria" w:hAnsi="Cambria"/>
          <w:color w:val="C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t xml:space="preserve">6.5.2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C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1: RO5 planned workflow for temporal and consent lifecycle trust" title="Figure 11: RO5 planned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RO5 planned workflow for temporal and consent lifecycle trust</w:t>
      </w:r>
    </w:p>
    <w:p>
      <w:pPr>
        <w:spacing w:after="140" w:line="300"/>
        <w:jc w:val="both"/>
      </w:pPr>
      <w:r>
        <w:rPr>
          <w:rFonts w:ascii="Cambria" w:cs="Cambria" w:eastAsia="Cambria" w:hAnsi="Cambria"/>
          <w:sz w:val="24"/>
          <w:szCs w:val="24"/>
        </w:rPr>
        <w:t xml:space="preserve">Algorithm 5 extends the current stage works on decision process by ensuring that consent validity is dynamic rather than permanent.</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140" w:line="300"/>
        <w:jc w:val="both"/>
      </w:pPr>
      <w:r>
        <w:rPr>
          <w:rFonts w:ascii="Cambria" w:cs="Cambria" w:eastAsia="Cambria" w:hAnsi="Cambria"/>
          <w:color w:val="C00000"/>
          <w:sz w:val="24"/>
          <w:szCs w:val="24"/>
        </w:rPr>
        <w:t xml:space="preserve">The empirical half of this objective has been carried out on the demonstrated prototype, whereas formal proofs and model checking of the authorisation properties remain future work. Figure 12 accordingly presents the RO6 workflow for security assurance, in which the empirical branch has been executed and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C00000"/>
          <w:sz w:val="24"/>
          <w:szCs w:val="24"/>
        </w:rPr>
        <w:t xml:space="preserve">Decision(C, R) = ALLOW ⇒ V</w:t>
      </w:r>
      <w:r>
        <w:rPr>
          <w:rFonts w:ascii="Cambria" w:cs="Cambria" w:eastAsia="Cambria" w:hAnsi="Cambria"/>
          <w:color w:val="C00000"/>
          <w:sz w:val="24"/>
          <w:szCs w:val="24"/>
          <w:vertAlign w:val="subscript"/>
        </w:rPr>
        <w:t xml:space="preserve">I</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P</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T</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 where this soundness property is the one actually validated: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2: RO6 planned workflow for formal security assurance and empirical validation" title="Figure 12: RO6 planned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RO6 planned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140" w:line="300"/>
        <w:jc w:val="both"/>
      </w:pPr>
      <w:r>
        <w:rPr>
          <w:rFonts w:ascii="Cambria" w:cs="Cambria" w:eastAsia="Cambria" w:hAnsi="Cambria"/>
          <w:color w:val="C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1) Identity Trust Authority Trust, 2) Collective Authorisation, 3) Policy Compliance, 4)Temporal and Lifecycle Trust. For the current stage implementation, the operational decision is based on</w:t>
      </w:r>
    </w:p>
    <w:p>
      <w:pPr>
        <w:spacing w:after="140" w:line="300"/>
        <w:jc w:val="both"/>
      </w:pPr>
      <w:r>
        <w:rPr>
          <w:rFonts w:ascii="Cambria" w:cs="Cambria" w:eastAsia="Cambria" w:hAnsi="Cambria"/>
          <w:color w:val="C00000"/>
          <w:sz w:val="24"/>
          <w:szCs w:val="24"/>
        </w:rPr>
        <w:t xml:space="preserve">Decision(C, R, t) = ALLOW ⟺ V</w:t>
      </w:r>
      <w:r>
        <w:rPr>
          <w:rFonts w:ascii="Cambria" w:cs="Cambria" w:eastAsia="Cambria" w:hAnsi="Cambria"/>
          <w:color w:val="C00000"/>
          <w:sz w:val="24"/>
          <w:szCs w:val="24"/>
          <w:vertAlign w:val="subscript"/>
        </w:rPr>
        <w:t xml:space="preserve">I</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P</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T</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 where the implemented system enforces this complete rule of Equation (70): access is granted only when all five predicates hold, revocation is evaluated within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and every decision, whether granted or denied, is logged together with the full decision matrix. Equation (69) is retained only as the historical current-stage formulation.</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C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C00000"/>
        </w:rPr>
        <w:t xml:space="preserve">6.8  Implementation and Live Demonstration of the Proposed Solution</w:t>
      </w:r>
    </w:p>
    <w:p>
      <w:pPr>
        <w:spacing w:after="140" w:line="300"/>
        <w:jc w:val="both"/>
      </w:pPr>
      <w:r>
        <w:rPr>
          <w:rFonts w:ascii="Cambria" w:cs="Cambria" w:eastAsia="Cambria" w:hAnsi="Cambria"/>
          <w:color w:val="C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40" w:line="300"/>
        <w:jc w:val="both"/>
      </w:pPr>
      <w:r>
        <w:rPr>
          <w:rFonts w:ascii="Cambria" w:cs="Cambria" w:eastAsia="Cambria" w:hAnsi="Cambria"/>
          <w:color w:val="C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C00000"/>
          <w:sz w:val="24"/>
          <w:szCs w:val="24"/>
        </w:rPr>
        <w:t xml:space="preserve">Ethereum Sepolia</w:t>
      </w:r>
      <w:r>
        <w:rPr>
          <w:rFonts w:ascii="Cambria" w:cs="Cambria" w:eastAsia="Cambria" w:hAnsi="Cambria"/>
          <w:color w:val="C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C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C00000"/>
          <w:sz w:val="22"/>
          <w:szCs w:val="22"/>
        </w:rPr>
        <w:t xml:space="preserve">→ Doctor Access → Consent Revocation → Independent Audit</w:t>
      </w:r>
    </w:p>
    <w:p>
      <w:pPr>
        <w:spacing w:after="140" w:line="300"/>
        <w:jc w:val="both"/>
      </w:pPr>
      <w:r>
        <w:rPr>
          <w:rFonts w:ascii="Cambria" w:cs="Cambria" w:eastAsia="Cambria" w:hAnsi="Cambria"/>
          <w:color w:val="C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C00000"/>
          <w:sz w:val="24"/>
          <w:szCs w:val="24"/>
        </w:rPr>
        <w:t xml:space="preserve">This operational sequence realises the trust-oriented authorisation model developed in the preceding sections of this chapter. The consent object of Eq. (51), the identity and authority verification of Algorithm 2, the threshold-based multi-party authorisation of Algorithm 3, and the trust-predicate evaluation of Figure 5 are each exercised in this workflow by a real transaction on the Ethereum Sepolia test network, so the conceptual model and the running system can be verified against one another.</w:t>
      </w:r>
    </w:p>
    <w:p>
      <w:pPr>
        <w:pStyle w:val="Heading3"/>
        <w:spacing w:after="160" w:before="280"/>
      </w:pPr>
      <w:r>
        <w:rPr>
          <w:color w:val="C00000"/>
        </w:rPr>
        <w:t xml:space="preserve">6.8.1  The HALAH System</w:t>
      </w:r>
    </w:p>
    <w:p>
      <w:pPr>
        <w:spacing w:after="140" w:line="300"/>
        <w:jc w:val="both"/>
      </w:pPr>
      <w:r>
        <w:rPr>
          <w:rFonts w:ascii="Cambria" w:cs="Cambria" w:eastAsia="Cambria" w:hAnsi="Cambria"/>
          <w:color w:val="C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C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C00000"/>
          <w:sz w:val="24"/>
          <w:szCs w:val="24"/>
        </w:rP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3: Compilation of ConsentSBTv3 in Remix: the compiler reports a successful compilation and the contract is selected for deployment." title="Figure 13: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13: Compilation of ConsentSBTv3 in Remix: the compiler reports a successful compilation and the contract is selected for deployment.</w:t>
      </w:r>
    </w:p>
    <w:p>
      <w:pPr>
        <w:spacing w:after="140" w:line="300"/>
        <w:jc w:val="both"/>
      </w:pPr>
      <w:r>
        <w:rPr>
          <w:rFonts w:ascii="Cambria" w:cs="Cambria" w:eastAsia="Cambria" w:hAnsi="Cambria"/>
          <w:color w:val="C00000"/>
          <w:sz w:val="24"/>
          <w:szCs w:val="24"/>
        </w:rPr>
        <w:t xml:space="preserve">As shown in the figure above, the consent token contract, </w:t>
      </w:r>
      <w:r>
        <w:rPr>
          <w:rFonts w:ascii="Cambria" w:cs="Cambria" w:eastAsia="Cambria" w:hAnsi="Cambria"/>
          <w:b/>
          <w:bCs/>
          <w:color w:val="C00000"/>
          <w:sz w:val="24"/>
          <w:szCs w:val="24"/>
        </w:rPr>
        <w:t xml:space="preserve">ConsentSBTv3</w:t>
      </w:r>
      <w:r>
        <w:rPr>
          <w:rFonts w:ascii="Cambria" w:cs="Cambria" w:eastAsia="Cambria" w:hAnsi="Cambria"/>
          <w:color w:val="C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40"/>
        <w:jc w:val="center"/>
      </w:pPr>
      <w:r>
        <w:drawing>
          <wp:inline distT="0" distB="0" distL="0" distR="0">
            <wp:extent cx="5334000" cy="5124450"/>
            <wp:effectExtent t="0" r="0" b="0" l="0"/>
            <wp:docPr id="1" name="g_deploy.png" descr="Figure 14: Deployment of ConsentSBTv3 from Remix through MetaMask on the Sepolia network." title="Figure 14: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14: Deployment of ConsentSBTv3 from Remix through MetaMask on the Sepolia network.</w:t>
      </w:r>
    </w:p>
    <w:p>
      <w:pPr>
        <w:spacing w:after="140" w:line="300"/>
        <w:jc w:val="both"/>
      </w:pPr>
      <w:r>
        <w:rPr>
          <w:rFonts w:ascii="Cambria" w:cs="Cambria" w:eastAsia="Cambria" w:hAnsi="Cambria"/>
          <w:color w:val="C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5: Remix after deployment: the contract appears under Deployed Contracts and the source verification service reports Verification Successful." title="Figure 15: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15: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C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16: The deployed contract on Sepolia Etherscan, with the creator wallet, the MedicalConsent (CONSENT) token tracker and the first mint transaction." title="Figure 16: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16: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C00000"/>
          <w:sz w:val="24"/>
          <w:szCs w:val="24"/>
        </w:rPr>
        <w:t xml:space="preserve">As shown in the figure above, the deployed contract is publicly listed at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C00000"/>
        </w:rPr>
        <w:t xml:space="preserve">6.8.2  Create Smart Consent Contract: Patient Subsystem</w:t>
      </w:r>
    </w:p>
    <w:p>
      <w:pPr>
        <w:spacing w:after="140" w:line="300"/>
        <w:jc w:val="both"/>
      </w:pPr>
      <w:r>
        <w:rPr>
          <w:rFonts w:ascii="Cambria" w:cs="Cambria" w:eastAsia="Cambria" w:hAnsi="Cambria"/>
          <w:color w:val="C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C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C00000"/>
          <w:sz w:val="22"/>
          <w:szCs w:val="22"/>
        </w:rPr>
        <w:t xml:space="preserve">C = (I, A, P, T, L, E)</w:t>
      </w:r>
    </w:p>
    <w:p>
      <w:pPr>
        <w:spacing w:after="140" w:line="300"/>
        <w:jc w:val="both"/>
      </w:pPr>
      <w:r>
        <w:rPr>
          <w:rFonts w:ascii="Cambria" w:cs="Cambria" w:eastAsia="Cambria" w:hAnsi="Cambria"/>
          <w:color w:val="C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spacing w:after="140" w:line="300"/>
        <w:jc w:val="both"/>
      </w:pPr>
      <w:r>
        <w:rPr>
          <w:rFonts w:ascii="Cambria" w:cs="Cambria" w:eastAsia="Cambria" w:hAnsi="Cambria"/>
          <w:color w:val="C00000"/>
          <w:sz w:val="24"/>
          <w:szCs w:val="24"/>
        </w:rPr>
        <w:t xml:space="preserve">The form fields therefore instantiate the consent object defined in Section 6.1. The demonstrated representation extends the four-component object C = (I, A, P, E) of Eq. (51) to C = (I, A, P, T, L, 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17: The patient subsystem after consent creation: four EMR modules, two designated guardians, jurisdiction AU, and the state PENDING_SIGNATURE." title="Figure 17: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17: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C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C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C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C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C00000"/>
          <w:sz w:val="24"/>
          <w:szCs w:val="24"/>
        </w:rPr>
        <w:t xml:space="preserve">Two consent lifecycles appear in the demonstration and should be distinguished. The evaluated consent, f050c29a, was carried through the complete lifecycle — activation as </w:t>
      </w:r>
      <w:r>
        <w:rPr>
          <w:rFonts w:ascii="Cambria" w:cs="Cambria" w:eastAsia="Cambria" w:hAnsi="Cambria"/>
          <w:b/>
          <w:bCs/>
          <w:color w:val="C00000"/>
          <w:sz w:val="24"/>
          <w:szCs w:val="24"/>
        </w:rPr>
        <w:t xml:space="preserve">token #1</w:t>
      </w:r>
      <w:r>
        <w:rPr>
          <w:rFonts w:ascii="Cambria" w:cs="Cambria" w:eastAsia="Cambria" w:hAnsi="Cambria"/>
          <w:color w:val="C00000"/>
          <w:sz w:val="24"/>
          <w:szCs w:val="24"/>
        </w:rP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rFonts w:ascii="Cambria" w:cs="Cambria" w:eastAsia="Cambria" w:hAnsi="Cambria"/>
          <w:b/>
          <w:bCs/>
          <w:color w:val="C00000"/>
          <w:sz w:val="24"/>
          <w:szCs w:val="24"/>
        </w:rPr>
        <w:t xml:space="preserve">token #2</w:t>
      </w:r>
      <w:r>
        <w:rPr>
          <w:rFonts w:ascii="Cambria" w:cs="Cambria" w:eastAsia="Cambria" w:hAnsi="Cambria"/>
          <w:color w:val="C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C00000"/>
          <w:sz w:val="24"/>
          <w:szCs w:val="24"/>
        </w:rPr>
        <w:t xml:space="preserve">From a system perspective, this module therefore corresponds primarily to </w:t>
      </w:r>
      <w:r>
        <w:rPr>
          <w:rFonts w:ascii="Cambria" w:cs="Cambria" w:eastAsia="Cambria" w:hAnsi="Cambria"/>
          <w:b/>
          <w:bCs/>
          <w:color w:val="C00000"/>
          <w:sz w:val="24"/>
          <w:szCs w:val="24"/>
        </w:rPr>
        <w:t xml:space="preserve">Consent Object Construction and Patient Initiation</w:t>
      </w:r>
      <w:r>
        <w:rPr>
          <w:rFonts w:ascii="Cambria" w:cs="Cambria" w:eastAsia="Cambria" w:hAnsi="Cambria"/>
          <w:color w:val="C00000"/>
          <w:sz w:val="24"/>
          <w:szCs w:val="24"/>
        </w:rPr>
        <w:t xml:space="preserve">.</w:t>
      </w:r>
    </w:p>
    <w:p>
      <w:pPr>
        <w:pStyle w:val="Heading3"/>
        <w:spacing w:after="160" w:before="280"/>
      </w:pPr>
      <w:r>
        <w:rPr>
          <w:color w:val="C00000"/>
        </w:rPr>
        <w:t xml:space="preserve">6.8.3  Guardian Cryptographic Approval</w:t>
      </w:r>
    </w:p>
    <w:p>
      <w:pPr>
        <w:spacing w:after="140" w:line="300"/>
        <w:jc w:val="both"/>
      </w:pPr>
      <w:r>
        <w:rPr>
          <w:rFonts w:ascii="Cambria" w:cs="Cambria" w:eastAsia="Cambria" w:hAnsi="Cambria"/>
          <w:color w:val="C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18: The guardian subsystem at the first approval: the EIP-712 signature of did:parent:A is verified and the multi-signature count is 1/2." title="Figure 18: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18: The guardian subsystem at the first approval: the EIP-712 signature of did:parent:A is verified and the multi-signature count is 1/2.</w:t>
      </w:r>
    </w:p>
    <w:p>
      <w:pPr>
        <w:spacing w:after="140" w:line="300"/>
        <w:jc w:val="both"/>
      </w:pPr>
      <w:r>
        <w:rPr>
          <w:rFonts w:ascii="Cambria" w:cs="Cambria" w:eastAsia="Cambria" w:hAnsi="Cambria"/>
          <w:color w:val="C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19: The guardian subsystem at the moment of the second approval: the EIP-712 signature is verified, the 2/2 threshold is reached, the SBT is minted in the local ledger and the Sepolia anchoring starts in the background." title="Figure 19: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19: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C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C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40" w:line="300"/>
        <w:jc w:val="both"/>
      </w:pPr>
      <w:r>
        <w:rPr>
          <w:rFonts w:ascii="Cambria" w:cs="Cambria" w:eastAsia="Cambria" w:hAnsi="Cambria"/>
          <w:color w:val="C00000"/>
          <w:sz w:val="24"/>
          <w:szCs w:val="24"/>
        </w:rPr>
        <w:t xml:space="preserve">The subsystem subsequently reports:</w:t>
      </w:r>
    </w:p>
    <w:p>
      <w:pPr>
        <w:spacing w:after="140" w:line="300"/>
        <w:jc w:val="both"/>
      </w:pPr>
      <w:r>
        <w:rPr>
          <w:rFonts w:ascii="Cambria" w:cs="Cambria" w:eastAsia="Cambria" w:hAnsi="Cambria"/>
          <w:color w:val="C00000"/>
          <w:sz w:val="24"/>
          <w:szCs w:val="24"/>
        </w:rPr>
        <w:t xml:space="preserve">EIP-712 signature verified (signer 0x39B12b87…). Multi-sig: 2/2</w:t>
      </w:r>
    </w:p>
    <w:p>
      <w:pPr>
        <w:spacing w:after="140" w:line="300"/>
        <w:jc w:val="both"/>
      </w:pPr>
      <w:r>
        <w:rPr>
          <w:rFonts w:ascii="Cambria" w:cs="Cambria" w:eastAsia="Cambria" w:hAnsi="Cambria"/>
          <w:color w:val="C00000"/>
          <w:sz w:val="24"/>
          <w:szCs w:val="24"/>
        </w:rP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color w:val="C00000"/>
          <w:sz w:val="22"/>
          <w:szCs w:val="22"/>
        </w:rPr>
        <w:t xml:space="preserve">ALLOW = VI ∧ VA ∧ VP ∧ VT ∧ VL</w:t>
      </w:r>
    </w:p>
    <w:p>
      <w:pPr>
        <w:spacing w:after="140" w:line="300"/>
        <w:jc w:val="both"/>
      </w:pPr>
      <w:r>
        <w:rPr>
          <w:rFonts w:ascii="Cambria" w:cs="Cambria" w:eastAsia="Cambria" w:hAnsi="Cambria"/>
          <w:color w:val="C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C00000"/>
          <w:sz w:val="22"/>
          <w:szCs w:val="22"/>
        </w:rPr>
        <w:t xml:space="preserve">Σ g∈G  Sign(g, C)  ≥  |G| = 2</w:t>
      </w:r>
    </w:p>
    <w:p>
      <w:pPr>
        <w:spacing w:after="140" w:line="300"/>
        <w:jc w:val="both"/>
      </w:pPr>
      <w:r>
        <w:rPr>
          <w:rFonts w:ascii="Cambria" w:cs="Cambria" w:eastAsia="Cambria" w:hAnsi="Cambria"/>
          <w:color w:val="C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0: The guardian subsystem while the mint transaction is pending: the 2/2 threshold is reached but not yet anchored, the anchoring runs in the background, and a repeated signature from the same guardian is refused." title="Figure 20: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20: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C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1: The guardian subsystem revisited after the background job has completed: 'Already anchored on Sepolia - token #2'." title="Figure 21: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21: The guardian subsystem revisited after the background job has completed: 'Already anchored on Sepolia - token #2'.</w:t>
      </w:r>
    </w:p>
    <w:p>
      <w:pPr>
        <w:spacing w:after="140" w:line="300"/>
        <w:jc w:val="both"/>
      </w:pPr>
      <w:r>
        <w:rPr>
          <w:rFonts w:ascii="Cambria" w:cs="Cambria" w:eastAsia="Cambria" w:hAnsi="Cambria"/>
          <w:color w:val="C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2: The anchoring transaction of the evaluated consent on Sepolia Etherscan: status Success, block 11,771,243, 'Mint 1 of MedicalConsent' to the pseudonymous patient address (function selector 0x1e1e7c76, mintConsentV3)." title="Figure 22: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22: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C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at Etherscan: mint transaction. This provides an implementation-level demonstration that consent activation can be verified independently of the application.Etherscan: mint transaction</w:t>
      </w:r>
    </w:p>
    <w:p>
      <w:pPr>
        <w:spacing w:after="140" w:line="300"/>
        <w:jc w:val="both"/>
      </w:pPr>
      <w:r>
        <w:rPr>
          <w:rFonts w:ascii="Cambria" w:cs="Cambria" w:eastAsia="Cambria" w:hAnsi="Cambria"/>
          <w:color w:val="C00000"/>
          <w:sz w:val="24"/>
          <w:szCs w:val="24"/>
        </w:rPr>
        <w:t xml:space="preserve">The guardian subsystem consequently corresponds to </w:t>
      </w:r>
      <w:r>
        <w:rPr>
          <w:rFonts w:ascii="Cambria" w:cs="Cambria" w:eastAsia="Cambria" w:hAnsi="Cambria"/>
          <w:b/>
          <w:bCs/>
          <w:color w:val="C00000"/>
          <w:sz w:val="24"/>
          <w:szCs w:val="24"/>
        </w:rPr>
        <w:t xml:space="preserve">Multi-Party Approval, Cryptographic Verification and Consent Activation</w:t>
      </w:r>
      <w:r>
        <w:rPr>
          <w:rFonts w:ascii="Cambria" w:cs="Cambria" w:eastAsia="Cambria" w:hAnsi="Cambria"/>
          <w:color w:val="C00000"/>
          <w:sz w:val="24"/>
          <w:szCs w:val="24"/>
        </w:rPr>
        <w:t xml:space="preserve"> in the proposed architecture.</w:t>
      </w:r>
    </w:p>
    <w:p>
      <w:pPr>
        <w:pStyle w:val="Heading3"/>
        <w:spacing w:after="160" w:before="280"/>
      </w:pPr>
      <w:r>
        <w:rPr>
          <w:color w:val="C00000"/>
        </w:rPr>
        <w:t xml:space="preserve">6.8.4  Secure Patient Data Access for the Doctor</w:t>
      </w:r>
    </w:p>
    <w:p>
      <w:pPr>
        <w:spacing w:after="140" w:line="300"/>
        <w:jc w:val="both"/>
      </w:pPr>
      <w:r>
        <w:rPr>
          <w:rFonts w:ascii="Cambria" w:cs="Cambria" w:eastAsia="Cambria" w:hAnsi="Cambria"/>
          <w:color w:val="C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C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C00000"/>
          <w:sz w:val="22"/>
          <w:szCs w:val="22"/>
        </w:rPr>
        <w:t xml:space="preserve">State = ACTIVE</w:t>
      </w:r>
    </w:p>
    <w:p>
      <w:pPr>
        <w:spacing w:after="140" w:line="300"/>
        <w:jc w:val="both"/>
      </w:pPr>
      <w:r>
        <w:rPr>
          <w:rFonts w:ascii="Cambria" w:cs="Cambria" w:eastAsia="Cambria" w:hAnsi="Cambria"/>
          <w:color w:val="C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3: The doctor subsystem with requester jurisdiction AU (the evaluated consent f050c29a, captured before its revocation): all five checks report PASS, ALLOW = PASS, and the consent state is ACTIVE." title="Figure 23: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23: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C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40" w:line="300"/>
        <w:jc w:val="both"/>
      </w:pPr>
      <w:r>
        <w:rPr>
          <w:rFonts w:ascii="Cambria" w:cs="Cambria" w:eastAsia="Cambria" w:hAnsi="Cambria"/>
          <w:color w:val="C00000"/>
          <w:sz w:val="24"/>
          <w:szCs w:val="24"/>
        </w:rPr>
        <w:t xml:space="preserve">The five columns of the decision matrix are the operational form of the decision rule Decision(C, R) = ALLOW ⟺ VI(u) ∧ VA(C) ∧ VP(C, R) ∧ VT(C, t) ∧ VL(C), which extends the three-predicate rule of Eq. (59) with the temporal and jurisdictional verdicts.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4: Trust Predicate Evaluation and Authorisation Decision Flow, as enforced by the implemented Consent Engine." title="Figure 24: Trust Predicate Evaluation and Authorisation Decision Flow,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24: Trust Predicate Evaluation and Authorisation Decision Flow, as enforced by the implemented Consent Engine.</w:t>
      </w:r>
    </w:p>
    <w:p>
      <w:pPr>
        <w:spacing w:after="160" w:before="60"/>
        <w:jc w:val="center"/>
      </w:pPr>
      <w:r>
        <w:rPr>
          <w:rFonts w:ascii="Cambria Math" w:cs="Cambria Math" w:eastAsia="Cambria Math" w:hAnsi="Cambria Math"/>
          <w:i/>
          <w:iCs/>
          <w:color w:val="C00000"/>
          <w:sz w:val="22"/>
          <w:szCs w:val="22"/>
        </w:rPr>
        <w:t xml:space="preserve">Scope = { Observation, Medication, Condition, Procedure }</w:t>
      </w:r>
    </w:p>
    <w:p>
      <w:pPr>
        <w:spacing w:after="140" w:line="300"/>
        <w:jc w:val="both"/>
      </w:pPr>
      <w:r>
        <w:rPr>
          <w:rFonts w:ascii="Cambria" w:cs="Cambria" w:eastAsia="Cambria" w:hAnsi="Cambria"/>
          <w:color w:val="C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5: The doctor subsystem after verification (the photographed lifecycle 04da25f5 introduced earlier): access granted and the authorised medical records displayed per EMR module; the Observation module's Download CSV control is visible." title="Figure 25: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25: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26: The remaining authorised modules of the same request: the Condition and Procedure records, with the Condition module's export control visible." title="Figure 26: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26: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C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C00000"/>
          <w:sz w:val="22"/>
          <w:szCs w:val="22"/>
        </w:rPr>
        <w:t xml:space="preserve">Consent → Verification → AccessDecision</w:t>
      </w:r>
    </w:p>
    <w:p>
      <w:pPr>
        <w:spacing w:after="140" w:line="300"/>
        <w:jc w:val="both"/>
      </w:pPr>
      <w:r>
        <w:rPr>
          <w:rFonts w:ascii="Cambria" w:cs="Cambria" w:eastAsia="Cambria" w:hAnsi="Cambria"/>
          <w:color w:val="C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C00000"/>
          <w:sz w:val="24"/>
          <w:szCs w:val="24"/>
        </w:rPr>
        <w:t xml:space="preserve">Thus, the doctor subsystem corresponds to </w:t>
      </w:r>
      <w:r>
        <w:rPr>
          <w:rFonts w:ascii="Cambria" w:cs="Cambria" w:eastAsia="Cambria" w:hAnsi="Cambria"/>
          <w:b/>
          <w:bCs/>
          <w:color w:val="C00000"/>
          <w:sz w:val="24"/>
          <w:szCs w:val="24"/>
        </w:rPr>
        <w:t xml:space="preserve">Consent-State Validation, Scope Enforcement and Authorised Data Access</w:t>
      </w:r>
      <w:r>
        <w:rPr>
          <w:rFonts w:ascii="Cambria" w:cs="Cambria" w:eastAsia="Cambria" w:hAnsi="Cambria"/>
          <w:color w:val="C00000"/>
          <w:sz w:val="24"/>
          <w:szCs w:val="24"/>
        </w:rPr>
        <w:t xml:space="preserve">.</w:t>
      </w:r>
    </w:p>
    <w:p>
      <w:pPr>
        <w:pStyle w:val="Heading3"/>
        <w:spacing w:after="160" w:before="280"/>
      </w:pPr>
      <w:r>
        <w:rPr>
          <w:color w:val="C00000"/>
        </w:rPr>
        <w:t xml:space="preserve">6.8.5  Negative Demonstration: Jurisdiction Violation</w:t>
      </w:r>
    </w:p>
    <w:p>
      <w:pPr>
        <w:spacing w:after="140" w:line="300"/>
        <w:jc w:val="both"/>
      </w:pPr>
      <w:r>
        <w:rPr>
          <w:rFonts w:ascii="Cambria" w:cs="Cambria" w:eastAsia="Cambria" w:hAnsi="Cambria"/>
          <w:color w:val="C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27: The doctor subsystem with requester jurisdiction SA: VL reports FAIL and consequently ALLOW = FAIL, although the consent state remains ACTIVE." title="Figure 27: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27: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C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28: The refused request: 'Security Exception: Access Denied by ZK-Policy. Failed checks: VL'." title="Figure 28: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28: The refused request: 'Security Exception: Access Denied by ZK-Policy. Failed checks: VL'.</w:t>
      </w:r>
    </w:p>
    <w:p>
      <w:pPr>
        <w:spacing w:after="140" w:line="300"/>
        <w:jc w:val="both"/>
      </w:pPr>
      <w:r>
        <w:rPr>
          <w:rFonts w:ascii="Cambria" w:cs="Cambria" w:eastAsia="Cambria" w:hAnsi="Cambria"/>
          <w:color w:val="C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C00000"/>
          <w:sz w:val="24"/>
          <w:szCs w:val="24"/>
        </w:rPr>
        <w:t xml:space="preserve">This demonstration corresponds to </w:t>
      </w:r>
      <w:r>
        <w:rPr>
          <w:rFonts w:ascii="Cambria" w:cs="Cambria" w:eastAsia="Cambria" w:hAnsi="Cambria"/>
          <w:b/>
          <w:bCs/>
          <w:color w:val="C00000"/>
          <w:sz w:val="24"/>
          <w:szCs w:val="24"/>
        </w:rPr>
        <w:t xml:space="preserve">Jurisdictional Constraint Enforcement and Fail-Closed Access Control</w:t>
      </w:r>
      <w:r>
        <w:rPr>
          <w:rFonts w:ascii="Cambria" w:cs="Cambria" w:eastAsia="Cambria" w:hAnsi="Cambria"/>
          <w:color w:val="C00000"/>
          <w:sz w:val="24"/>
          <w:szCs w:val="24"/>
        </w:rPr>
        <w:t xml:space="preserve">.</w:t>
      </w:r>
    </w:p>
    <w:p>
      <w:pPr>
        <w:pStyle w:val="Heading3"/>
        <w:spacing w:after="160" w:before="280"/>
      </w:pPr>
      <w:r>
        <w:rPr>
          <w:color w:val="C00000"/>
        </w:rPr>
        <w:t xml:space="preserve">6.8.6  Consent Revocation</w:t>
      </w:r>
    </w:p>
    <w:p>
      <w:pPr>
        <w:spacing w:after="140" w:line="300"/>
        <w:jc w:val="both"/>
      </w:pPr>
      <w:r>
        <w:rPr>
          <w:rFonts w:ascii="Cambria" w:cs="Cambria" w:eastAsia="Cambria" w:hAnsi="Cambria"/>
          <w:color w:val="C00000"/>
          <w:sz w:val="24"/>
          <w:szCs w:val="24"/>
        </w:rP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29: The patient subsystem during revocation: 'Revoking on Sepolia - waiting for block confirmation…'." title="Figure 29: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29: The patient subsystem during revocation: 'Revoking on Sepolia - waiting for block confirmation…'.</w:t>
      </w:r>
    </w:p>
    <w:p>
      <w:pPr>
        <w:spacing w:after="140" w:line="300"/>
        <w:jc w:val="both"/>
      </w:pPr>
      <w:r>
        <w:rPr>
          <w:rFonts w:ascii="Cambria" w:cs="Cambria" w:eastAsia="Cambria" w:hAnsi="Cambria"/>
          <w:color w:val="C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0: The patient subsystem after revocation: the evaluated consent f050c29a is REVOKED with token #1 (displayed as SBT-1). The other rows are earlier trial consents." title="Figure 30: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30: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C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C00000"/>
          <w:sz w:val="24"/>
          <w:szCs w:val="24"/>
        </w:rPr>
        <w:t xml:space="preserve">The demonstrated revocation completes the consent lifecycle anticipated by the temporal and lifecycle model of Section 6.5: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keepNext/>
        <w:spacing w:after="60" w:before="140"/>
        <w:jc w:val="center"/>
      </w:pPr>
      <w:r>
        <w:drawing>
          <wp:inline distT="0" distB="0" distL="0" distR="0">
            <wp:extent cx="5715000" cy="2009775"/>
            <wp:effectExtent t="0" r="0" b="0" l="0"/>
            <wp:docPr id="1" name="lifecycle_sm.png" descr="Figure 31: The implemented consent lifecycle: every consent progresses through controlled states, and the activating and revoking transitions are anchored as verifiable Sepolia transactions." title="Figure 31: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31: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2: The doctor subsystem after revocation: VA reports FAIL and the consent is reported as 'not active. Current state: REVOKED'." title="Figure 32: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32: The doctor subsystem after revocation: VA reports FAIL and the consent is reported as 'not active. Current state: REVOKED'.</w:t>
      </w:r>
    </w:p>
    <w:p>
      <w:pPr>
        <w:spacing w:after="140" w:line="300"/>
        <w:jc w:val="both"/>
      </w:pPr>
      <w:r>
        <w:rPr>
          <w:rFonts w:ascii="Cambria" w:cs="Cambria" w:eastAsia="Cambria" w:hAnsi="Cambria"/>
          <w:color w:val="C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3: The revocation transaction on Sepolia Etherscan: status Success, block 11,771,307, decoded input 'Function: revoke(uint256 tokenId)' with tokenId = 1." title="Figure 33: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33: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C00000"/>
          <w:sz w:val="24"/>
          <w:szCs w:val="24"/>
        </w:rPr>
        <w:t xml:space="preserve">As shown in the figure above, the revocation is again a publicly verifiable transaction, whose decoded input names the contract function revoke and the token identifier. The transaction can be inspected at Etherscan: revoke transaction. The revocation subsystem therefore corresponds to </w:t>
      </w:r>
      <w:r>
        <w:rPr>
          <w:rFonts w:ascii="Cambria" w:cs="Cambria" w:eastAsia="Cambria" w:hAnsi="Cambria"/>
          <w:b/>
          <w:bCs/>
          <w:color w:val="C00000"/>
          <w:sz w:val="24"/>
          <w:szCs w:val="24"/>
        </w:rPr>
        <w:t xml:space="preserve">Enforcement State Management and Consent Withdrawal</w:t>
      </w:r>
      <w:r>
        <w:rPr>
          <w:rFonts w:ascii="Cambria" w:cs="Cambria" w:eastAsia="Cambria" w:hAnsi="Cambria"/>
          <w:color w:val="C00000"/>
          <w:sz w:val="24"/>
          <w:szCs w:val="24"/>
        </w:rPr>
        <w:t xml:space="preserve">.Etherscan: revoke transaction</w:t>
      </w:r>
    </w:p>
    <w:p>
      <w:pPr>
        <w:pStyle w:val="Heading3"/>
        <w:spacing w:after="160" w:before="280"/>
      </w:pPr>
      <w:r>
        <w:rPr>
          <w:color w:val="C00000"/>
        </w:rPr>
        <w:t xml:space="preserve">6.8.7  Blockchain Audit and Consent Lifecycle for the Auditor</w:t>
      </w:r>
    </w:p>
    <w:p>
      <w:pPr>
        <w:spacing w:after="140" w:line="300"/>
        <w:jc w:val="both"/>
      </w:pPr>
      <w:r>
        <w:rPr>
          <w:rFonts w:ascii="Cambria" w:cs="Cambria" w:eastAsia="Cambria" w:hAnsi="Cambria"/>
          <w:color w:val="C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4: The Consent Lifecycle reconstruction for the evaluated consent: the guardian signatures, MINT_SBT and ONCHAIN_MINT on the left, and the STATE_CHECK, DENIED, REVOKE_CONSENT and ONCHAIN_REVOKE events on the right." title="Figure 34: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34: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C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5: The auditor subsystem with the evaluated consent selected: aggregate indicators and the Detailed Audit Records, in which the on-chain events carry their transaction hashes and block numbers." title="Figure 35: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35: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C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C00000"/>
          <w:sz w:val="22"/>
          <w:szCs w:val="22"/>
        </w:rPr>
        <w:t xml:space="preserve">Total Events = 60    Consent Events = 8    Access Requests = 9    On-chain Anchors = 5</w:t>
      </w:r>
    </w:p>
    <w:p>
      <w:pPr>
        <w:spacing w:after="140" w:line="300"/>
        <w:jc w:val="both"/>
      </w:pPr>
      <w:r>
        <w:rPr>
          <w:rFonts w:ascii="Cambria" w:cs="Cambria" w:eastAsia="Cambria" w:hAnsi="Cambria"/>
          <w:color w:val="C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C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140" w:line="300"/>
        <w:jc w:val="both"/>
      </w:pPr>
      <w:r>
        <w:rPr>
          <w:rFonts w:ascii="Cambria" w:cs="Cambria" w:eastAsia="Cambria" w:hAnsi="Cambria"/>
          <w:color w:val="C00000"/>
          <w:sz w:val="24"/>
          <w:szCs w:val="24"/>
        </w:rPr>
        <w:t xml:space="preserve">This produces an explicit chain of evidence as</w:t>
      </w:r>
    </w:p>
    <w:p>
      <w:pPr>
        <w:spacing w:after="160" w:before="60"/>
        <w:jc w:val="center"/>
      </w:pPr>
      <w:r>
        <w:rPr>
          <w:rFonts w:ascii="Cambria Math" w:cs="Cambria Math" w:eastAsia="Cambria Math" w:hAnsi="Cambria Math"/>
          <w:i/>
          <w:iCs/>
          <w:color w:val="C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C00000"/>
          <w:sz w:val="22"/>
          <w:szCs w:val="22"/>
        </w:rPr>
        <w:t xml:space="preserve">→ Doctor(DENIED) → Patient(revoke) → SmartContract(revoke)</w:t>
      </w:r>
    </w:p>
    <w:p>
      <w:pPr>
        <w:spacing w:after="140" w:line="300"/>
        <w:jc w:val="both"/>
      </w:pPr>
      <w:r>
        <w:rPr>
          <w:rFonts w:ascii="Cambria" w:cs="Cambria" w:eastAsia="Cambria" w:hAnsi="Cambria"/>
          <w:color w:val="C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C00000"/>
          <w:sz w:val="24"/>
          <w:szCs w:val="24"/>
        </w:rPr>
        <w:t xml:space="preserve">This corresponds to the proposed requirement for </w:t>
      </w:r>
      <w:r>
        <w:rPr>
          <w:rFonts w:ascii="Cambria" w:cs="Cambria" w:eastAsia="Cambria" w:hAnsi="Cambria"/>
          <w:b/>
          <w:bCs/>
          <w:color w:val="C00000"/>
          <w:sz w:val="24"/>
          <w:szCs w:val="24"/>
        </w:rPr>
        <w:t xml:space="preserve">traceability, accountability and non-repudiable consent evidence</w:t>
      </w:r>
      <w:r>
        <w:rPr>
          <w:rFonts w:ascii="Cambria" w:cs="Cambria" w:eastAsia="Cambria" w:hAnsi="Cambria"/>
          <w:color w:val="C00000"/>
          <w:sz w:val="24"/>
          <w:szCs w:val="24"/>
        </w:rPr>
        <w:t xml:space="preserve">.</w:t>
      </w:r>
    </w:p>
    <w:p>
      <w:pPr>
        <w:pStyle w:val="Heading3"/>
        <w:spacing w:after="160" w:before="280"/>
      </w:pPr>
      <w:r>
        <w:rPr>
          <w:color w:val="C00000"/>
        </w:rPr>
        <w:t xml:space="preserve">6.8.8  Detailed Audit Records</w:t>
      </w:r>
    </w:p>
    <w:p>
      <w:pPr>
        <w:spacing w:after="140" w:line="300"/>
        <w:jc w:val="both"/>
      </w:pPr>
      <w:r>
        <w:rPr>
          <w:rFonts w:ascii="Cambria" w:cs="Cambria" w:eastAsia="Cambria" w:hAnsi="Cambria"/>
          <w:color w:val="C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C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3 and 6, so the ledger and the public chain describe the same events.</w:t>
      </w:r>
    </w:p>
    <w:p>
      <w:pPr>
        <w:spacing w:after="140" w:line="300"/>
        <w:jc w:val="both"/>
      </w:pPr>
      <w:r>
        <w:rPr>
          <w:rFonts w:ascii="Cambria" w:cs="Cambria" w:eastAsia="Cambria" w:hAnsi="Cambria"/>
          <w:color w:val="C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C00000"/>
          <w:sz w:val="24"/>
          <w:szCs w:val="24"/>
        </w:rPr>
        <w:t xml:space="preserve">The subsystem therefore implements the distinction between operational access information and forensic/audit information.</w:t>
      </w:r>
    </w:p>
    <w:p>
      <w:pPr>
        <w:pStyle w:val="Heading3"/>
        <w:spacing w:after="160" w:before="280"/>
      </w:pPr>
      <w:r>
        <w:rPr>
          <w:color w:val="C00000"/>
        </w:rPr>
        <w:t xml:space="preserve">6.8.9  Complete Audit Ledger and Independent Verification</w:t>
      </w:r>
    </w:p>
    <w:p>
      <w:pPr>
        <w:spacing w:after="140" w:line="300"/>
        <w:jc w:val="both"/>
      </w:pPr>
      <w:r>
        <w:rPr>
          <w:rFonts w:ascii="Cambria" w:cs="Cambria" w:eastAsia="Cambria" w:hAnsi="Cambria"/>
          <w:color w:val="C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C00000"/>
          <w:sz w:val="22"/>
          <w:szCs w:val="22"/>
        </w:rPr>
        <w:t xml:space="preserve">Accountability + Traceability + Integrity + Non-repudiation</w:t>
      </w:r>
    </w:p>
    <w:p>
      <w:pPr>
        <w:spacing w:after="140" w:line="300"/>
        <w:jc w:val="both"/>
      </w:pPr>
      <w:r>
        <w:rPr>
          <w:rFonts w:ascii="Cambria" w:cs="Cambria" w:eastAsia="Cambria" w:hAnsi="Cambria"/>
          <w:color w:val="C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36: The final verdict of the independent verification, re-executed after the second lifecycle: RESULT: ALL CHECKS PASSED." title="Figure 36: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36: The final verdict of the independent verification, re-executed after the second lifecycle: RESULT: ALL CHECKS PASSED.</w:t>
      </w:r>
    </w:p>
    <w:p>
      <w:pPr>
        <w:spacing w:after="140" w:line="300"/>
        <w:jc w:val="both"/>
      </w:pPr>
      <w:r>
        <w:rPr>
          <w:rFonts w:ascii="Cambria" w:cs="Cambria" w:eastAsia="Cambria" w:hAnsi="Cambria"/>
          <w:color w:val="C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3"/>
        <w:spacing w:after="160" w:before="280"/>
      </w:pPr>
      <w:r>
        <w:rPr>
          <w:color w:val="C00000"/>
        </w:rPr>
        <w:t xml:space="preserve">6.8.10  Correspondence Between the Subsystems and the Framework</w:t>
      </w:r>
    </w:p>
    <w:p>
      <w:pPr>
        <w:spacing w:after="140" w:line="300"/>
        <w:jc w:val="both"/>
      </w:pPr>
      <w:r>
        <w:rPr>
          <w:rFonts w:ascii="Cambria" w:cs="Cambria" w:eastAsia="Cambria" w:hAnsi="Cambria"/>
          <w:color w:val="C00000"/>
          <w:sz w:val="24"/>
          <w:szCs w:val="24"/>
        </w:rPr>
        <w:t xml:space="preserve">The subsystems collectively implement the principal stages of the proposed framework:</w:t>
      </w:r>
    </w:p>
    <w:p>
      <w:pPr>
        <w:spacing w:after="140" w:line="300"/>
        <w:jc w:val="both"/>
      </w:pPr>
      <w:r>
        <w:rPr>
          <w:rFonts w:ascii="Cambria" w:cs="Cambria" w:eastAsia="Cambria" w:hAnsi="Cambria"/>
          <w:color w:val="C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C00000"/>
        </w:rPr>
        <w:t xml:space="preserve">6.8.11  Overall System Demonstration</w:t>
      </w:r>
    </w:p>
    <w:p>
      <w:pPr>
        <w:spacing w:after="140" w:line="300"/>
        <w:jc w:val="both"/>
      </w:pPr>
      <w:r>
        <w:rPr>
          <w:rFonts w:ascii="Cambria" w:cs="Cambria" w:eastAsia="Cambria" w:hAnsi="Cambria"/>
          <w:color w:val="C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C00000"/>
          <w:sz w:val="22"/>
          <w:szCs w:val="22"/>
        </w:rPr>
        <w:t xml:space="preserve">C → MS → SBT_chain → StateCheck → AccessDecision → EMR → Revoke_chain → Audit → Verify</w:t>
      </w:r>
    </w:p>
    <w:p>
      <w:pPr>
        <w:spacing w:after="140" w:line="300"/>
        <w:jc w:val="both"/>
      </w:pPr>
      <w:r>
        <w:rPr>
          <w:rFonts w:ascii="Cambria" w:cs="Cambria" w:eastAsia="Cambria" w:hAnsi="Cambria"/>
          <w:color w:val="C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C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C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C00000"/>
        </w:rPr>
        <w:t xml:space="preserve">6.8.12  Verification Links</w:t>
      </w:r>
    </w:p>
    <w:p>
      <w:pPr>
        <w:spacing w:after="140" w:line="300"/>
        <w:jc w:val="both"/>
      </w:pPr>
      <w:r>
        <w:rPr>
          <w:rFonts w:ascii="Cambria" w:cs="Cambria" w:eastAsia="Cambria" w:hAnsi="Cambria"/>
          <w:color w:val="C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C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C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C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C00000"/>
          <w:sz w:val="24"/>
          <w:szCs w:val="24"/>
        </w:rPr>
        <w:t xml:space="preserve">Full audit-ledger export: </w:t>
      </w:r>
      <w:r>
        <w:rPr>
          <w:rFonts w:ascii="Consolas" w:cs="Consolas" w:eastAsia="Consolas" w:hAnsi="Consolas"/>
          <w:color w:val="C00000"/>
          <w:sz w:val="20"/>
          <w:szCs w:val="20"/>
        </w:rPr>
        <w:t xml:space="preserve">evidence/sepolia_audit_ledger_2026-09-24.csv</w:t>
      </w:r>
      <w:r>
        <w:rPr>
          <w:rFonts w:ascii="Cambria" w:cs="Cambria" w:eastAsia="Cambria" w:hAnsi="Cambria"/>
          <w:color w:val="C00000"/>
          <w:sz w:val="24"/>
          <w:szCs w:val="24"/>
        </w:rPr>
        <w:t xml:space="preserve">; deployment and run record: </w:t>
      </w:r>
      <w:r>
        <w:rPr>
          <w:rFonts w:ascii="Consolas" w:cs="Consolas" w:eastAsia="Consolas" w:hAnsi="Consolas"/>
          <w:color w:val="C00000"/>
          <w:sz w:val="20"/>
          <w:szCs w:val="20"/>
        </w:rPr>
        <w:t xml:space="preserve">evidence/sepolia_deploy_v3_2026-09-24.txt</w:t>
      </w:r>
      <w:r>
        <w:rPr>
          <w:rFonts w:ascii="Cambria" w:cs="Cambria" w:eastAsia="Cambria" w:hAnsi="Cambria"/>
          <w:color w:val="C00000"/>
          <w:sz w:val="24"/>
          <w:szCs w:val="24"/>
        </w:rPr>
        <w:t xml:space="preserve"> preserved in the project evidence records.</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color w:val="C00000"/>
          <w:sz w:val="24"/>
          <w:szCs w:val="24"/>
        </w:rPr>
        <w:t xml:space="preserve">In the current prototype the approval threshold is fixed at N-of-N: every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C00000"/>
          <w:sz w:val="24"/>
          <w:szCs w:val="24"/>
          <w:vertAlign w:val="subscript"/>
        </w:rPr>
        <w:t xml:space="preserve">I</w:t>
      </w:r>
      <w:r>
        <w:rPr>
          <w:rFonts w:ascii="Cambria" w:cs="Cambria" w:eastAsia="Cambria" w:hAnsi="Cambria"/>
          <w:color w:val="C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40" w:line="300"/>
        <w:jc w:val="both"/>
      </w:pPr>
      <w:r>
        <w:rPr>
          <w:rFonts w:ascii="Cambria" w:cs="Cambria" w:eastAsia="Cambria" w:hAnsi="Cambria"/>
          <w:color w:val="C00000"/>
          <w:sz w:val="24"/>
          <w:szCs w:val="24"/>
        </w:rPr>
        <w:t xml:space="preserve">Status: Completed.</w:t>
      </w:r>
    </w:p>
    <w:p>
      <w:pPr>
        <w:spacing w:after="140" w:line="300"/>
        <w:jc w:val="both"/>
      </w:pPr>
      <w:r>
        <w:rPr>
          <w:rFonts w:ascii="Cambria" w:cs="Cambria" w:eastAsia="Cambria" w:hAnsi="Cambria"/>
          <w:color w:val="C00000"/>
          <w:sz w:val="24"/>
          <w:szCs w:val="24"/>
        </w:rPr>
        <w:t xml:space="preserve">The policy predicate V</w:t>
      </w:r>
      <w:r>
        <w:rPr>
          <w:rFonts w:ascii="Cambria" w:cs="Cambria" w:eastAsia="Cambria" w:hAnsi="Cambria"/>
          <w:color w:val="C00000"/>
          <w:sz w:val="24"/>
          <w:szCs w:val="24"/>
          <w:vertAlign w:val="subscript"/>
        </w:rPr>
        <w:t xml:space="preserve">P</w:t>
      </w:r>
      <w:r>
        <w:rPr>
          <w:rFonts w:ascii="Cambria" w:cs="Cambria" w:eastAsia="Cambria" w:hAnsi="Cambria"/>
          <w:color w:val="C00000"/>
          <w:sz w:val="24"/>
          <w:szCs w:val="24"/>
        </w:rPr>
        <w:t xml:space="preserve"> is implemented at the prototype level: each access request declares a purpose and a requested data scope S</w:t>
      </w:r>
      <w:r>
        <w:rPr>
          <w:rFonts w:ascii="Cambria" w:cs="Cambria" w:eastAsia="Cambria" w:hAnsi="Cambria"/>
          <w:color w:val="C00000"/>
          <w:sz w:val="24"/>
          <w:szCs w:val="24"/>
          <w:vertAlign w:val="subscript"/>
        </w:rPr>
        <w:t xml:space="preserve">R</w:t>
      </w:r>
      <w:r>
        <w:rPr>
          <w:rFonts w:ascii="Cambria" w:cs="Cambria" w:eastAsia="Cambria" w:hAnsi="Cambria"/>
          <w:color w:val="C00000"/>
          <w:sz w:val="24"/>
          <w:szCs w:val="24"/>
        </w:rPr>
        <w:t xml:space="preserve">, and the request is rejected whenever S</w:t>
      </w:r>
      <w:r>
        <w:rPr>
          <w:rFonts w:ascii="Cambria" w:cs="Cambria" w:eastAsia="Cambria" w:hAnsi="Cambria"/>
          <w:color w:val="C00000"/>
          <w:sz w:val="24"/>
          <w:szCs w:val="24"/>
          <w:vertAlign w:val="subscript"/>
        </w:rPr>
        <w:t xml:space="preserve">R</w:t>
      </w:r>
      <w:r>
        <w:rPr>
          <w:rFonts w:ascii="Cambria" w:cs="Cambria" w:eastAsia="Cambria" w:hAnsi="Cambria"/>
          <w:color w:val="C00000"/>
          <w:sz w:val="24"/>
          <w:szCs w:val="24"/>
        </w:rPr>
        <w:t xml:space="preserve"> is not a subset of the authorised scope S</w:t>
      </w:r>
      <w:r>
        <w:rPr>
          <w:rFonts w:ascii="Cambria" w:cs="Cambria" w:eastAsia="Cambria" w:hAnsi="Cambria"/>
          <w:color w:val="C00000"/>
          <w:sz w:val="24"/>
          <w:szCs w:val="24"/>
          <w:vertAlign w:val="subscript"/>
        </w:rPr>
        <w:t xml:space="preserve">C</w:t>
      </w:r>
      <w:r>
        <w:rPr>
          <w:rFonts w:ascii="Cambria" w:cs="Cambria" w:eastAsia="Cambria" w:hAnsi="Cambria"/>
          <w:color w:val="C00000"/>
          <w:sz w:val="24"/>
          <w:szCs w:val="24"/>
        </w:rPr>
        <w:t xml:space="preserve">. The predicate is evaluated as one term of the complete decision matrix V</w:t>
      </w:r>
      <w:r>
        <w:rPr>
          <w:rFonts w:ascii="Cambria" w:cs="Cambria" w:eastAsia="Cambria" w:hAnsi="Cambria"/>
          <w:color w:val="C00000"/>
          <w:sz w:val="24"/>
          <w:szCs w:val="24"/>
          <w:vertAlign w:val="subscript"/>
        </w:rPr>
        <w:t xml:space="preserve">I</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P</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T</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C00000"/>
          <w:sz w:val="24"/>
          <w:szCs w:val="24"/>
        </w:rPr>
        <w:t xml:space="preserve">S</w:t>
      </w:r>
      <w:r>
        <w:rPr>
          <w:rFonts w:ascii="Cambria" w:cs="Cambria" w:eastAsia="Cambria" w:hAnsi="Cambria"/>
          <w:color w:val="C00000"/>
          <w:sz w:val="24"/>
          <w:szCs w:val="24"/>
          <w:vertAlign w:val="subscript"/>
        </w:rPr>
        <w:t xml:space="preserve">R</w:t>
      </w:r>
      <w:r>
        <w:rPr>
          <w:rFonts w:ascii="Cambria" w:cs="Cambria" w:eastAsia="Cambria" w:hAnsi="Cambria"/>
          <w:color w:val="C00000"/>
          <w:sz w:val="24"/>
          <w:szCs w:val="24"/>
        </w:rPr>
        <w:t xml:space="preserve"> = {Observation, Medication, Procedure}, the request exceeds the authorised scope and the jurisdiction and validity conditions are evaluated against the stored consent before any decision is returned.</w:t>
      </w:r>
    </w:p>
    <w:p>
      <w:pPr>
        <w:pStyle w:val="Heading2"/>
        <w:spacing w:after="160" w:before="280"/>
      </w:pPr>
      <w:r>
        <w:t xml:space="preserve">7.5  Progress of RO5: Temporal and Lifecycle Trust</w:t>
      </w:r>
    </w:p>
    <w:p>
      <w:pPr>
        <w:spacing w:after="140" w:line="300"/>
        <w:jc w:val="both"/>
      </w:pPr>
      <w:r>
        <w:rPr>
          <w:rFonts w:ascii="Cambria" w:cs="Cambria" w:eastAsia="Cambria" w:hAnsi="Cambria"/>
          <w:color w:val="C00000"/>
          <w:sz w:val="24"/>
          <w:szCs w:val="24"/>
        </w:rPr>
        <w:t xml:space="preserve">Status: Largely Completed.</w:t>
      </w:r>
    </w:p>
    <w:p>
      <w:pPr>
        <w:spacing w:after="140" w:line="300"/>
        <w:jc w:val="both"/>
      </w:pPr>
      <w:r>
        <w:rPr>
          <w:rFonts w:ascii="Cambria" w:cs="Cambria" w:eastAsia="Cambria" w:hAnsi="Cambria"/>
          <w:color w:val="C00000"/>
          <w:sz w:val="24"/>
          <w:szCs w:val="24"/>
        </w:rPr>
        <w:t xml:space="preserve">RO5 has moved from planned work to implemented capability. The consent validity interval [t</w:t>
      </w:r>
      <w:r>
        <w:rPr>
          <w:rFonts w:ascii="Cambria" w:cs="Cambria" w:eastAsia="Cambria" w:hAnsi="Cambria"/>
          <w:color w:val="C00000"/>
          <w:sz w:val="24"/>
          <w:szCs w:val="24"/>
          <w:vertAlign w:val="subscript"/>
        </w:rPr>
        <w:t xml:space="preserve">s</w:t>
      </w:r>
      <w:r>
        <w:rPr>
          <w:rFonts w:ascii="Cambria" w:cs="Cambria" w:eastAsia="Cambria" w:hAnsi="Cambria"/>
          <w:color w:val="C00000"/>
          <w:sz w:val="24"/>
          <w:szCs w:val="24"/>
        </w:rPr>
        <w:t xml:space="preserve">, t</w:t>
      </w:r>
      <w:r>
        <w:rPr>
          <w:rFonts w:ascii="Cambria" w:cs="Cambria" w:eastAsia="Cambria" w:hAnsi="Cambria"/>
          <w:color w:val="C00000"/>
          <w:sz w:val="24"/>
          <w:szCs w:val="24"/>
          <w:vertAlign w:val="subscript"/>
        </w:rPr>
        <w:t xml:space="preserve">e</w:t>
      </w:r>
      <w:r>
        <w:rPr>
          <w:rFonts w:ascii="Cambria" w:cs="Cambria" w:eastAsia="Cambria" w:hAnsi="Cambria"/>
          <w:color w:val="C00000"/>
          <w:sz w:val="24"/>
          <w:szCs w:val="24"/>
        </w:rPr>
        <w:t xml:space="preserve">] is now enforced by the temporal predicate V</w:t>
      </w:r>
      <w:r>
        <w:rPr>
          <w:rFonts w:ascii="Cambria" w:cs="Cambria" w:eastAsia="Cambria" w:hAnsi="Cambria"/>
          <w:color w:val="C00000"/>
          <w:sz w:val="24"/>
          <w:szCs w:val="24"/>
          <w:vertAlign w:val="subscript"/>
        </w:rPr>
        <w:t xml:space="preserve">T</w:t>
      </w:r>
      <w:r>
        <w:rPr>
          <w:rFonts w:ascii="Cambria" w:cs="Cambria" w:eastAsia="Cambria" w:hAnsi="Cambria"/>
          <w:color w:val="C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sz w:val="24"/>
          <w:szCs w:val="24"/>
        </w:rPr>
        <w:t xml:space="preserve">The consent lifecycle will also be extended to represent controlled transitions such as Specification → Verification → Approval → Active → Expiration/Revocation. The expected outcome is a lifecycle-aware consent mechanism capable of rejecting access after expiration or revocation and preventing unauthorised lifecycle transitions. This work will constitute a major component of next stage.</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(RQ1-RQ3)</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C00000"/>
          <w:sz w:val="24"/>
          <w:szCs w:val="24"/>
        </w:rPr>
        <w:t xml:space="preserve">Status: Partially Completed.</w:t>
      </w:r>
    </w:p>
    <w:p>
      <w:pPr>
        <w:spacing w:after="140" w:line="300"/>
        <w:jc w:val="both"/>
      </w:pPr>
      <w:r>
        <w:rPr>
          <w:rFonts w:ascii="Cambria" w:cs="Cambria" w:eastAsia="Cambria" w:hAnsi="Cambria"/>
          <w:color w:val="C00000"/>
          <w:sz w:val="24"/>
          <w:szCs w:val="24"/>
        </w:rPr>
        <w:t xml:space="preserve">Empirical validation now covers all six trust dimensions.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 named as the failed check, and a revocation scenario in which the same consent, once revoked on-chain, is subsequently denied through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C00000"/>
          <w:sz w:val="24"/>
          <w:szCs w:val="24"/>
          <w:vertAlign w:val="subscript"/>
        </w:rPr>
        <w:t xml:space="preserve">I</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A</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P</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T</w:t>
      </w:r>
      <w:r>
        <w:rPr>
          <w:rFonts w:ascii="Cambria" w:cs="Cambria" w:eastAsia="Cambria" w:hAnsi="Cambria"/>
          <w:color w:val="C00000"/>
          <w:sz w:val="24"/>
          <w:szCs w:val="24"/>
        </w:rPr>
        <w:t xml:space="preserve"> ∧ V</w:t>
      </w:r>
      <w:r>
        <w:rPr>
          <w:rFonts w:ascii="Cambria" w:cs="Cambria" w:eastAsia="Cambria" w:hAnsi="Cambria"/>
          <w:color w:val="C00000"/>
          <w:sz w:val="24"/>
          <w:szCs w:val="24"/>
          <w:vertAlign w:val="subscript"/>
        </w:rPr>
        <w:t xml:space="preserve">L</w:t>
      </w:r>
      <w:r>
        <w:rPr>
          <w:rFonts w:ascii="Cambria" w:cs="Cambria" w:eastAsia="Cambria" w:hAnsi="Cambria"/>
          <w:color w:val="C00000"/>
          <w:sz w:val="24"/>
          <w:szCs w:val="24"/>
        </w:rPr>
        <w:t xml:space="preserve">. Formal security analysis and a systematic performance study remain for the next stage.</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color w:val="C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sz w:val="21"/>
          <w:szCs w:val="21"/>
        </w:rPr>
        <w:t xml:space="preserve">Table 7: </w:t>
      </w:r>
      <w:r>
        <w:rPr>
          <w:rFonts w:ascii="Cambria" w:cs="Cambria" w:eastAsia="Cambria" w:hAnsi="Cambria"/>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Decentralised implementation and performance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evaluation (Chapter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Specialized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140" w:line="300"/>
        <w:jc w:val="both"/>
      </w:pPr>
      <w:r>
        <w:rPr>
          <w:rFonts w:ascii="Cambria" w:cs="Cambria" w:eastAsia="Cambria" w:hAnsi="Cambria"/>
          <w:color w:val="C00000"/>
          <w:sz w:val="24"/>
          <w:szCs w:val="24"/>
        </w:rPr>
        <w:t xml:space="preserve">Decentralised implementation and scenario-based validation complete on the Sepolia public testnet; performance evaluation outstanding. The paper’s empirical section can now draw upon the deployed contract, the two minted tokens and the verified transaction trail as delivered evidence.</w:t>
      </w: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color w:val="C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t xml:space="preserve">9.2  Next Stage: Planned Work</w:t>
      </w:r>
    </w:p>
    <w:p>
      <w:pPr>
        <w:spacing w:after="140" w:line="300"/>
        <w:jc w:val="both"/>
      </w:pPr>
      <w:r>
        <w:rPr>
          <w:rFonts w:ascii="Cambria" w:cs="Cambria" w:eastAsia="Cambria" w:hAnsi="Cambria"/>
          <w:color w:val="C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the next stage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second focus is formal security assurance. The current stage framework establishes the conceptual relationship between identity verification, collective authorisation, and policy enforcement.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third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keepNext/>
        <w:spacing w:after="80" w:before="160"/>
        <w:jc w:val="center"/>
      </w:pPr>
      <w:r>
        <w:rPr>
          <w:rFonts w:ascii="Cambria" w:cs="Cambria" w:eastAsia="Cambria" w:hAnsi="Cambria"/>
          <w:b/>
          <w:bCs/>
          <w:sz w:val="21"/>
          <w:szCs w:val="21"/>
        </w:rPr>
        <w:t xml:space="preserve">Table 8: </w:t>
      </w:r>
      <w:r>
        <w:rPr>
          <w:rFonts w:ascii="Cambria" w:cs="Cambria" w:eastAsia="Cambria" w:hAnsi="Cambria"/>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and Lifecycle Trust
(Dynamic Consent States)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C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C00000"/>
          <w:sz w:val="24"/>
          <w:szCs w:val="24"/>
        </w:rPr>
        <w:t xml:space="preserve">Temporal and Lifecycle Trust — Completed (on-chain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C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 (generated)</w:t>
      </w:r>
    </w:p>
    <w:p>
      <w:pPr>
        <w:spacing w:after="140" w:line="300"/>
        <w:jc w:val="both"/>
      </w:pPr>
      <w:r>
        <w:rPr>
          <w:rFonts w:ascii="Cambria" w:cs="Cambria" w:eastAsia="Cambria" w:hAnsi="Cambria"/>
          <w:color w:val="C00000"/>
          <w:sz w:val="24"/>
          <w:szCs w:val="24"/>
        </w:rPr>
        <w:t xml:space="preserve">Table A summarises how each formal artefact of this report is realised in the implemented HALAH v1.2 subsystem, as documented in the companion chapter HALAH Implementation v1.3,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Decision rule and trust predicates, Eq. (59), Figure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§6.4 (next stage)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Six-state lifecycle with on-chain revocation (Figure A)</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60-event ledger; RESULT: ALL CHECKS PASSED; token #2, block 11,771,581</w:t>
            </w:r>
          </w:p>
        </w:tc>
      </w:tr>
    </w:tbl>
    <w:p>
      <w:pPr>
        <w:spacing w:before="60"/>
        <w:jc w:val="center"/>
      </w:pPr>
      <w:r>
        <w:rPr>
          <w:rFonts w:ascii="Cambria" w:cs="Cambria" w:eastAsia="Cambria" w:hAnsi="Cambria"/>
          <w:i/>
          <w:iCs/>
          <w:color w:val="C00000"/>
          <w:sz w:val="19"/>
          <w:szCs w:val="19"/>
        </w:rPr>
        <w:t xml:space="preserve">Table A: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bCs/>
          <w:color w:val="007A00"/>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C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C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bCs/>
          <w:color w:val="007A00"/>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bCs/>
          <w:color w:val="007A00"/>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bCs/>
          <w:color w:val="007A00"/>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C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C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C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bCs/>
          <w:color w:val="007A00"/>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bCs/>
          <w:color w:val="007A00"/>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C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C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C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C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w:t>
      </w:r>
      <w:r>
        <w:rPr>
          <w:rFonts w:ascii="Cambria" w:cs="Cambria" w:eastAsia="Cambria" w:hAnsi="Cambria"/>
          <w:b/>
          <w:bCs/>
          <w:color w:val="007A00"/>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C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w:t>
      </w:r>
      <w:r>
        <w:rPr>
          <w:rFonts w:ascii="Cambria" w:cs="Cambria" w:eastAsia="Cambria" w:hAnsi="Cambria"/>
          <w:color w:val="C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bCs/>
          <w:color w:val="007A00"/>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bCs/>
          <w:color w:val="007A00"/>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bCs/>
          <w:color w:val="007A00"/>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C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bCs/>
          <w:color w:val="007A00"/>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C00000"/>
          <w:sz w:val="24"/>
          <w:szCs w:val="24"/>
        </w:rPr>
        <w:t xml:space="preserve">Matthew J Page, Joanne E McKenzie, Patrick M Bossuyt, Isabelle Boutron, Tammy C Hoffmann, Cynthia D Mulrow, et al. The PRISMA 2020 statement: an updated guideline for reporting systematic reviews. BMJ, 372:n71, 2021.</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3c62232b6ceb20480e68f424d7993b0e2f73d8.png"/><Relationship Id="rId9" Type="http://schemas.openxmlformats.org/officeDocument/2006/relationships/image" Target="media/d4fcae5448728df700f7fcb56b8fc5a1fc56fa7f.png"/><Relationship Id="rId10" Type="http://schemas.openxmlformats.org/officeDocument/2006/relationships/image" Target="media/2b536558d832546ec393dd67925c929dd6236fad.png"/><Relationship Id="rId11" Type="http://schemas.openxmlformats.org/officeDocument/2006/relationships/image" Target="media/e698f47fea018ba4e2802cc16cd6dfd9035c7463.png"/><Relationship Id="rId12" Type="http://schemas.openxmlformats.org/officeDocument/2006/relationships/image" Target="media/580bfb808c41b68f58dd6143da2bda07a4fdfcd6.png"/><Relationship Id="rId13" Type="http://schemas.openxmlformats.org/officeDocument/2006/relationships/image" Target="media/cfb68299954ed8f8f5e10a9a9db637b9bb1e6943.png"/><Relationship Id="rId14" Type="http://schemas.openxmlformats.org/officeDocument/2006/relationships/image" Target="media/afac86a350f9945eeb94b9ee246e19d29bb41335.png"/><Relationship Id="rId15" Type="http://schemas.openxmlformats.org/officeDocument/2006/relationships/image" Target="media/ee95cfbafdc45fc97602cba6ccc94f86e621b2e0.png"/><Relationship Id="rId16" Type="http://schemas.openxmlformats.org/officeDocument/2006/relationships/image" Target="media/8a0259851c9ce9543a4dd4e70fbf6ef776d64c4f.png"/><Relationship Id="rId17" Type="http://schemas.openxmlformats.org/officeDocument/2006/relationships/image" Target="media/751a1c2ff4c695ebcf2d04aee2d3822c664dbd66.png"/><Relationship Id="rId18" Type="http://schemas.openxmlformats.org/officeDocument/2006/relationships/image" Target="media/6b2eed335569e4023d73a2acfc049e4652246425.png"/><Relationship Id="rId19" Type="http://schemas.openxmlformats.org/officeDocument/2006/relationships/image" Target="media/fcbfc7caea7791f142b62cd810e09ae43c0a3029.png"/><Relationship Id="rId20" Type="http://schemas.openxmlformats.org/officeDocument/2006/relationships/image" Target="media/098992a49f33b5863197c094b0274b3a570ac6b0.png"/><Relationship Id="rId21" Type="http://schemas.openxmlformats.org/officeDocument/2006/relationships/image" Target="media/340cd7ece83aa7b471f90497fa4ab20abba8cb78.png"/><Relationship Id="rId22" Type="http://schemas.openxmlformats.org/officeDocument/2006/relationships/image" Target="media/29a8d803374a279180f0fb7569fd71a96e4828cc.png"/><Relationship Id="rId23" Type="http://schemas.openxmlformats.org/officeDocument/2006/relationships/image" Target="media/93e2e5b518189f1af9628f404919fff014730a4c.png"/><Relationship Id="rId24" Type="http://schemas.openxmlformats.org/officeDocument/2006/relationships/image" Target="media/0c260341434b1a3d96e8ec816e8fdf21bc280008.png"/><Relationship Id="rId25" Type="http://schemas.openxmlformats.org/officeDocument/2006/relationships/image" Target="media/3b43f208c34e619a9b1fcd7a8da9990014f117c8.png"/><Relationship Id="rId26" Type="http://schemas.openxmlformats.org/officeDocument/2006/relationships/image" Target="media/86a2658ddba90ee4c38a66206a6a68c15d95f581.png"/><Relationship Id="rId27" Type="http://schemas.openxmlformats.org/officeDocument/2006/relationships/image" Target="media/b042baccd1b6ddb409d02825dcbf0a0b42cf8600.png"/><Relationship Id="rId28" Type="http://schemas.openxmlformats.org/officeDocument/2006/relationships/image" Target="media/b08ef3c27e50bcebac919f21b9b3c4430a015386.png"/><Relationship Id="rId29" Type="http://schemas.openxmlformats.org/officeDocument/2006/relationships/image" Target="media/5aab1f9956758b1489f12e56e316ce914adfc234.png"/><Relationship Id="rId30" Type="http://schemas.openxmlformats.org/officeDocument/2006/relationships/image" Target="media/dca988adf54061cfd18e3b65d04cc93b4c0821a5.png"/><Relationship Id="rId31" Type="http://schemas.openxmlformats.org/officeDocument/2006/relationships/image" Target="media/ced20419b26ad52dabc386ca8fa03e512cf67f8c.png"/><Relationship Id="rId32" Type="http://schemas.openxmlformats.org/officeDocument/2006/relationships/image" Target="media/e56b4f992bdd903593631381fadd9d088590b949.png"/><Relationship Id="rId33" Type="http://schemas.openxmlformats.org/officeDocument/2006/relationships/image" Target="media/31dcbc50059ae2791ce05a42c041185014378f3f.png"/><Relationship Id="rId34" Type="http://schemas.openxmlformats.org/officeDocument/2006/relationships/image" Target="media/ce3dcc9a910c6fc9b80e1215a4025c2e03d7ae91.png"/><Relationship Id="rId35" Type="http://schemas.openxmlformats.org/officeDocument/2006/relationships/image" Target="media/8f7d48ee1d3a925ebd1d5709598063d3ff8e3925.png"/><Relationship Id="rId36" Type="http://schemas.openxmlformats.org/officeDocument/2006/relationships/image" Target="media/379af060121c595b8dab938b017503bf01d94543.png"/><Relationship Id="rId37" Type="http://schemas.openxmlformats.org/officeDocument/2006/relationships/image" Target="media/3a13ccfef28f9583bfb8ffa6fad6c0cd87ee4e3f.png"/><Relationship Id="rId38" Type="http://schemas.openxmlformats.org/officeDocument/2006/relationships/image" Target="media/c67c351664df141a74ad4841b37c3e4adf06cdc8.png"/><Relationship Id="rId39" Type="http://schemas.openxmlformats.org/officeDocument/2006/relationships/image" Target="media/0dab734b3591fc6e44f28d70c229863ac765dd6c.png"/><Relationship Id="rId40" Type="http://schemas.openxmlformats.org/officeDocument/2006/relationships/image" Target="media/77a7b903f3de550876bb41810cdf2d1e7c0ac7f2.png"/><Relationship Id="rId41" Type="http://schemas.openxmlformats.org/officeDocument/2006/relationships/image" Target="media/2f0f0886862a384327500130debd3ae79225e0b4.png"/><Relationship Id="rId42" Type="http://schemas.openxmlformats.org/officeDocument/2006/relationships/image" Target="media/05da8f4effe706cf5aafdd89f16572da00d8acd2.png"/><Relationship Id="rId43" Type="http://schemas.openxmlformats.org/officeDocument/2006/relationships/image" Target="media/18110f2d94411825c7d788fe5ccde19f68a450f5.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Authorization Framework for Multi-Party Patient Consent in Healthcare Data Sharing</dc:title>
  <dc:creator>Yasir Dhaifallah O Alyoubi</dc:creator>
  <cp:lastModifiedBy>Un-named</cp:lastModifiedBy>
  <cp:revision>1</cp:revision>
  <dcterms:created xsi:type="dcterms:W3CDTF">2026-09-26T00:31:59.242Z</dcterms:created>
  <dcterms:modified xsi:type="dcterms:W3CDTF">2026-09-26T00:31:59.242Z</dcterms:modified>
</cp:coreProperties>
</file>

<file path=docProps/custom.xml><?xml version="1.0" encoding="utf-8"?>
<Properties xmlns="http://schemas.openxmlformats.org/officeDocument/2006/custom-properties" xmlns:vt="http://schemas.openxmlformats.org/officeDocument/2006/docPropsVTypes"/>
</file>