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rPr>
          <w:highlight w:val="yellow"/>
        </w:rPr>
        <w:t>Each study was coded as Yes or No against</w:t>
      </w:r>
      <w:r>
        <w:t xml:space="preserve"> seven trust dimensions, T1 (identity), T2 (authority), T3 (multi-party), T4 (policy), T5 (temporal), T6 (lifecycle), and T7 (audit), and against the requirements, with a page reference for every positive coding. </w:t>
      </w:r>
      <w:r>
        <w:rPr>
          <w:highlight w:val="yellow"/>
        </w:rP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rPr>
          <w:highlight w:val="yellow"/>
        </w:rP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rPr>
          <w:highlight w:val="yellow"/>
        </w:rP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rPr>
          <w:highlight w:val="yellow"/>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2.4.</w:t>
      </w:r>
      <w:r>
        <w:t xml:space="preserve"> However, purpose-of-use enters the decision in only six studies (Eneh et al. 2026; Panagoulias et al. 2026), </w:t>
      </w:r>
      <w:r>
        <w:rPr>
          <w:highlight w:val="yellow"/>
        </w:rP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rPr>
          <w:highlight w:val="yellow"/>
        </w:rP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highlight w:val="yellow"/>
          <w:u w:val="single"/>
        </w:rPr>
        <w:t>Absence of temporal and lifecycle evaluation at the time of each access request (Req 5):</w:t>
      </w:r>
      <w:r>
        <w:rPr>
          <w:highlight w:val="yellow"/>
        </w:rP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rPr>
          <w:highlight w:val="yellow"/>
        </w:rP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rPr>
          <w:highlight w:val="yellow"/>
        </w:rP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highlight w:val="yellow"/>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highlight w:val="yellow"/>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of the trust-centric consent model: the check applied to each component of C at creation, the evidence and the result</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2</cp:revision>
  <dcterms:created xsi:type="dcterms:W3CDTF">2026-10-15T07:06:00Z</dcterms:created>
  <dcterms:modified xsi:type="dcterms:W3CDTF">2026-10-15T07:06:00Z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