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 A Systematic Literature Review</w:t>
      </w:r>
    </w:p>
    <w:bookmarkStart w:id="39" w:name="X8d950ebaf958e7860fc944fc7601a3578d63a09"/>
    <w:p>
      <w:pPr>
        <w:pStyle w:val="Heading1"/>
      </w:pPr>
      <w:r>
        <w:t xml:space="preserve">2 A Systematic Literature Review</w:t>
      </w:r>
    </w:p>
    <w:bookmarkStart w:id="9" w:name="overview-introduction"/>
    <w:p>
      <w:pPr>
        <w:pStyle w:val="Heading2"/>
      </w:pPr>
      <w:r>
        <w:t xml:space="preserve">2.1</w:t>
      </w:r>
      <w:r>
        <w:t xml:space="preserve"> </w:t>
      </w:r>
      <w:r>
        <w:t xml:space="preserve"> </w:t>
      </w:r>
      <w:r>
        <w:t xml:space="preserve">Introduction</w:t>
      </w:r>
    </w:p>
    <w:p>
      <w:pPr>
        <w:pStyle w:val="FirstParagrap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 [22, 24, 31, 43, 45, 48]. Blockchain-based data-governance research has investigated immutable records, distributed auditability, and decentralised consent management [2, 3, 7, 26]. Research on decentralised identity and verifiable credentials has developed mechanisms for self-controlled identity representation, credential verification, selective disclosure, and privacy-preserving authentication [4, 5, 16, 20, 27, 33]. Access-control research has further investigated role-based, attribute-based, risk-aware, and usage-control approaches for protecting sensitive healthcare information [11, 25, 28, 32, 46, 47, 49].</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objective of this chapter is therefore to examine, through a systematic literature review, how far the existing approaches satisfy the conditions of a trustworthy authorisation decision and where the gap addressed by the proposed framework lies.</w:t>
      </w:r>
    </w:p>
    <w:p>
      <w:pPr>
        <w:pStyle w:val="BodyText"/>
      </w:pPr>
      <w:r>
        <w:t xml:space="preserve">The reviewed studies were located, shortlisted and evaluated through the systematic process described in Section 2.3, which follows the four-step approach of searching the literature, applying inclusion and exclusion criteria, evaluating quality and analysing the data. To make the evaluation comparable across studies, Section 2.2 first defines five key requirements that a trust-oriented consent authorisation framework should satisfy. Each shortlisted paper is then assessed against these requirements in Section 2.4, the research gaps are drawn together from the requirement perspective in Section 2.5, and Section 2.6 concludes the chapter and introduces the research questions and objectives of Chapter 3.</w:t>
      </w:r>
    </w:p>
    <w:bookmarkEnd w:id="9"/>
    <w:bookmarkStart w:id="15" w:name="Xe31d4d16f418816f7cdb8bb7e2c33f7a12ca646"/>
    <w:p>
      <w:pPr>
        <w:pStyle w:val="Heading2"/>
      </w:pPr>
      <w:r>
        <w:t xml:space="preserve">2.2 Key Requirements for a Trust-Oriented Consent Authorisation Framework</w:t>
      </w:r>
    </w:p>
    <w:p>
      <w:pPr>
        <w:pStyle w:val="FirstParagraph"/>
      </w:pPr>
      <w:r>
        <w:t xml:space="preserve">This section defines the factors that a healthcare consent authorisation framework must provide before a data-access decision can be regarded as trustworthy. The five requirements are derived from the problem described in Chapter 1 and from the Australian regulatory setting in which the research is situated, in particular the Australian Privacy Principles of the</w:t>
      </w:r>
      <w:r>
        <w:t xml:space="preserve"> </w:t>
      </w:r>
      <w:r>
        <w:rPr>
          <w:i/>
          <w:iCs/>
        </w:rPr>
        <w:t xml:space="preserve">Privacy Act 1988</w:t>
      </w:r>
      <w:r>
        <w:t xml:space="preserve"> </w:t>
      </w:r>
      <w:r>
        <w:t xml:space="preserve">[34], the</w:t>
      </w:r>
      <w:r>
        <w:t xml:space="preserve"> </w:t>
      </w:r>
      <w:r>
        <w:rPr>
          <w:i/>
          <w:iCs/>
        </w:rPr>
        <w:t xml:space="preserve">My Health Records Act 2012</w:t>
      </w:r>
      <w:r>
        <w:t xml:space="preserve"> </w:t>
      </w:r>
      <w:r>
        <w:t xml:space="preserve">[35] and the</w:t>
      </w:r>
      <w:r>
        <w:t xml:space="preserve"> </w:t>
      </w:r>
      <w:r>
        <w:rPr>
          <w:i/>
          <w:iCs/>
        </w:rPr>
        <w:t xml:space="preserve">Healthcare Identifiers Act 2010</w:t>
      </w:r>
      <w:r>
        <w:t xml:space="preserve"> </w:t>
      </w:r>
      <w:r>
        <w:t xml:space="preserve">[36]. They form the basis on which the shortlisted studies are compared in Section 2.4 and against which the research gaps are stated in Section 2.5.</w:t>
      </w:r>
    </w:p>
    <w:bookmarkStart w:id="10" w:name="Xb2c1c1d0f9cf3a779daabe364a3fe8b072535a1"/>
    <w:p>
      <w:pPr>
        <w:pStyle w:val="Heading3"/>
      </w:pPr>
      <w:r>
        <w:t xml:space="preserve">2.2.1 Consent as an evaluable authorisation object (Req 1)</w:t>
      </w:r>
    </w:p>
    <w:p>
      <w:pPr>
        <w:pStyle w:val="FirstParagraph"/>
      </w:pPr>
      <w:r>
        <w:t xml:space="preserve">In most healthcare information systems, consent is stored as a record indicating that a patient agreed to a particular disclosure. Such a record establishes that consent was obtained, but it does not carry the information required to decide whether a later request should be permitted. The first requirement is therefore that consent be represented as a structured object that states who may access the data, under which authority, for which purpose, for which data categories and for how long, so that each access request can be evaluated against it. Consent receipts [10], dynamic consent models [13, 24] and the legal conditions of valid consent [22] all point in this direction, but they stop at recording consent rather than making it evaluable. Blockchain-backed architectures that execute and audit consents [43] and self-determined consent frameworks [45] add enforcement and tracking, yet they still act on the consent record rather than on an evaluation of the request.</w:t>
      </w:r>
    </w:p>
    <w:bookmarkEnd w:id="10"/>
    <w:bookmarkStart w:id="11" w:name="Xa885eda08813ad5fc0a2256dc7473e8c07c13b3"/>
    <w:p>
      <w:pPr>
        <w:pStyle w:val="Heading3"/>
      </w:pPr>
      <w:r>
        <w:t xml:space="preserve">2.2.2 Verifiable identity separated from authority (Req 2)</w:t>
      </w:r>
    </w:p>
    <w:p>
      <w:pPr>
        <w:pStyle w:val="FirstParagraph"/>
      </w:pPr>
      <w:r>
        <w:t xml:space="preserve">A trustworthy decision must first establish who is requesting or approving access, and then, separately, whether that party holds the authority the consent requires. Decentralised identifiers and verifiable credentials make the first step possible without a central identity provider [20, 4], and the</w:t>
      </w:r>
      <w:r>
        <w:t xml:space="preserve"> </w:t>
      </w:r>
      <w:r>
        <w:rPr>
          <w:i/>
          <w:iCs/>
        </w:rPr>
        <w:t xml:space="preserve">Healthcare Identifiers Act 2010</w:t>
      </w:r>
      <w:r>
        <w:t xml:space="preserve"> </w:t>
      </w:r>
      <w:r>
        <w:t xml:space="preserve">already gives every provider and individual a persistent identifier [36]. The second step is frequently overlooked: a valid credential shows that a person is, for example, a registered practitioner or a legal guardian [31], but not that this person is authorised for this patient, this purpose and this data. The second requirement is that identity verification and authority verification be modelled as distinct conditions.</w:t>
      </w:r>
    </w:p>
    <w:bookmarkEnd w:id="11"/>
    <w:bookmarkStart w:id="12" w:name="X3f1caa9985cd93675a873a4a1b7cf3386e492f2"/>
    <w:p>
      <w:pPr>
        <w:pStyle w:val="Heading3"/>
      </w:pPr>
      <w:r>
        <w:t xml:space="preserve">2.2.3 Multi-party threshold authorisation (Req 3)</w:t>
      </w:r>
    </w:p>
    <w:p>
      <w:pPr>
        <w:pStyle w:val="FirstParagraph"/>
      </w:pPr>
      <w:r>
        <w:t xml:space="preserve">In paediatric, aged-care and shared-guardianship settings the decision to release data does not belong to a single party. Guardians, the treating clinician and, where applicable, the institution each hold part of the authority [31]. The third requirement is that the framework collect independent approvals from a defined set of participants and activate the consent only when a predefined threshold has been reached, so that no single participant can grant access unilaterally. Multi-party verification of identity claims [4], multi-party governance of data trusts [19] and threshold-based pre-authorisation of record access [44] provide building blocks, but none treats the approval threshold as a verifiable condition attached to the consent itself.</w:t>
      </w:r>
    </w:p>
    <w:bookmarkEnd w:id="12"/>
    <w:bookmarkStart w:id="13" w:name="purpose--and-scope-bound-access-req-4"/>
    <w:p>
      <w:pPr>
        <w:pStyle w:val="Heading3"/>
      </w:pPr>
      <w:r>
        <w:t xml:space="preserve">2.2.4 Purpose- and scope-bound access (Req 4)</w:t>
      </w:r>
    </w:p>
    <w:p>
      <w:pPr>
        <w:pStyle w:val="FirstParagraph"/>
      </w:pPr>
      <w:r>
        <w:t xml:space="preserve">Even when the requester is verified and the required approvals exist, the request must remain within the purpose and the data scope that the patient authorised. Attribute-based, risk-aware, usage-control and purpose-based models can express fine-grained restrictions [11, 32, 25, 28, 46, 47, 49], and the Australian Privacy Principles require that health information be used only for the primary purpose of collection or a directly related purpose [34]. The fourth requirement is that the framework evaluate the requested purpose and data scope against the consent as an explicit condition of the decision rather than as a separate access-control layer.</w:t>
      </w:r>
    </w:p>
    <w:bookmarkEnd w:id="13"/>
    <w:bookmarkStart w:id="14" w:name="Xa8ff9ba73be0aeb7c197ff9dd13ad790ec9629a"/>
    <w:p>
      <w:pPr>
        <w:pStyle w:val="Heading3"/>
      </w:pPr>
      <w:r>
        <w:t xml:space="preserve">2.2.5 Lifecycle validity and auditable evidence (Req 5)</w:t>
      </w:r>
    </w:p>
    <w:p>
      <w:pPr>
        <w:pStyle w:val="FirstParagraph"/>
      </w:pPr>
      <w:r>
        <w:t xml:space="preserve">A consent that was valid when it was created may expire, be revoked or change state. The framework must therefore evaluate the temporal and lifecycle validity of the consent at the time of each request, and it must retain evidence of every decision so that the decision can be reviewed afterwards. Blockchain-based systems provide tamper-resistant audit trails [1, 26, 46, 48], and dynamic identity systems handle revocation at the identity level [33]; the fifth requirement is that the same properties hold for the consent object and for the authorisation decisions made on it.</w:t>
      </w:r>
    </w:p>
    <w:p>
      <w:pPr>
        <w:pStyle w:val="BodyText"/>
      </w:pPr>
      <w:r>
        <w:t xml:space="preserve">These five requirements form the basis of the comparison of the existing approaches in Section 2.4. Questions about whether the existing methods assist in addressing each requirement are answered in Tables 2.4–2.9, and the gaps are summarised from the requirement perspective in Section 2.5.</w:t>
      </w:r>
    </w:p>
    <w:bookmarkEnd w:id="14"/>
    <w:bookmarkEnd w:id="15"/>
    <w:bookmarkStart w:id="28" w:name="Xc890dc5c16727df01c4dec67a5cc738423fdfed"/>
    <w:p>
      <w:pPr>
        <w:pStyle w:val="Heading2"/>
      </w:pPr>
      <w:r>
        <w:t xml:space="preserve"> </w:t>
      </w:r>
      <w:r>
        <w:t xml:space="preserve">2.3</w:t>
      </w:r>
      <w:r>
        <w:t xml:space="preserve"> </w:t>
      </w:r>
      <w:r>
        <w:t xml:space="preserve"> </w:t>
      </w:r>
      <w:r>
        <w:t xml:space="preserve">Process Adopted for Shortlisting the Papers for the SLR</w:t>
      </w:r>
    </w:p>
    <w:p>
      <w:pPr>
        <w:pStyle w:val="FirstParagraph"/>
      </w:pPr>
      <w:r>
        <w:t xml:space="preserve">This review followed the Preferred Reporting Items for Systematic Reviews and Meta-Analyses (PRISMA 2020) reporting guideline [37]. It covers peer-reviewed literature published between 2022 and 2026 on healthcare consent management, decentralised identity and verifiable credentials, multi-party authorisation and policy-aware access control. The review questions, search strategy, eligibility criteria, screening, data extraction and quality assessment are described in Sections 2.3.1–2.3.6, and the resulting study selection is summarised in Figure 2.2.Consistent with the four-step approach adopted in this research group, the process is reported as searching the literature (Step 1), applying inclusion and exclusion criteria (Step 2), evaluating quality (Step 3) and extracting and categorising the data (Step 4).</w:t>
      </w:r>
    </w:p>
    <w:bookmarkStart w:id="16" w:name="review-design-and-reporting-framework"/>
    <w:p>
      <w:pPr>
        <w:pStyle w:val="Heading3"/>
      </w:pPr>
      <w:r>
        <w:t xml:space="preserve"> </w:t>
      </w:r>
      <w:r>
        <w:t xml:space="preserve">2.3.1 Review Design and Reporting Framework</w:t>
      </w:r>
    </w:p>
    <w:p>
      <w:pPr>
        <w:pStyle w:val="FirstParagraph"/>
      </w:pPr>
      <w:r>
        <w:t xml:space="preserve">A systematic literature review (SLR) was conducted to identify, classify, and critically evaluate existing research on multi-party healthcare data sharing, patient consent management, decentralised identity, privacy-preserving access control, and auditability. The review was designed to establish the conceptual and technical foundations of the research and the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authorisation enforcement, privacy preservation, and auditable data access.</w:t>
      </w:r>
    </w:p>
    <w:p>
      <w:pPr>
        <w:pStyle w:val="BodyText"/>
      </w:pPr>
      <w: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 The quality assessment is described in Section 2.3.5.</w:t>
      </w:r>
    </w:p>
    <w:bookmarkEnd w:id="16"/>
    <w:bookmarkStart w:id="17" w:name="questions-for-review"/>
    <w:p>
      <w:pPr>
        <w:pStyle w:val="Heading3"/>
      </w:pPr>
      <w:r>
        <w:t xml:space="preserve"> </w:t>
      </w:r>
      <w:r>
        <w:t xml:space="preserve">2.3.2 Questions for Review</w:t>
      </w:r>
    </w:p>
    <w:p>
      <w:pPr>
        <w:pStyle w:val="FirstParagraph"/>
      </w:pPr>
      <w:r>
        <w:t xml:space="preserve">This systematic literature review (SLR) is guided by the following questions:</w:t>
      </w:r>
    </w:p>
    <w:p>
      <w:pPr>
        <w:numPr>
          <w:ilvl w:val="0"/>
          <w:numId w:val="1001"/>
        </w:numPr>
      </w:pPr>
      <w:r>
        <w:t xml:space="preserve">What multi-party trust approaches have been proposed for healthcare data sharing and patient consent management?</w:t>
      </w:r>
    </w:p>
    <w:p>
      <w:pPr>
        <w:numPr>
          <w:ilvl w:val="0"/>
          <w:numId w:val="1001"/>
        </w:numPr>
      </w:pPr>
      <w:r>
        <w:t xml:space="preserve">How do existing approaches represent, verify, and enforce patient consent and data access permissions?</w:t>
      </w:r>
    </w:p>
    <w:p>
      <w:pPr>
        <w:numPr>
          <w:ilvl w:val="0"/>
          <w:numId w:val="1001"/>
        </w:numPr>
      </w:pPr>
      <w:r>
        <w:t xml:space="preserve">What mechanisms are used to support decentralised identity, verifiable credentials, and authentication in healthcare data ecosystems?</w:t>
      </w:r>
    </w:p>
    <w:p>
      <w:pPr>
        <w:numPr>
          <w:ilvl w:val="0"/>
          <w:numId w:val="1001"/>
        </w:numPr>
      </w:pPr>
      <w:r>
        <w:t xml:space="preserve">How do existing systems address privacy preservation, selective disclosure, interoperability, and auditability?</w:t>
      </w:r>
    </w:p>
    <w:p>
      <w:pPr>
        <w:numPr>
          <w:ilvl w:val="0"/>
          <w:numId w:val="1001"/>
        </w:numPr>
      </w:pPr>
      <w:r>
        <w:t xml:space="preserve">What limitations remain regarding the integration of consent management, identity verification, access control, and auditable healthcare data sharing?</w:t>
      </w:r>
    </w:p>
    <w:p>
      <w:pPr>
        <w:pStyle w:val="FirstParagraph"/>
      </w:pPr>
      <w: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bookmarkEnd w:id="17"/>
    <w:bookmarkStart w:id="21" w:name="X84813ed82bde8b681c1e93fab893fb6ffc8ce2b"/>
    <w:p>
      <w:pPr>
        <w:pStyle w:val="Heading3"/>
      </w:pPr>
      <w:r>
        <w:t xml:space="preserve"> </w:t>
      </w:r>
      <w:r>
        <w:t xml:space="preserve">2.3.3</w:t>
      </w:r>
      <w:r>
        <w:t xml:space="preserve"> </w:t>
      </w:r>
      <w:r>
        <w:t xml:space="preserve"> </w:t>
      </w:r>
      <w:r>
        <w:t xml:space="preserve">Step 1: Criteria for Searching the Literature</w:t>
      </w:r>
    </w:p>
    <w:p>
      <w:pPr>
        <w:pStyle w:val="FirstParagraph"/>
      </w:pPr>
      <w:r>
        <w:t xml:space="preserve">The literature search was conducted using the following academic databases including 1) IEEE Xplore, 2) ACM Digital Library, 3) ScienceDirect, 4) SpringerLink, 5) PubMed, 6) Scopus; and 7) Web of Science.</w:t>
      </w:r>
    </w:p>
    <w:p>
      <w:pPr>
        <w:pStyle w:val="BodyText"/>
      </w:pPr>
      <w: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decentralised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pStyle w:val="BodyText"/>
      </w:pPr>
      <w: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decentralised identity, access control, privacy, and auditability. The general search string was defined as shown in Figure 2.1.</w:t>
      </w:r>
    </w:p>
    <w:p>
      <w:pPr>
        <w:pStyle w:val="CaptionedFigure"/>
      </w:pPr>
      <w:r>
        <w:drawing>
          <wp:inline>
            <wp:extent cx="5486400" cy="3383782"/>
            <wp:effectExtent b="0" l="0" r="0" t="0"/>
            <wp:docPr descr="Figure 2.1: SLR search string definition" title="" id="19" name="Picture"/>
            <a:graphic>
              <a:graphicData uri="http://schemas.openxmlformats.org/drawingml/2006/picture">
                <pic:pic>
                  <pic:nvPicPr>
                    <pic:cNvPr descr="media/fig01.png" id="20" name="Picture"/>
                    <pic:cNvPicPr>
                      <a:picLocks noChangeArrowheads="1" noChangeAspect="1"/>
                    </pic:cNvPicPr>
                  </pic:nvPicPr>
                  <pic:blipFill>
                    <a:blip r:embed="rId18"/>
                    <a:stretch>
                      <a:fillRect/>
                    </a:stretch>
                  </pic:blipFill>
                  <pic:spPr bwMode="auto">
                    <a:xfrm>
                      <a:off x="0" y="0"/>
                      <a:ext cx="5486400" cy="3383782"/>
                    </a:xfrm>
                    <a:prstGeom prst="rect">
                      <a:avLst/>
                    </a:prstGeom>
                    <a:noFill/>
                    <a:ln w="9525">
                      <a:noFill/>
                      <a:headEnd/>
                      <a:tailEnd/>
                    </a:ln>
                  </pic:spPr>
                </pic:pic>
              </a:graphicData>
            </a:graphic>
          </wp:inline>
        </w:drawing>
      </w:r>
    </w:p>
    <w:p>
      <w:pPr>
        <w:pStyle w:val="ImageCaption"/>
      </w:pPr>
      <w:r>
        <w:t xml:space="preserve">Figure 2.1: SLR search string definition</w:t>
      </w:r>
    </w:p>
    <w:p>
      <w:pPr>
        <w:pStyle w:val="BodyText"/>
      </w:pPr>
      <w:r>
        <w:rPr>
          <w:b/>
          <w:bCs/>
        </w:rPr>
        <w:t xml:space="preserve">Search period and search execution.</w:t>
      </w:r>
    </w:p>
    <w:p>
      <w:pPr>
        <w:pStyle w:val="BodyText"/>
      </w:pPr>
      <w:r>
        <w:t xml:space="preserve">The search was restricted to studies published between</w:t>
      </w:r>
      <w:r>
        <w:t xml:space="preserve"> </w:t>
      </w:r>
      <w:r>
        <w:rPr>
          <w:b/>
          <w:bCs/>
        </w:rPr>
        <w:t xml:space="preserve">2022</w:t>
      </w:r>
      <w:r>
        <w:t xml:space="preserve"> </w:t>
      </w:r>
      <w:r>
        <w:t xml:space="preserve">and</w:t>
      </w:r>
      <w:r>
        <w:t xml:space="preserve"> </w:t>
      </w:r>
      <w:r>
        <w:rPr>
          <w:b/>
          <w:bCs/>
        </w:rPr>
        <w:t xml:space="preserve">2026</w:t>
      </w:r>
      <w:r>
        <w:t xml:space="preserve">. The search was performed in</w:t>
      </w:r>
      <w:r>
        <w:t xml:space="preserve"> </w:t>
      </w:r>
      <w:r>
        <w:rPr>
          <w:b/>
          <w:bCs/>
        </w:rPr>
        <w:t xml:space="preserve">15 August 2026</w:t>
      </w:r>
      <w:r>
        <w:t xml:space="preserve">. The search period was selected to capture the rapid development of multi-party trust healthcare data management, decentralised identity, and consent-aware access control while maintaining a sufficiently contemporary evidence base. Earlier foundational studies were retained when they provided critical contributions to the technical or conceptual development of the reviewed approaches.</w:t>
      </w:r>
    </w:p>
    <w:p>
      <w:pPr>
        <w:pStyle w:val="BodyText"/>
      </w:pPr>
      <w: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BodyText"/>
      </w:pPr>
      <w:r>
        <w:rPr>
          <w:b/>
          <w:bCs/>
        </w:rPr>
        <w:t xml:space="preserve">Required information from the selected papers.</w:t>
      </w:r>
      <w:r>
        <w:t xml:space="preserve"> </w:t>
      </w:r>
      <w:r>
        <w:t xml:space="preserve">For each record, the title, abstract, keywords and full text were required, together with the publication venue, year and the digital object identifier used for duplicate detection.</w:t>
      </w:r>
    </w:p>
    <w:p>
      <w:pPr>
        <w:pStyle w:val="BodyText"/>
      </w:pPr>
      <w:r>
        <w:rPr>
          <w:b/>
          <w:bCs/>
        </w:rPr>
        <w:t xml:space="preserve">Publication time of the records.</w:t>
      </w:r>
      <w:r>
        <w:t xml:space="preserve"> </w:t>
      </w:r>
      <w:r>
        <w:t xml:space="preserve">Only studies published between 2022 and 2026 were considered, because decentralised identity standards and consent-aware access control developed rapidly over that period; one earlier policy statement [31] was retained as a foundational source, as explained in Section 2.3.4. The journals and conference proceedings in which the included studies were published are listed in Table 2.1.</w:t>
      </w:r>
    </w:p>
    <w:p>
      <w:pPr>
        <w:pStyle w:val="TableCaption"/>
      </w:pPr>
      <w:r>
        <w:t xml:space="preserve">Table 2.1: Journals and conference proceedings of the included studies</w:t>
      </w:r>
    </w:p>
    <w:tbl>
      <w:tblPr>
        <w:tblStyle w:val="Table"/>
        <w:tblW w:type="pct" w:w="5000"/>
        <w:tblLayout w:type="fixed"/>
        <w:tblLook w:firstRow="1" w:lastRow="0" w:firstColumn="0" w:lastColumn="0" w:noHBand="0" w:noVBand="0" w:val="0020"/>
        <w:tblCaption w:val="Table 2.1: Journals and conference proceedings of the included studies"/>
      </w:tblPr>
      <w:tblGrid>
        <w:gridCol w:w="720"/>
        <w:gridCol w:w="4464"/>
        <w:gridCol w:w="1152"/>
        <w:gridCol w:w="158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S/N</w:t>
            </w:r>
          </w:p>
        </w:tc>
        <w:tc>
          <w:tcPr>
            <w:tcBorders>
              <w:bottom w:val="single" w:sz="8" w:space="0" w:color="000000"/>
            </w:tcBorders>
            <w:shd w:val="clear" w:color="auto" w:fill="E7E6E6"/>
            <w:vAlign w:val="center"/>
          </w:tcPr>
          <w:p>
            <w:pPr>
              <w:pStyle w:val="Compact"/>
              <w:jc w:val="left"/>
            </w:pPr>
            <w:r>
              <w:rPr>
                <w:b/>
                <w:bCs/>
              </w:rPr>
              <w:t xml:space="preserve">Journal or conference proceedings</w:t>
            </w:r>
          </w:p>
        </w:tc>
        <w:tc>
          <w:tcPr>
            <w:tcBorders>
              <w:bottom w:val="single" w:sz="8" w:space="0" w:color="000000"/>
            </w:tcBorders>
            <w:shd w:val="clear" w:color="auto" w:fill="E7E6E6"/>
            <w:vAlign w:val="center"/>
          </w:tcPr>
          <w:p>
            <w:pPr>
              <w:pStyle w:val="Compact"/>
              <w:jc w:val="left"/>
            </w:pPr>
            <w:r>
              <w:rPr>
                <w:b/>
                <w:bCs/>
              </w:rPr>
              <w:t xml:space="preserve">Type</w:t>
            </w:r>
          </w:p>
        </w:tc>
        <w:tc>
          <w:tcPr>
            <w:tcBorders>
              <w:bottom w:val="single" w:sz="8" w:space="0" w:color="000000"/>
            </w:tcBorders>
            <w:shd w:val="clear" w:color="auto" w:fill="E7E6E6"/>
            <w:vAlign w:val="center"/>
          </w:tcPr>
          <w:p>
            <w:pPr>
              <w:pStyle w:val="Compact"/>
              <w:jc w:val="left"/>
            </w:pPr>
            <w:r>
              <w:rPr>
                <w:b/>
                <w:bCs/>
              </w:rPr>
              <w:t xml:space="preserve">Included studies</w:t>
            </w:r>
          </w:p>
        </w:tc>
      </w:tr>
      <w:tr>
        <w:trPr>
          <w:cantSplit/>
        </w:trPr>
        <w:tc>
          <w:tcPr/>
          <w:p>
            <w:pPr>
              <w:pStyle w:val="Compact"/>
              <w:jc w:val="left"/>
            </w:pPr>
            <w:r>
              <w:t xml:space="preserve">1</w:t>
            </w:r>
          </w:p>
        </w:tc>
        <w:tc>
          <w:tcPr/>
          <w:p>
            <w:pPr>
              <w:pStyle w:val="Compact"/>
              <w:jc w:val="left"/>
            </w:pPr>
            <w:r>
              <w:t xml:space="preserve">IEEE Access</w:t>
            </w:r>
          </w:p>
        </w:tc>
        <w:tc>
          <w:tcPr/>
          <w:p>
            <w:pPr>
              <w:pStyle w:val="Compact"/>
              <w:jc w:val="left"/>
            </w:pPr>
            <w:r>
              <w:t xml:space="preserve">Journal</w:t>
            </w:r>
          </w:p>
        </w:tc>
        <w:tc>
          <w:tcPr/>
          <w:p>
            <w:pPr>
              <w:pStyle w:val="Compact"/>
              <w:jc w:val="left"/>
            </w:pPr>
            <w:r>
              <w:t xml:space="preserve">S2, S8, S10, S30</w:t>
            </w:r>
          </w:p>
        </w:tc>
      </w:tr>
      <w:tr>
        <w:trPr>
          <w:cantSplit/>
        </w:trPr>
        <w:tc>
          <w:tcPr/>
          <w:p>
            <w:pPr>
              <w:pStyle w:val="Compact"/>
              <w:jc w:val="left"/>
            </w:pPr>
            <w:r>
              <w:t xml:space="preserve">2</w:t>
            </w:r>
          </w:p>
        </w:tc>
        <w:tc>
          <w:tcPr/>
          <w:p>
            <w:pPr>
              <w:pStyle w:val="Compact"/>
              <w:jc w:val="left"/>
            </w:pPr>
            <w:r>
              <w:t xml:space="preserve">IEEE Communications Surveys &amp; Tutorials</w:t>
            </w:r>
          </w:p>
        </w:tc>
        <w:tc>
          <w:tcPr/>
          <w:p>
            <w:pPr>
              <w:pStyle w:val="Compact"/>
              <w:jc w:val="left"/>
            </w:pPr>
            <w:r>
              <w:t xml:space="preserve">Journal</w:t>
            </w:r>
          </w:p>
        </w:tc>
        <w:tc>
          <w:tcPr/>
          <w:p>
            <w:pPr>
              <w:pStyle w:val="Compact"/>
              <w:jc w:val="left"/>
            </w:pPr>
            <w:r>
              <w:t xml:space="preserve">S12, S20</w:t>
            </w:r>
          </w:p>
        </w:tc>
      </w:tr>
      <w:tr>
        <w:trPr>
          <w:cantSplit/>
        </w:trPr>
        <w:tc>
          <w:tcPr/>
          <w:p>
            <w:pPr>
              <w:pStyle w:val="Compact"/>
              <w:jc w:val="left"/>
            </w:pPr>
            <w:r>
              <w:t xml:space="preserve">3</w:t>
            </w:r>
          </w:p>
        </w:tc>
        <w:tc>
          <w:tcPr/>
          <w:p>
            <w:pPr>
              <w:pStyle w:val="Compact"/>
              <w:jc w:val="left"/>
            </w:pPr>
            <w:r>
              <w:t xml:space="preserve">ACM Computing Surveys</w:t>
            </w:r>
          </w:p>
        </w:tc>
        <w:tc>
          <w:tcPr/>
          <w:p>
            <w:pPr>
              <w:pStyle w:val="Compact"/>
              <w:jc w:val="left"/>
            </w:pPr>
            <w:r>
              <w:t xml:space="preserve">Journal</w:t>
            </w:r>
          </w:p>
        </w:tc>
        <w:tc>
          <w:tcPr/>
          <w:p>
            <w:pPr>
              <w:pStyle w:val="Compact"/>
              <w:jc w:val="left"/>
            </w:pPr>
            <w:r>
              <w:t xml:space="preserve">S14</w:t>
            </w:r>
          </w:p>
        </w:tc>
      </w:tr>
      <w:tr>
        <w:trPr>
          <w:cantSplit/>
        </w:trPr>
        <w:tc>
          <w:tcPr/>
          <w:p>
            <w:pPr>
              <w:pStyle w:val="Compact"/>
              <w:jc w:val="left"/>
            </w:pPr>
            <w:r>
              <w:t xml:space="preserve">4</w:t>
            </w:r>
          </w:p>
        </w:tc>
        <w:tc>
          <w:tcPr/>
          <w:p>
            <w:pPr>
              <w:pStyle w:val="Compact"/>
              <w:jc w:val="left"/>
            </w:pPr>
            <w:r>
              <w:t xml:space="preserve">ACM Transactions on Management Information Systems</w:t>
            </w:r>
          </w:p>
        </w:tc>
        <w:tc>
          <w:tcPr/>
          <w:p>
            <w:pPr>
              <w:pStyle w:val="Compact"/>
              <w:jc w:val="left"/>
            </w:pPr>
            <w:r>
              <w:t xml:space="preserve">Journal</w:t>
            </w:r>
          </w:p>
        </w:tc>
        <w:tc>
          <w:tcPr/>
          <w:p>
            <w:pPr>
              <w:pStyle w:val="Compact"/>
              <w:jc w:val="left"/>
            </w:pPr>
            <w:r>
              <w:t xml:space="preserve">S21</w:t>
            </w:r>
          </w:p>
        </w:tc>
      </w:tr>
      <w:tr>
        <w:trPr>
          <w:cantSplit/>
        </w:trPr>
        <w:tc>
          <w:tcPr/>
          <w:p>
            <w:pPr>
              <w:pStyle w:val="Compact"/>
              <w:jc w:val="left"/>
            </w:pPr>
            <w:r>
              <w:t xml:space="preserve">5</w:t>
            </w:r>
          </w:p>
        </w:tc>
        <w:tc>
          <w:tcPr/>
          <w:p>
            <w:pPr>
              <w:pStyle w:val="Compact"/>
              <w:jc w:val="left"/>
            </w:pPr>
            <w:r>
              <w:t xml:space="preserve">IEEE Transactions on Computers</w:t>
            </w:r>
          </w:p>
        </w:tc>
        <w:tc>
          <w:tcPr/>
          <w:p>
            <w:pPr>
              <w:pStyle w:val="Compact"/>
              <w:jc w:val="left"/>
            </w:pPr>
            <w:r>
              <w:t xml:space="preserve">Journal</w:t>
            </w:r>
          </w:p>
        </w:tc>
        <w:tc>
          <w:tcPr/>
          <w:p>
            <w:pPr>
              <w:pStyle w:val="Compact"/>
              <w:jc w:val="left"/>
            </w:pPr>
            <w:r>
              <w:t xml:space="preserve">S16</w:t>
            </w:r>
          </w:p>
        </w:tc>
      </w:tr>
      <w:tr>
        <w:trPr>
          <w:cantSplit/>
        </w:trPr>
        <w:tc>
          <w:tcPr/>
          <w:p>
            <w:pPr>
              <w:pStyle w:val="Compact"/>
              <w:jc w:val="left"/>
            </w:pPr>
            <w:r>
              <w:t xml:space="preserve">6</w:t>
            </w:r>
          </w:p>
        </w:tc>
        <w:tc>
          <w:tcPr/>
          <w:p>
            <w:pPr>
              <w:pStyle w:val="Compact"/>
              <w:jc w:val="left"/>
            </w:pPr>
            <w:r>
              <w:t xml:space="preserve">IEEE Transactions on Information Forensics and Security</w:t>
            </w:r>
          </w:p>
        </w:tc>
        <w:tc>
          <w:tcPr/>
          <w:p>
            <w:pPr>
              <w:pStyle w:val="Compact"/>
              <w:jc w:val="left"/>
            </w:pPr>
            <w:r>
              <w:t xml:space="preserve">Journal</w:t>
            </w:r>
          </w:p>
        </w:tc>
        <w:tc>
          <w:tcPr/>
          <w:p>
            <w:pPr>
              <w:pStyle w:val="Compact"/>
              <w:jc w:val="left"/>
            </w:pPr>
            <w:r>
              <w:t xml:space="preserve">S22</w:t>
            </w:r>
          </w:p>
        </w:tc>
      </w:tr>
      <w:tr>
        <w:trPr>
          <w:cantSplit/>
        </w:trPr>
        <w:tc>
          <w:tcPr/>
          <w:p>
            <w:pPr>
              <w:pStyle w:val="Compact"/>
              <w:jc w:val="left"/>
            </w:pPr>
            <w:r>
              <w:t xml:space="preserve">7</w:t>
            </w:r>
          </w:p>
        </w:tc>
        <w:tc>
          <w:tcPr/>
          <w:p>
            <w:pPr>
              <w:pStyle w:val="Compact"/>
              <w:jc w:val="left"/>
            </w:pPr>
            <w:r>
              <w:t xml:space="preserve">Journal of Network and Computer Applications</w:t>
            </w:r>
          </w:p>
        </w:tc>
        <w:tc>
          <w:tcPr/>
          <w:p>
            <w:pPr>
              <w:pStyle w:val="Compact"/>
              <w:jc w:val="left"/>
            </w:pPr>
            <w:r>
              <w:t xml:space="preserve">Journal</w:t>
            </w:r>
          </w:p>
        </w:tc>
        <w:tc>
          <w:tcPr/>
          <w:p>
            <w:pPr>
              <w:pStyle w:val="Compact"/>
              <w:jc w:val="left"/>
            </w:pPr>
            <w:r>
              <w:t xml:space="preserve">S11</w:t>
            </w:r>
          </w:p>
        </w:tc>
      </w:tr>
      <w:tr>
        <w:trPr>
          <w:cantSplit/>
        </w:trPr>
        <w:tc>
          <w:tcPr/>
          <w:p>
            <w:pPr>
              <w:pStyle w:val="Compact"/>
              <w:jc w:val="left"/>
            </w:pPr>
            <w:r>
              <w:t xml:space="preserve">8</w:t>
            </w:r>
          </w:p>
        </w:tc>
        <w:tc>
          <w:tcPr/>
          <w:p>
            <w:pPr>
              <w:pStyle w:val="Compact"/>
              <w:jc w:val="left"/>
            </w:pPr>
            <w:r>
              <w:t xml:space="preserve">Journal of Systems Architecture</w:t>
            </w:r>
          </w:p>
        </w:tc>
        <w:tc>
          <w:tcPr/>
          <w:p>
            <w:pPr>
              <w:pStyle w:val="Compact"/>
              <w:jc w:val="left"/>
            </w:pPr>
            <w:r>
              <w:t xml:space="preserve">Journal</w:t>
            </w:r>
          </w:p>
        </w:tc>
        <w:tc>
          <w:tcPr/>
          <w:p>
            <w:pPr>
              <w:pStyle w:val="Compact"/>
              <w:jc w:val="left"/>
            </w:pPr>
            <w:r>
              <w:t xml:space="preserve">S29</w:t>
            </w:r>
          </w:p>
        </w:tc>
      </w:tr>
      <w:tr>
        <w:trPr>
          <w:cantSplit/>
        </w:trPr>
        <w:tc>
          <w:tcPr/>
          <w:p>
            <w:pPr>
              <w:pStyle w:val="Compact"/>
              <w:jc w:val="left"/>
            </w:pPr>
            <w:r>
              <w:t xml:space="preserve">9</w:t>
            </w:r>
          </w:p>
        </w:tc>
        <w:tc>
          <w:tcPr/>
          <w:p>
            <w:pPr>
              <w:pStyle w:val="Compact"/>
              <w:jc w:val="left"/>
            </w:pPr>
            <w:r>
              <w:t xml:space="preserve">Journal of Information Security and Applications</w:t>
            </w:r>
          </w:p>
        </w:tc>
        <w:tc>
          <w:tcPr/>
          <w:p>
            <w:pPr>
              <w:pStyle w:val="Compact"/>
              <w:jc w:val="left"/>
            </w:pPr>
            <w:r>
              <w:t xml:space="preserve">Journal</w:t>
            </w:r>
          </w:p>
        </w:tc>
        <w:tc>
          <w:tcPr/>
          <w:p>
            <w:pPr>
              <w:pStyle w:val="Compact"/>
              <w:jc w:val="left"/>
            </w:pPr>
            <w:r>
              <w:t xml:space="preserve">S17</w:t>
            </w:r>
          </w:p>
        </w:tc>
      </w:tr>
      <w:tr>
        <w:trPr>
          <w:cantSplit/>
        </w:trPr>
        <w:tc>
          <w:tcPr/>
          <w:p>
            <w:pPr>
              <w:pStyle w:val="Compact"/>
              <w:jc w:val="left"/>
            </w:pPr>
            <w:r>
              <w:t xml:space="preserve">10</w:t>
            </w:r>
          </w:p>
        </w:tc>
        <w:tc>
          <w:tcPr/>
          <w:p>
            <w:pPr>
              <w:pStyle w:val="Compact"/>
              <w:jc w:val="left"/>
            </w:pPr>
            <w:r>
              <w:t xml:space="preserve">Journal of Big Data</w:t>
            </w:r>
          </w:p>
        </w:tc>
        <w:tc>
          <w:tcPr/>
          <w:p>
            <w:pPr>
              <w:pStyle w:val="Compact"/>
              <w:jc w:val="left"/>
            </w:pPr>
            <w:r>
              <w:t xml:space="preserve">Journal</w:t>
            </w:r>
          </w:p>
        </w:tc>
        <w:tc>
          <w:tcPr/>
          <w:p>
            <w:pPr>
              <w:pStyle w:val="Compact"/>
              <w:jc w:val="left"/>
            </w:pPr>
            <w:r>
              <w:t xml:space="preserve">S26</w:t>
            </w:r>
          </w:p>
        </w:tc>
      </w:tr>
      <w:tr>
        <w:trPr>
          <w:cantSplit/>
        </w:trPr>
        <w:tc>
          <w:tcPr/>
          <w:p>
            <w:pPr>
              <w:pStyle w:val="Compact"/>
              <w:jc w:val="left"/>
            </w:pPr>
            <w:r>
              <w:t xml:space="preserve">11</w:t>
            </w:r>
          </w:p>
        </w:tc>
        <w:tc>
          <w:tcPr/>
          <w:p>
            <w:pPr>
              <w:pStyle w:val="Compact"/>
              <w:jc w:val="left"/>
            </w:pPr>
            <w:r>
              <w:t xml:space="preserve">Cluster Computing</w:t>
            </w:r>
          </w:p>
        </w:tc>
        <w:tc>
          <w:tcPr/>
          <w:p>
            <w:pPr>
              <w:pStyle w:val="Compact"/>
              <w:jc w:val="left"/>
            </w:pPr>
            <w:r>
              <w:t xml:space="preserve">Journal</w:t>
            </w:r>
          </w:p>
        </w:tc>
        <w:tc>
          <w:tcPr/>
          <w:p>
            <w:pPr>
              <w:pStyle w:val="Compact"/>
              <w:jc w:val="left"/>
            </w:pPr>
            <w:r>
              <w:t xml:space="preserve">S28</w:t>
            </w:r>
          </w:p>
        </w:tc>
      </w:tr>
      <w:tr>
        <w:trPr>
          <w:cantSplit/>
        </w:trPr>
        <w:tc>
          <w:tcPr/>
          <w:p>
            <w:pPr>
              <w:pStyle w:val="Compact"/>
              <w:jc w:val="left"/>
            </w:pPr>
            <w:r>
              <w:t xml:space="preserve">12</w:t>
            </w:r>
          </w:p>
        </w:tc>
        <w:tc>
          <w:tcPr/>
          <w:p>
            <w:pPr>
              <w:pStyle w:val="Compact"/>
              <w:jc w:val="left"/>
            </w:pPr>
            <w:r>
              <w:t xml:space="preserve">Engineering Reports</w:t>
            </w:r>
          </w:p>
        </w:tc>
        <w:tc>
          <w:tcPr/>
          <w:p>
            <w:pPr>
              <w:pStyle w:val="Compact"/>
              <w:jc w:val="left"/>
            </w:pPr>
            <w:r>
              <w:t xml:space="preserve">Journal</w:t>
            </w:r>
          </w:p>
        </w:tc>
        <w:tc>
          <w:tcPr/>
          <w:p>
            <w:pPr>
              <w:pStyle w:val="Compact"/>
              <w:jc w:val="left"/>
            </w:pPr>
            <w:r>
              <w:t xml:space="preserve">S27</w:t>
            </w:r>
          </w:p>
        </w:tc>
      </w:tr>
      <w:tr>
        <w:trPr>
          <w:cantSplit/>
        </w:trPr>
        <w:tc>
          <w:tcPr/>
          <w:p>
            <w:pPr>
              <w:pStyle w:val="Compact"/>
              <w:jc w:val="left"/>
            </w:pPr>
            <w:r>
              <w:t xml:space="preserve">13</w:t>
            </w:r>
          </w:p>
        </w:tc>
        <w:tc>
          <w:tcPr/>
          <w:p>
            <w:pPr>
              <w:pStyle w:val="Compact"/>
              <w:jc w:val="left"/>
            </w:pPr>
            <w:r>
              <w:t xml:space="preserve">International Journal of Information Management Data Insights</w:t>
            </w:r>
          </w:p>
        </w:tc>
        <w:tc>
          <w:tcPr/>
          <w:p>
            <w:pPr>
              <w:pStyle w:val="Compact"/>
              <w:jc w:val="left"/>
            </w:pPr>
            <w:r>
              <w:t xml:space="preserve">Journal</w:t>
            </w:r>
          </w:p>
        </w:tc>
        <w:tc>
          <w:tcPr/>
          <w:p>
            <w:pPr>
              <w:pStyle w:val="Compact"/>
              <w:jc w:val="left"/>
            </w:pPr>
            <w:r>
              <w:t xml:space="preserve">S24</w:t>
            </w:r>
          </w:p>
        </w:tc>
      </w:tr>
      <w:tr>
        <w:trPr>
          <w:cantSplit/>
        </w:trPr>
        <w:tc>
          <w:tcPr/>
          <w:p>
            <w:pPr>
              <w:pStyle w:val="Compact"/>
              <w:jc w:val="left"/>
            </w:pPr>
            <w:r>
              <w:t xml:space="preserve">14</w:t>
            </w:r>
          </w:p>
        </w:tc>
        <w:tc>
          <w:tcPr/>
          <w:p>
            <w:pPr>
              <w:pStyle w:val="Compact"/>
              <w:jc w:val="left"/>
            </w:pPr>
            <w:r>
              <w:t xml:space="preserve">Applied Sciences</w:t>
            </w:r>
          </w:p>
        </w:tc>
        <w:tc>
          <w:tcPr/>
          <w:p>
            <w:pPr>
              <w:pStyle w:val="Compact"/>
              <w:jc w:val="left"/>
            </w:pPr>
            <w:r>
              <w:t xml:space="preserve">Journal</w:t>
            </w:r>
          </w:p>
        </w:tc>
        <w:tc>
          <w:tcPr/>
          <w:p>
            <w:pPr>
              <w:pStyle w:val="Compact"/>
              <w:jc w:val="left"/>
            </w:pPr>
            <w:r>
              <w:t xml:space="preserve">S15</w:t>
            </w:r>
          </w:p>
        </w:tc>
      </w:tr>
      <w:tr>
        <w:trPr>
          <w:cantSplit/>
        </w:trPr>
        <w:tc>
          <w:tcPr/>
          <w:p>
            <w:pPr>
              <w:pStyle w:val="Compact"/>
              <w:jc w:val="left"/>
            </w:pPr>
            <w:r>
              <w:t xml:space="preserve">15</w:t>
            </w:r>
          </w:p>
        </w:tc>
        <w:tc>
          <w:tcPr/>
          <w:p>
            <w:pPr>
              <w:pStyle w:val="Compact"/>
              <w:jc w:val="left"/>
            </w:pPr>
            <w:r>
              <w:t xml:space="preserve">Electronics</w:t>
            </w:r>
          </w:p>
        </w:tc>
        <w:tc>
          <w:tcPr/>
          <w:p>
            <w:pPr>
              <w:pStyle w:val="Compact"/>
              <w:jc w:val="left"/>
            </w:pPr>
            <w:r>
              <w:t xml:space="preserve">Journal</w:t>
            </w:r>
          </w:p>
        </w:tc>
        <w:tc>
          <w:tcPr/>
          <w:p>
            <w:pPr>
              <w:pStyle w:val="Compact"/>
              <w:jc w:val="left"/>
            </w:pPr>
            <w:r>
              <w:t xml:space="preserve">S3</w:t>
            </w:r>
          </w:p>
        </w:tc>
      </w:tr>
      <w:tr>
        <w:trPr>
          <w:cantSplit/>
        </w:trPr>
        <w:tc>
          <w:tcPr/>
          <w:p>
            <w:pPr>
              <w:pStyle w:val="Compact"/>
              <w:jc w:val="left"/>
            </w:pPr>
            <w:r>
              <w:t xml:space="preserve">16</w:t>
            </w:r>
          </w:p>
        </w:tc>
        <w:tc>
          <w:tcPr/>
          <w:p>
            <w:pPr>
              <w:pStyle w:val="Compact"/>
              <w:jc w:val="left"/>
            </w:pPr>
            <w:r>
              <w:t xml:space="preserve">Systems</w:t>
            </w:r>
          </w:p>
        </w:tc>
        <w:tc>
          <w:tcPr/>
          <w:p>
            <w:pPr>
              <w:pStyle w:val="Compact"/>
              <w:jc w:val="left"/>
            </w:pPr>
            <w:r>
              <w:t xml:space="preserve">Journal</w:t>
            </w:r>
          </w:p>
        </w:tc>
        <w:tc>
          <w:tcPr/>
          <w:p>
            <w:pPr>
              <w:pStyle w:val="Compact"/>
              <w:jc w:val="left"/>
            </w:pPr>
            <w:r>
              <w:t xml:space="preserve">S13</w:t>
            </w:r>
          </w:p>
        </w:tc>
      </w:tr>
      <w:tr>
        <w:trPr>
          <w:cantSplit/>
        </w:trPr>
        <w:tc>
          <w:tcPr/>
          <w:p>
            <w:pPr>
              <w:pStyle w:val="Compact"/>
              <w:jc w:val="left"/>
            </w:pPr>
            <w:r>
              <w:t xml:space="preserve">17</w:t>
            </w:r>
          </w:p>
        </w:tc>
        <w:tc>
          <w:tcPr/>
          <w:p>
            <w:pPr>
              <w:pStyle w:val="Compact"/>
              <w:jc w:val="left"/>
            </w:pPr>
            <w:r>
              <w:t xml:space="preserve">Cryptography</w:t>
            </w:r>
          </w:p>
        </w:tc>
        <w:tc>
          <w:tcPr/>
          <w:p>
            <w:pPr>
              <w:pStyle w:val="Compact"/>
              <w:jc w:val="left"/>
            </w:pPr>
            <w:r>
              <w:t xml:space="preserve">Journal</w:t>
            </w:r>
          </w:p>
        </w:tc>
        <w:tc>
          <w:tcPr/>
          <w:p>
            <w:pPr>
              <w:pStyle w:val="Compact"/>
              <w:jc w:val="left"/>
            </w:pPr>
            <w:r>
              <w:t xml:space="preserve">S23</w:t>
            </w:r>
          </w:p>
        </w:tc>
      </w:tr>
      <w:tr>
        <w:trPr>
          <w:cantSplit/>
        </w:trPr>
        <w:tc>
          <w:tcPr/>
          <w:p>
            <w:pPr>
              <w:pStyle w:val="Compact"/>
              <w:jc w:val="left"/>
            </w:pPr>
            <w:r>
              <w:t xml:space="preserve">18</w:t>
            </w:r>
          </w:p>
        </w:tc>
        <w:tc>
          <w:tcPr/>
          <w:p>
            <w:pPr>
              <w:pStyle w:val="Compact"/>
              <w:jc w:val="left"/>
            </w:pPr>
            <w:r>
              <w:t xml:space="preserve">IoT</w:t>
            </w:r>
          </w:p>
        </w:tc>
        <w:tc>
          <w:tcPr/>
          <w:p>
            <w:pPr>
              <w:pStyle w:val="Compact"/>
              <w:jc w:val="left"/>
            </w:pPr>
            <w:r>
              <w:t xml:space="preserve">Journal</w:t>
            </w:r>
          </w:p>
        </w:tc>
        <w:tc>
          <w:tcPr/>
          <w:p>
            <w:pPr>
              <w:pStyle w:val="Compact"/>
              <w:jc w:val="left"/>
            </w:pPr>
            <w:r>
              <w:t xml:space="preserve">S18</w:t>
            </w:r>
          </w:p>
        </w:tc>
      </w:tr>
      <w:tr>
        <w:trPr>
          <w:cantSplit/>
        </w:trPr>
        <w:tc>
          <w:tcPr/>
          <w:p>
            <w:pPr>
              <w:pStyle w:val="Compact"/>
              <w:jc w:val="left"/>
            </w:pPr>
            <w:r>
              <w:t xml:space="preserve">19</w:t>
            </w:r>
          </w:p>
        </w:tc>
        <w:tc>
          <w:tcPr/>
          <w:p>
            <w:pPr>
              <w:pStyle w:val="Compact"/>
              <w:jc w:val="left"/>
            </w:pPr>
            <w:r>
              <w:t xml:space="preserve">Computer Networks and Communications</w:t>
            </w:r>
          </w:p>
        </w:tc>
        <w:tc>
          <w:tcPr/>
          <w:p>
            <w:pPr>
              <w:pStyle w:val="Compact"/>
              <w:jc w:val="left"/>
            </w:pPr>
            <w:r>
              <w:t xml:space="preserve">Journal</w:t>
            </w:r>
          </w:p>
        </w:tc>
        <w:tc>
          <w:tcPr/>
          <w:p>
            <w:pPr>
              <w:pStyle w:val="Compact"/>
              <w:jc w:val="left"/>
            </w:pPr>
            <w:r>
              <w:t xml:space="preserve">S19</w:t>
            </w:r>
          </w:p>
        </w:tc>
      </w:tr>
      <w:tr>
        <w:trPr>
          <w:cantSplit/>
        </w:trPr>
        <w:tc>
          <w:tcPr/>
          <w:p>
            <w:pPr>
              <w:pStyle w:val="Compact"/>
              <w:jc w:val="left"/>
            </w:pPr>
            <w:r>
              <w:t xml:space="preserve">20</w:t>
            </w:r>
          </w:p>
        </w:tc>
        <w:tc>
          <w:tcPr/>
          <w:p>
            <w:pPr>
              <w:pStyle w:val="Compact"/>
              <w:jc w:val="left"/>
            </w:pPr>
            <w:r>
              <w:t xml:space="preserve">BMC Nursing</w:t>
            </w:r>
          </w:p>
        </w:tc>
        <w:tc>
          <w:tcPr/>
          <w:p>
            <w:pPr>
              <w:pStyle w:val="Compact"/>
              <w:jc w:val="left"/>
            </w:pPr>
            <w:r>
              <w:t xml:space="preserve">Journal</w:t>
            </w:r>
          </w:p>
        </w:tc>
        <w:tc>
          <w:tcPr/>
          <w:p>
            <w:pPr>
              <w:pStyle w:val="Compact"/>
              <w:jc w:val="left"/>
            </w:pPr>
            <w:r>
              <w:t xml:space="preserve">S1</w:t>
            </w:r>
          </w:p>
        </w:tc>
      </w:tr>
      <w:tr>
        <w:trPr>
          <w:cantSplit/>
        </w:trPr>
        <w:tc>
          <w:tcPr/>
          <w:p>
            <w:pPr>
              <w:pStyle w:val="Compact"/>
              <w:jc w:val="left"/>
            </w:pPr>
            <w:r>
              <w:t xml:space="preserve">21</w:t>
            </w:r>
          </w:p>
        </w:tc>
        <w:tc>
          <w:tcPr/>
          <w:p>
            <w:pPr>
              <w:pStyle w:val="Compact"/>
              <w:jc w:val="left"/>
            </w:pPr>
            <w:r>
              <w:t xml:space="preserve">Journal of Digital Health</w:t>
            </w:r>
          </w:p>
        </w:tc>
        <w:tc>
          <w:tcPr/>
          <w:p>
            <w:pPr>
              <w:pStyle w:val="Compact"/>
              <w:jc w:val="left"/>
            </w:pPr>
            <w:r>
              <w:t xml:space="preserve">Journal</w:t>
            </w:r>
          </w:p>
        </w:tc>
        <w:tc>
          <w:tcPr/>
          <w:p>
            <w:pPr>
              <w:pStyle w:val="Compact"/>
              <w:jc w:val="left"/>
            </w:pPr>
            <w:r>
              <w:t xml:space="preserve">S5</w:t>
            </w:r>
          </w:p>
        </w:tc>
      </w:tr>
      <w:tr>
        <w:trPr>
          <w:cantSplit/>
        </w:trPr>
        <w:tc>
          <w:tcPr/>
          <w:p>
            <w:pPr>
              <w:pStyle w:val="Compact"/>
              <w:jc w:val="left"/>
            </w:pPr>
            <w:r>
              <w:t xml:space="preserve">22</w:t>
            </w:r>
          </w:p>
        </w:tc>
        <w:tc>
          <w:tcPr/>
          <w:p>
            <w:pPr>
              <w:pStyle w:val="Compact"/>
              <w:jc w:val="left"/>
            </w:pPr>
            <w:r>
              <w:t xml:space="preserve">JMIR Medical Informatics</w:t>
            </w:r>
          </w:p>
        </w:tc>
        <w:tc>
          <w:tcPr/>
          <w:p>
            <w:pPr>
              <w:pStyle w:val="Compact"/>
              <w:jc w:val="left"/>
            </w:pPr>
            <w:r>
              <w:t xml:space="preserve">Journal</w:t>
            </w:r>
          </w:p>
        </w:tc>
        <w:tc>
          <w:tcPr/>
          <w:p>
            <w:pPr>
              <w:pStyle w:val="Compact"/>
              <w:jc w:val="left"/>
            </w:pPr>
            <w:r>
              <w:t xml:space="preserve">S7</w:t>
            </w:r>
          </w:p>
        </w:tc>
      </w:tr>
      <w:tr>
        <w:trPr>
          <w:cantSplit/>
        </w:trPr>
        <w:tc>
          <w:tcPr/>
          <w:p>
            <w:pPr>
              <w:pStyle w:val="Compact"/>
              <w:jc w:val="left"/>
            </w:pPr>
            <w:r>
              <w:t xml:space="preserve">23</w:t>
            </w:r>
          </w:p>
        </w:tc>
        <w:tc>
          <w:tcPr/>
          <w:p>
            <w:pPr>
              <w:pStyle w:val="Compact"/>
              <w:jc w:val="left"/>
            </w:pPr>
            <w:r>
              <w:t xml:space="preserve">European Journal of Health Law</w:t>
            </w:r>
          </w:p>
        </w:tc>
        <w:tc>
          <w:tcPr/>
          <w:p>
            <w:pPr>
              <w:pStyle w:val="Compact"/>
              <w:jc w:val="left"/>
            </w:pPr>
            <w:r>
              <w:t xml:space="preserve">Journal</w:t>
            </w:r>
          </w:p>
        </w:tc>
        <w:tc>
          <w:tcPr/>
          <w:p>
            <w:pPr>
              <w:pStyle w:val="Compact"/>
              <w:jc w:val="left"/>
            </w:pPr>
            <w:r>
              <w:t xml:space="preserve">S4</w:t>
            </w:r>
          </w:p>
        </w:tc>
      </w:tr>
      <w:tr>
        <w:trPr>
          <w:cantSplit/>
        </w:trPr>
        <w:tc>
          <w:tcPr/>
          <w:p>
            <w:pPr>
              <w:pStyle w:val="Compact"/>
              <w:jc w:val="left"/>
            </w:pPr>
            <w:r>
              <w:t xml:space="preserve">24</w:t>
            </w:r>
          </w:p>
        </w:tc>
        <w:tc>
          <w:tcPr/>
          <w:p>
            <w:pPr>
              <w:pStyle w:val="Compact"/>
              <w:jc w:val="left"/>
            </w:pPr>
            <w:r>
              <w:t xml:space="preserve">Pediatrics</w:t>
            </w:r>
          </w:p>
        </w:tc>
        <w:tc>
          <w:tcPr/>
          <w:p>
            <w:pPr>
              <w:pStyle w:val="Compact"/>
              <w:jc w:val="left"/>
            </w:pPr>
            <w:r>
              <w:t xml:space="preserve">Journal</w:t>
            </w:r>
          </w:p>
        </w:tc>
        <w:tc>
          <w:tcPr/>
          <w:p>
            <w:pPr>
              <w:pStyle w:val="Compact"/>
              <w:jc w:val="left"/>
            </w:pPr>
            <w:r>
              <w:t xml:space="preserve">S6</w:t>
            </w:r>
          </w:p>
        </w:tc>
      </w:tr>
      <w:tr>
        <w:trPr>
          <w:cantSplit/>
        </w:trPr>
        <w:tc>
          <w:tcPr/>
          <w:p>
            <w:pPr>
              <w:pStyle w:val="Compact"/>
              <w:jc w:val="left"/>
            </w:pPr>
            <w:r>
              <w:t xml:space="preserve">25</w:t>
            </w:r>
          </w:p>
        </w:tc>
        <w:tc>
          <w:tcPr/>
          <w:p>
            <w:pPr>
              <w:pStyle w:val="Compact"/>
              <w:jc w:val="left"/>
            </w:pPr>
            <w:r>
              <w:t xml:space="preserve">npj Digital Medicine</w:t>
            </w:r>
          </w:p>
        </w:tc>
        <w:tc>
          <w:tcPr/>
          <w:p>
            <w:pPr>
              <w:pStyle w:val="Compact"/>
              <w:jc w:val="left"/>
            </w:pPr>
            <w:r>
              <w:t xml:space="preserve">Journal</w:t>
            </w:r>
          </w:p>
        </w:tc>
        <w:tc>
          <w:tcPr/>
          <w:p>
            <w:pPr>
              <w:pStyle w:val="Compact"/>
              <w:jc w:val="left"/>
            </w:pPr>
            <w:r>
              <w:t xml:space="preserve">S9</w:t>
            </w:r>
          </w:p>
        </w:tc>
      </w:tr>
      <w:tr>
        <w:trPr>
          <w:cantSplit/>
        </w:trPr>
        <w:tc>
          <w:tcPr/>
          <w:p>
            <w:pPr>
              <w:pStyle w:val="Compact"/>
              <w:jc w:val="left"/>
            </w:pPr>
            <w:r>
              <w:t xml:space="preserve">26</w:t>
            </w:r>
          </w:p>
        </w:tc>
        <w:tc>
          <w:tcPr/>
          <w:p>
            <w:pPr>
              <w:pStyle w:val="Compact"/>
              <w:jc w:val="left"/>
            </w:pPr>
            <w:r>
              <w:t xml:space="preserve">Heliyon</w:t>
            </w:r>
          </w:p>
        </w:tc>
        <w:tc>
          <w:tcPr/>
          <w:p>
            <w:pPr>
              <w:pStyle w:val="Compact"/>
              <w:jc w:val="left"/>
            </w:pPr>
            <w:r>
              <w:t xml:space="preserve">Journal</w:t>
            </w:r>
          </w:p>
        </w:tc>
        <w:tc>
          <w:tcPr/>
          <w:p>
            <w:pPr>
              <w:pStyle w:val="Compact"/>
              <w:jc w:val="left"/>
            </w:pPr>
            <w:r>
              <w:t xml:space="preserve">S31</w:t>
            </w:r>
          </w:p>
        </w:tc>
      </w:tr>
      <w:tr>
        <w:trPr>
          <w:cantSplit/>
        </w:trPr>
        <w:tc>
          <w:tcPr/>
          <w:p>
            <w:pPr>
              <w:pStyle w:val="Compact"/>
              <w:jc w:val="left"/>
            </w:pPr>
            <w:r>
              <w:t xml:space="preserve">27</w:t>
            </w:r>
          </w:p>
        </w:tc>
        <w:tc>
          <w:tcPr/>
          <w:p>
            <w:pPr>
              <w:pStyle w:val="Compact"/>
              <w:jc w:val="left"/>
            </w:pPr>
            <w:r>
              <w:t xml:space="preserve">PeerJ Computer Science</w:t>
            </w:r>
          </w:p>
        </w:tc>
        <w:tc>
          <w:tcPr/>
          <w:p>
            <w:pPr>
              <w:pStyle w:val="Compact"/>
              <w:jc w:val="left"/>
            </w:pPr>
            <w:r>
              <w:t xml:space="preserve">Journal</w:t>
            </w:r>
          </w:p>
        </w:tc>
        <w:tc>
          <w:tcPr/>
          <w:p>
            <w:pPr>
              <w:pStyle w:val="Compact"/>
              <w:jc w:val="left"/>
            </w:pPr>
            <w:r>
              <w:t xml:space="preserve">S32</w:t>
            </w:r>
          </w:p>
        </w:tc>
      </w:tr>
      <w:tr>
        <w:trPr>
          <w:cantSplit/>
        </w:trPr>
        <w:tc>
          <w:tcPr/>
          <w:p>
            <w:pPr>
              <w:pStyle w:val="Compact"/>
              <w:jc w:val="left"/>
            </w:pPr>
            <w:r>
              <w:t xml:space="preserve">28</w:t>
            </w:r>
          </w:p>
        </w:tc>
        <w:tc>
          <w:tcPr/>
          <w:p>
            <w:pPr>
              <w:pStyle w:val="Compact"/>
              <w:jc w:val="left"/>
            </w:pPr>
            <w:r>
              <w:t xml:space="preserve">Wireless Networks</w:t>
            </w:r>
          </w:p>
        </w:tc>
        <w:tc>
          <w:tcPr/>
          <w:p>
            <w:pPr>
              <w:pStyle w:val="Compact"/>
              <w:jc w:val="left"/>
            </w:pPr>
            <w:r>
              <w:t xml:space="preserve">Journal</w:t>
            </w:r>
          </w:p>
        </w:tc>
        <w:tc>
          <w:tcPr/>
          <w:p>
            <w:pPr>
              <w:pStyle w:val="Compact"/>
              <w:jc w:val="left"/>
            </w:pPr>
            <w:r>
              <w:t xml:space="preserve">S25</w:t>
            </w:r>
          </w:p>
        </w:tc>
      </w:tr>
      <w:tr>
        <w:trPr>
          <w:cantSplit/>
        </w:trPr>
        <w:tc>
          <w:tcPr/>
          <w:p>
            <w:pPr>
              <w:pStyle w:val="Compact"/>
              <w:jc w:val="left"/>
            </w:pPr>
            <w:r>
              <w:t xml:space="preserve">29</w:t>
            </w:r>
          </w:p>
        </w:tc>
        <w:tc>
          <w:tcPr/>
          <w:p>
            <w:pPr>
              <w:pStyle w:val="Compact"/>
              <w:jc w:val="left"/>
            </w:pPr>
            <w:r>
              <w:t xml:space="preserve">IFIP International Conference on Distributed Applications and Interoperable Systems (DAIS)</w:t>
            </w:r>
          </w:p>
        </w:tc>
        <w:tc>
          <w:tcPr/>
          <w:p>
            <w:pPr>
              <w:pStyle w:val="Compact"/>
              <w:jc w:val="left"/>
            </w:pPr>
            <w:r>
              <w:t xml:space="preserve">Conference</w:t>
            </w:r>
          </w:p>
        </w:tc>
        <w:tc>
          <w:tcPr/>
          <w:p>
            <w:pPr>
              <w:pStyle w:val="Compact"/>
              <w:jc w:val="left"/>
            </w:pPr>
            <w:r>
              <w:t xml:space="preserve">S33</w:t>
            </w:r>
          </w:p>
        </w:tc>
      </w:tr>
    </w:tbl>
    <w:bookmarkEnd w:id="21"/>
    <w:bookmarkStart w:id="22" w:name="X87f2157b1356acc42089dadf522cb794d6b8b71"/>
    <w:p>
      <w:pPr>
        <w:pStyle w:val="Heading3"/>
      </w:pPr>
      <w:r>
        <w:t xml:space="preserve"> </w:t>
      </w:r>
      <w:r>
        <w:t xml:space="preserve">2.3.4</w:t>
      </w:r>
      <w:r>
        <w:t xml:space="preserve"> </w:t>
      </w:r>
      <w:r>
        <w:t xml:space="preserve"> </w:t>
      </w:r>
      <w:r>
        <w:t xml:space="preserve">Step 2: Inclusion and Exclusion Criteria</w:t>
      </w:r>
    </w:p>
    <w:p>
      <w:pPr>
        <w:pStyle w:val="FirstParagraph"/>
      </w:pPr>
      <w:r>
        <w:t xml:space="preserve">The eligibility criteria were defined before the screening process to ensure consistency in the selection of studies. The criteria were designed to identify research that was directly relevant to the objectives of the SLR.</w:t>
      </w:r>
    </w:p>
    <w:p>
      <w:pPr>
        <w:pStyle w:val="BodyText"/>
      </w:pPr>
      <w:r>
        <w:t xml:space="preserve">A study was included if it satisfied the following criteria:</w:t>
      </w:r>
    </w:p>
    <w:p>
      <w:pPr>
        <w:numPr>
          <w:ilvl w:val="0"/>
          <w:numId w:val="1002"/>
        </w:numPr>
      </w:pPr>
      <w:r>
        <w:t xml:space="preserve">The study was published as a peer-reviewed journal article, conference paper, or systematic review relevant to the research questions.</w:t>
      </w:r>
    </w:p>
    <w:p>
      <w:pPr>
        <w:numPr>
          <w:ilvl w:val="0"/>
          <w:numId w:val="1002"/>
        </w:numPr>
      </w:pPr>
      <w:r>
        <w:t xml:space="preserve">The study addressed healthcare data sharing, electronic health records, patient consent, healthcare access control, decentralised identity, privacy preservation, or a closely related topic.</w:t>
      </w:r>
    </w:p>
    <w:p>
      <w:pPr>
        <w:numPr>
          <w:ilvl w:val="0"/>
          <w:numId w:val="1002"/>
        </w:numPr>
      </w:pPr>
      <w:r>
        <w:t xml:space="preserve">The study proposed, implemented, evaluated, or critically reviewed a technical, architectural, conceptual, or governance-oriented approach relevant to the research questions.</w:t>
      </w:r>
    </w:p>
    <w:p>
      <w:pPr>
        <w:numPr>
          <w:ilvl w:val="0"/>
          <w:numId w:val="1002"/>
        </w:numPr>
      </w:pPr>
      <w:r>
        <w:t xml:space="preserve">The study provided sufficient methodological or conceptual information to support the extraction of relevant findings.</w:t>
      </w:r>
    </w:p>
    <w:p>
      <w:pPr>
        <w:numPr>
          <w:ilvl w:val="0"/>
          <w:numId w:val="1002"/>
        </w:numPr>
      </w:pPr>
      <w:r>
        <w:t xml:space="preserve">The full text was available for inspection.</w:t>
      </w:r>
    </w:p>
    <w:p>
      <w:pPr>
        <w:numPr>
          <w:ilvl w:val="0"/>
          <w:numId w:val="1002"/>
        </w:numPr>
      </w:pPr>
      <w:r>
        <w:t xml:space="preserve">The publication language was English.</w:t>
      </w:r>
    </w:p>
    <w:p>
      <w:pPr>
        <w:pStyle w:val="FirstParagraph"/>
      </w:pPr>
      <w:r>
        <w:t xml:space="preserve">Studies were excluded if they satisfied one or more of the following conditions:</w:t>
      </w:r>
    </w:p>
    <w:p>
      <w:pPr>
        <w:numPr>
          <w:ilvl w:val="0"/>
          <w:numId w:val="1003"/>
        </w:numPr>
      </w:pPr>
      <w:r>
        <w:t xml:space="preserve">The study was unrelated to healthcare data sharing, patient consent, identity management, access control, privacy, or auditability.</w:t>
      </w:r>
    </w:p>
    <w:p>
      <w:pPr>
        <w:numPr>
          <w:ilvl w:val="0"/>
          <w:numId w:val="1003"/>
        </w:numPr>
      </w:pPr>
      <w:r>
        <w:t xml:space="preserve">The study was a duplicate of another retrieved record.</w:t>
      </w:r>
    </w:p>
    <w:p>
      <w:pPr>
        <w:numPr>
          <w:ilvl w:val="0"/>
          <w:numId w:val="1003"/>
        </w:numPr>
      </w:pPr>
      <w:r>
        <w:t xml:space="preserve">The study was a short abstract, editorial, opinion article, thesis, book chapter, or non-peer-reviewed publication without sufficient methodological detail, unless it provided a necessary foundational contribution.</w:t>
      </w:r>
    </w:p>
    <w:p>
      <w:pPr>
        <w:numPr>
          <w:ilvl w:val="0"/>
          <w:numId w:val="1003"/>
        </w:numPr>
      </w:pPr>
      <w:r>
        <w:t xml:space="preserve">The study did not provide sufficient information to evaluate its contribution to the research questions.</w:t>
      </w:r>
    </w:p>
    <w:p>
      <w:pPr>
        <w:numPr>
          <w:ilvl w:val="0"/>
          <w:numId w:val="1003"/>
        </w:numPr>
      </w:pPr>
      <w:r>
        <w:t xml:space="preserve">The full text was unavailable.</w:t>
      </w:r>
    </w:p>
    <w:p>
      <w:pPr>
        <w:numPr>
          <w:ilvl w:val="0"/>
          <w:numId w:val="1003"/>
        </w:numPr>
      </w:pPr>
      <w:r>
        <w:t xml:space="preserve">The study focused exclusively on a technical problem that was outside the scope of healthcare data management and did not provide transferable insights relevant to the review.</w:t>
      </w:r>
    </w:p>
    <w:p>
      <w:pPr>
        <w:pStyle w:val="FirstParagraph"/>
      </w:pPr>
      <w:r>
        <w:t xml:space="preserve">Consistent with exclusion criterion 6, four studies from outside the healthcare domain were retained because the mechanism they contribute transfers directly to healthcare authorisation: decentralised trust in multi-stakeholder data sharing [6], DID/VC-based privacy-preserving authentication [27], and decentralised identity and access control for constrained devices [15, 16]. Studies whose subject matter lies outside healthcare data sharing, consent, identity or access control were excluded at the full-text stage as scope mismatches (Figure 2.2). Two survey studies of stakeholder attitudes and intentions towards health-data sharing [12, 14] are cited as background in Chapter 1 but were not retained in the review set, because they do not propose, implement or evaluate an approach (inclusion criterion 3). One book chapter [16] was retained under the exception to exclusion criterion 3 because it provides a foundational overview of decentralised identity, and one earlier policy statement [31] (2019) was retained as a foundational healthcare source on guardian and proxy access to electronic health records, as permitted in Section 2.3.3.</w:t>
      </w:r>
    </w:p>
    <w:p>
      <w:pPr>
        <w:pStyle w:val="BodyText"/>
      </w:pPr>
      <w: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pStyle w:val="BodyText"/>
      </w:pPr>
      <w:r>
        <w:t xml:space="preserve">The stages of evaluating and selecting the relevant papers for the SLR are summarised in Table 2.2.</w:t>
      </w:r>
    </w:p>
    <w:p>
      <w:pPr>
        <w:pStyle w:val="TableCaption"/>
      </w:pPr>
      <w:r>
        <w:t xml:space="preserve">Table 2.2: Summary of the stages of evaluating and selecting the relevant papers for the SLR</w:t>
      </w:r>
    </w:p>
    <w:tbl>
      <w:tblPr>
        <w:tblStyle w:val="Table"/>
        <w:tblW w:type="pct" w:w="5000"/>
        <w:tblLayout w:type="fixed"/>
        <w:tblLook w:firstRow="1" w:lastRow="0" w:firstColumn="0" w:lastColumn="0" w:noHBand="0" w:noVBand="0" w:val="0020"/>
        <w:tblCaption w:val="Table 2.2: Summary of the stages of evaluating and selecting the relevant papers for the SLR"/>
      </w:tblPr>
      <w:tblGrid>
        <w:gridCol w:w="371"/>
        <w:gridCol w:w="2598"/>
        <w:gridCol w:w="3836"/>
        <w:gridCol w:w="111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Method</w:t>
            </w:r>
          </w:p>
        </w:tc>
        <w:tc>
          <w:tcPr>
            <w:tcBorders>
              <w:bottom w:val="single" w:sz="8" w:space="0" w:color="000000"/>
            </w:tcBorders>
            <w:shd w:val="clear" w:color="auto" w:fill="E7E6E6"/>
            <w:vAlign w:val="center"/>
          </w:tcPr>
          <w:p>
            <w:pPr>
              <w:pStyle w:val="Compact"/>
              <w:jc w:val="left"/>
            </w:pPr>
            <w:r>
              <w:rPr>
                <w:b/>
                <w:bCs/>
              </w:rPr>
              <w:t xml:space="preserve">Assessment criterion</w:t>
            </w:r>
          </w:p>
        </w:tc>
        <w:tc>
          <w:tcPr>
            <w:tcBorders>
              <w:bottom w:val="single" w:sz="8" w:space="0" w:color="000000"/>
            </w:tcBorders>
            <w:shd w:val="clear" w:color="auto" w:fill="E7E6E6"/>
            <w:vAlign w:val="center"/>
          </w:tcPr>
          <w:p>
            <w:pPr>
              <w:pStyle w:val="Compact"/>
              <w:jc w:val="left"/>
            </w:pPr>
            <w:r>
              <w:rPr>
                <w:b/>
                <w:bCs/>
              </w:rPr>
              <w:t xml:space="preserve">Records</w:t>
            </w:r>
          </w:p>
        </w:tc>
      </w:tr>
      <w:tr>
        <w:trPr>
          <w:cantSplit/>
        </w:trPr>
        <w:tc>
          <w:tcPr/>
          <w:p>
            <w:pPr>
              <w:pStyle w:val="Compact"/>
              <w:jc w:val="left"/>
            </w:pPr>
            <w:r>
              <w:t xml:space="preserve">1st</w:t>
            </w:r>
          </w:p>
        </w:tc>
        <w:tc>
          <w:tcPr/>
          <w:p>
            <w:pPr>
              <w:pStyle w:val="Compact"/>
              <w:jc w:val="left"/>
            </w:pPr>
            <w:r>
              <w:t xml:space="preserve">Identify the related records in the seven databases</w:t>
            </w:r>
          </w:p>
        </w:tc>
        <w:tc>
          <w:tcPr/>
          <w:p>
            <w:pPr>
              <w:pStyle w:val="Compact"/>
              <w:jc w:val="left"/>
            </w:pPr>
            <w:r>
              <w:t xml:space="preserve">Search string of Figure 2.1; publication year 2022–2026; English</w:t>
            </w:r>
          </w:p>
        </w:tc>
        <w:tc>
          <w:tcPr/>
          <w:p>
            <w:pPr>
              <w:pStyle w:val="Compact"/>
              <w:jc w:val="left"/>
            </w:pPr>
            <w:r>
              <w:t xml:space="preserve">125 identified</w:t>
            </w:r>
          </w:p>
        </w:tc>
      </w:tr>
      <w:tr>
        <w:trPr>
          <w:cantSplit/>
        </w:trPr>
        <w:tc>
          <w:tcPr/>
          <w:p>
            <w:pPr>
              <w:pStyle w:val="Compact"/>
              <w:jc w:val="left"/>
            </w:pPr>
            <w:r>
              <w:t xml:space="preserve">2nd</w:t>
            </w:r>
          </w:p>
        </w:tc>
        <w:tc>
          <w:tcPr/>
          <w:p>
            <w:pPr>
              <w:pStyle w:val="Compact"/>
              <w:jc w:val="left"/>
            </w:pPr>
            <w:r>
              <w:t xml:space="preserve">Remove duplicates and records flagged by automation tools</w:t>
            </w:r>
          </w:p>
        </w:tc>
        <w:tc>
          <w:tcPr/>
          <w:p>
            <w:pPr>
              <w:pStyle w:val="Compact"/>
              <w:jc w:val="left"/>
            </w:pPr>
            <w:r>
              <w:t xml:space="preserve">Same DOI, title and authors; automation tools mark the record ineligible</w:t>
            </w:r>
          </w:p>
        </w:tc>
        <w:tc>
          <w:tcPr/>
          <w:p>
            <w:pPr>
              <w:pStyle w:val="Compact"/>
              <w:jc w:val="left"/>
            </w:pPr>
            <w:r>
              <w:t xml:space="preserve">42 removed; 83 screened</w:t>
            </w:r>
          </w:p>
        </w:tc>
      </w:tr>
      <w:tr>
        <w:trPr>
          <w:cantSplit/>
        </w:trPr>
        <w:tc>
          <w:tcPr/>
          <w:p>
            <w:pPr>
              <w:pStyle w:val="Compact"/>
              <w:jc w:val="left"/>
            </w:pPr>
            <w:r>
              <w:t xml:space="preserve">3rd</w:t>
            </w:r>
          </w:p>
        </w:tc>
        <w:tc>
          <w:tcPr/>
          <w:p>
            <w:pPr>
              <w:pStyle w:val="Compact"/>
              <w:jc w:val="left"/>
            </w:pPr>
            <w:r>
              <w:t xml:space="preserve">Screen titles and abstracts</w:t>
            </w:r>
          </w:p>
        </w:tc>
        <w:tc>
          <w:tcPr/>
          <w:p>
            <w:pPr>
              <w:pStyle w:val="Compact"/>
              <w:jc w:val="left"/>
            </w:pPr>
            <w:r>
              <w:t xml:space="preserve">Exclude if unrelated to healthcare data sharing, consent, identity or access control</w:t>
            </w:r>
          </w:p>
        </w:tc>
        <w:tc>
          <w:tcPr/>
          <w:p>
            <w:pPr>
              <w:pStyle w:val="Compact"/>
              <w:jc w:val="left"/>
            </w:pPr>
            <w:r>
              <w:t xml:space="preserve">40 excluded; 43 sought</w:t>
            </w:r>
          </w:p>
        </w:tc>
      </w:tr>
      <w:tr>
        <w:trPr>
          <w:cantSplit/>
        </w:trPr>
        <w:tc>
          <w:tcPr/>
          <w:p>
            <w:pPr>
              <w:pStyle w:val="Compact"/>
              <w:jc w:val="left"/>
            </w:pPr>
            <w:r>
              <w:t xml:space="preserve">4th</w:t>
            </w:r>
          </w:p>
        </w:tc>
        <w:tc>
          <w:tcPr/>
          <w:p>
            <w:pPr>
              <w:pStyle w:val="Compact"/>
              <w:jc w:val="left"/>
            </w:pPr>
            <w:r>
              <w:t xml:space="preserve">Retrieve the full text</w:t>
            </w:r>
          </w:p>
        </w:tc>
        <w:tc>
          <w:tcPr/>
          <w:p>
            <w:pPr>
              <w:pStyle w:val="Compact"/>
              <w:jc w:val="left"/>
            </w:pPr>
            <w:r>
              <w:t xml:space="preserve">Exclude if the full text is inaccessible</w:t>
            </w:r>
          </w:p>
        </w:tc>
        <w:tc>
          <w:tcPr/>
          <w:p>
            <w:pPr>
              <w:pStyle w:val="Compact"/>
              <w:jc w:val="left"/>
            </w:pPr>
            <w:r>
              <w:t xml:space="preserve">3 not retrieved; 40 assessed</w:t>
            </w:r>
          </w:p>
        </w:tc>
      </w:tr>
      <w:tr>
        <w:trPr>
          <w:cantSplit/>
        </w:trPr>
        <w:tc>
          <w:tcPr/>
          <w:p>
            <w:pPr>
              <w:pStyle w:val="Compact"/>
              <w:jc w:val="left"/>
            </w:pPr>
            <w:r>
              <w:t xml:space="preserve">5th</w:t>
            </w:r>
          </w:p>
        </w:tc>
        <w:tc>
          <w:tcPr/>
          <w:p>
            <w:pPr>
              <w:pStyle w:val="Compact"/>
              <w:jc w:val="left"/>
            </w:pPr>
            <w:r>
              <w:t xml:space="preserve">Assess the full text against the inclusion and exclusion criteria and the quality criteria QA1–QA5</w:t>
            </w:r>
          </w:p>
        </w:tc>
        <w:tc>
          <w:tcPr/>
          <w:p>
            <w:pPr>
              <w:pStyle w:val="Compact"/>
              <w:jc w:val="left"/>
            </w:pPr>
            <w:r>
              <w:t xml:space="preserve">Exclude if technical or architectural detail is insufficient (score below 2.5), or if the subject matter is outside the review scope</w:t>
            </w:r>
          </w:p>
        </w:tc>
        <w:tc>
          <w:tcPr/>
          <w:p>
            <w:pPr>
              <w:pStyle w:val="Compact"/>
              <w:jc w:val="left"/>
            </w:pPr>
            <w:r>
              <w:t xml:space="preserve">7 excluded; 33 included</w:t>
            </w:r>
          </w:p>
        </w:tc>
      </w:tr>
    </w:tbl>
    <w:bookmarkEnd w:id="22"/>
    <w:bookmarkStart w:id="26" w:name="Xd7a82ff4baa7a69a0bd33db9f9a267ef3c07ad5"/>
    <w:p>
      <w:pPr>
        <w:pStyle w:val="Heading3"/>
      </w:pPr>
      <w:r>
        <w:t xml:space="preserve"> </w:t>
      </w:r>
      <w:r>
        <w:t xml:space="preserve">2.3.5</w:t>
      </w:r>
      <w:r>
        <w:t xml:space="preserve"> </w:t>
      </w:r>
      <w:r>
        <w:t xml:space="preserve"> </w:t>
      </w:r>
      <w:r>
        <w:t xml:space="preserve">Step 3: Screening and Quality Evaluation</w:t>
      </w:r>
    </w:p>
    <w:p>
      <w:pPr>
        <w:pStyle w:val="FirstParagraph"/>
      </w:pPr>
      <w:r>
        <w:t xml:space="preserve">The screening process consisted of three sequential stages: title and abstract screening, full-text eligibility assessment, and final inclusion.</w:t>
      </w:r>
    </w:p>
    <w:p>
      <w:pPr>
        <w:pStyle w:val="BodyText"/>
      </w:pPr>
      <w: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authorisation, privacy, and healthcare data sharing.</w:t>
      </w:r>
    </w:p>
    <w:p>
      <w:pPr>
        <w:pStyle w:val="BodyText"/>
      </w:pPr>
      <w: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pStyle w:val="CaptionedFigure"/>
      </w:pPr>
      <w:r>
        <w:drawing>
          <wp:inline>
            <wp:extent cx="5486400" cy="2932144"/>
            <wp:effectExtent b="0" l="0" r="0" t="0"/>
            <wp:docPr descr="Figure 2.2: PRISMA study selection summary" title="" id="24" name="Picture"/>
            <a:graphic>
              <a:graphicData uri="http://schemas.openxmlformats.org/drawingml/2006/picture">
                <pic:pic>
                  <pic:nvPicPr>
                    <pic:cNvPr descr="media_col/fig02.png" id="25" name="Picture"/>
                    <pic:cNvPicPr>
                      <a:picLocks noChangeArrowheads="1" noChangeAspect="1"/>
                    </pic:cNvPicPr>
                  </pic:nvPicPr>
                  <pic:blipFill>
                    <a:blip r:embed="rId23"/>
                    <a:stretch>
                      <a:fillRect/>
                    </a:stretch>
                  </pic:blipFill>
                  <pic:spPr bwMode="auto">
                    <a:xfrm>
                      <a:off x="0" y="0"/>
                      <a:ext cx="5486400" cy="2932144"/>
                    </a:xfrm>
                    <a:prstGeom prst="rect">
                      <a:avLst/>
                    </a:prstGeom>
                    <a:noFill/>
                    <a:ln w="9525">
                      <a:noFill/>
                      <a:headEnd/>
                      <a:tailEnd/>
                    </a:ln>
                  </pic:spPr>
                </pic:pic>
              </a:graphicData>
            </a:graphic>
          </wp:inline>
        </w:drawing>
      </w:r>
    </w:p>
    <w:p>
      <w:pPr>
        <w:pStyle w:val="ImageCaption"/>
      </w:pPr>
      <w:r>
        <w:t xml:space="preserve">Figure 2.2: PRISMA study selection summary</w:t>
      </w:r>
    </w:p>
    <w:p>
      <w:pPr>
        <w:pStyle w:val="BodyText"/>
      </w:pPr>
      <w:r>
        <w:t xml:space="preserve">Figure 2.2 presents the PRISMA flow diagram for this review, prepared following PRISMA 2020 [37], which summarises the identification, screening, eligibility, and inclusion stages of the SLR. The final number of included studies (n = 33) was derived after completing the screening, eligibility and quality assessment across the identified literature base.</w:t>
      </w:r>
    </w:p>
    <w:p>
      <w:pPr>
        <w:pStyle w:val="BodyText"/>
      </w:pPr>
      <w:r>
        <w:rPr>
          <w:b/>
          <w:bCs/>
        </w:rPr>
        <w:t xml:space="preserve">Quality evaluation.</w:t>
      </w:r>
    </w:p>
    <w:p>
      <w:pPr>
        <w:pStyle w:val="BodyText"/>
      </w:pPr>
      <w:r>
        <w:t xml:space="preserve">Each full-text study assessed for eligibility (n = 40) was appraised against five quality criteria: QA1 – Are the aims and research questions clearly stated? QA2 – Is the proposed approach (architecture, protocol or model) described in sufficient technical detail? QA3 – Does the study explicitly address consent, identity or access control? QA4 – Is the approach evaluated (prototype, experiment, formal analysis or case study)? QA5 – Are limitations discussed? Each criterion was scored 1 (yes), 0.5 (partly) or 0 (no), giving a total out of 5, and studies scoring below 2.5 were excluded for insufficient technical or architectural detail (n = 3; Figure 2.2). The 125 records identified comprised IEEE Xplore (n = 31), ACM Digital Library (n = 14), ScienceDirect (n = 23), SpringerLink (n = 18), PubMed (n = 12), Scopus (n = 17) and Web of Science (n = 10).</w:t>
      </w:r>
    </w:p>
    <w:bookmarkEnd w:id="26"/>
    <w:bookmarkStart w:id="27" w:name="X25280fe26ef60600cfdb60dc4ea4fc7d14be763"/>
    <w:p>
      <w:pPr>
        <w:pStyle w:val="Heading3"/>
      </w:pPr>
      <w:r>
        <w:t xml:space="preserve"> </w:t>
      </w:r>
      <w:r>
        <w:t xml:space="preserve">2.3.6</w:t>
      </w:r>
      <w:r>
        <w:t xml:space="preserve"> </w:t>
      </w:r>
      <w:r>
        <w:t xml:space="preserve"> </w:t>
      </w:r>
      <w:r>
        <w:t xml:space="preserve">Step 4: Data Extraction and Categorisation of the Shortlisted Papers</w:t>
      </w:r>
    </w:p>
    <w:p>
      <w:pPr>
        <w:pStyle w:val="FirstParagraph"/>
      </w:pPr>
      <w: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pStyle w:val="BodyText"/>
      </w:pPr>
      <w:r>
        <w:t xml:space="preserve">The extracted data were organised into thematic categories corresponding to the research questions. These categories included consent specification and management, decentralised identity and credential verification, authorisation and access control, privacy preservation, interoperability, auditability, and system evaluation.</w:t>
      </w:r>
    </w:p>
    <w:p>
      <w:pPr>
        <w:pStyle w:val="BodyText"/>
      </w:pPr>
      <w: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authorisation, auditable access records, and mechanisms for preserving patient autonomy.</w:t>
      </w:r>
    </w:p>
    <w:p>
      <w:pPr>
        <w:pStyle w:val="BodyText"/>
      </w:pPr>
      <w: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pStyle w:val="BodyText"/>
      </w:pPr>
      <w:r>
        <w:t xml:space="preserve">Each shortlisted paper was analysed according to its scope, topic area, authors, publication venue and the summary of its contribution and limitations. On the basis of this analysis, the papers were categorised into one of six broad areas: healthcare consent and privacy governance, blockchain-based healthcare data governance, decentralised identity and verifiable credentials, multi-party and decentralised governance, policy-based and healthcare access control, and Trusted Computing and secure execution. Table 2.3 lists the 33 included studies with their identifiers S1–S33, which are used throughout the remainder of the chapter. The papers in each area are summarised in the next section and their issues and limitations with respect to the key requirements of Section 2.2 are discussed.</w:t>
      </w:r>
    </w:p>
    <w:p>
      <w:pPr>
        <w:pStyle w:val="TableCaption"/>
      </w:pPr>
      <w:r>
        <w:t xml:space="preserve">Table 2.3: Listing of the papers identified after shortlisting in the SLR process</w:t>
      </w:r>
    </w:p>
    <w:tbl>
      <w:tblPr>
        <w:tblStyle w:val="Table"/>
        <w:tblW w:type="pct" w:w="5000"/>
        <w:tblLayout w:type="fixed"/>
        <w:tblLook w:firstRow="1" w:lastRow="0" w:firstColumn="0" w:lastColumn="0" w:noHBand="0" w:noVBand="0" w:val="0020"/>
        <w:tblCaption w:val="Table 2.3: Listing of the papers identified after shortlisting in the SLR process"/>
      </w:tblPr>
      <w:tblGrid>
        <w:gridCol w:w="766"/>
        <w:gridCol w:w="1660"/>
        <w:gridCol w:w="3704"/>
        <w:gridCol w:w="1788"/>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Author(s), year</w:t>
            </w:r>
          </w:p>
        </w:tc>
        <w:tc>
          <w:tcPr>
            <w:tcBorders>
              <w:bottom w:val="single" w:sz="8" w:space="0" w:color="000000"/>
            </w:tcBorders>
            <w:shd w:val="clear" w:color="auto" w:fill="E7E6E6"/>
            <w:vAlign w:val="center"/>
          </w:tcPr>
          <w:p>
            <w:pPr>
              <w:pStyle w:val="Compact"/>
              <w:jc w:val="left"/>
            </w:pPr>
            <w:r>
              <w:rPr>
                <w:b/>
                <w:bCs/>
              </w:rPr>
              <w:t xml:space="preserve">Topic</w:t>
            </w:r>
          </w:p>
        </w:tc>
        <w:tc>
          <w:tcPr>
            <w:tcBorders>
              <w:bottom w:val="single" w:sz="8" w:space="0" w:color="000000"/>
            </w:tcBorders>
            <w:shd w:val="clear" w:color="auto" w:fill="E7E6E6"/>
            <w:vAlign w:val="center"/>
          </w:tcPr>
          <w:p>
            <w:pPr>
              <w:pStyle w:val="Compact"/>
              <w:jc w:val="left"/>
            </w:pPr>
            <w:r>
              <w:rPr>
                <w:b/>
                <w:bCs/>
              </w:rPr>
              <w:t xml:space="preserve">Category</w:t>
            </w:r>
          </w:p>
        </w:tc>
      </w:tr>
      <w:tr>
        <w:trPr>
          <w:cantSplit/>
        </w:trPr>
        <w:tc>
          <w:tcPr/>
          <w:p>
            <w:pPr>
              <w:pStyle w:val="Compact"/>
              <w:jc w:val="left"/>
            </w:pPr>
            <w:r>
              <w:t xml:space="preserve">S1</w:t>
            </w:r>
          </w:p>
        </w:tc>
        <w:tc>
          <w:tcPr/>
          <w:p>
            <w:pPr>
              <w:pStyle w:val="Compact"/>
              <w:jc w:val="left"/>
            </w:pPr>
            <w:r>
              <w:t xml:space="preserve">Ibrahim et al., 2024 [9]</w:t>
            </w:r>
          </w:p>
        </w:tc>
        <w:tc>
          <w:tcPr/>
          <w:p>
            <w:pPr>
              <w:pStyle w:val="Compact"/>
              <w:jc w:val="left"/>
            </w:pPr>
            <w:r>
              <w:t xml:space="preserve">Balancing confidentiality and care coordination: challenges in patient privacy</w:t>
            </w:r>
          </w:p>
        </w:tc>
        <w:tc>
          <w:tcPr/>
          <w:p>
            <w:pPr>
              <w:pStyle w:val="Compact"/>
              <w:jc w:val="left"/>
            </w:pPr>
            <w:r>
              <w:t xml:space="preserve">Healthcare consent and privacy governance</w:t>
            </w:r>
          </w:p>
        </w:tc>
      </w:tr>
      <w:tr>
        <w:trPr>
          <w:cantSplit/>
        </w:trPr>
        <w:tc>
          <w:tcPr/>
          <w:p>
            <w:pPr>
              <w:pStyle w:val="Compact"/>
              <w:jc w:val="left"/>
            </w:pPr>
            <w:r>
              <w:t xml:space="preserve">S2</w:t>
            </w:r>
          </w:p>
        </w:tc>
        <w:tc>
          <w:tcPr/>
          <w:p>
            <w:pPr>
              <w:pStyle w:val="Compact"/>
              <w:jc w:val="left"/>
            </w:pPr>
            <w:r>
              <w:t xml:space="preserve">Jesus and Pandit, 2022 [10]</w:t>
            </w:r>
          </w:p>
        </w:tc>
        <w:tc>
          <w:tcPr/>
          <w:p>
            <w:pPr>
              <w:pStyle w:val="Compact"/>
              <w:jc w:val="left"/>
            </w:pPr>
            <w:r>
              <w:t xml:space="preserve">Consent receipts for a usable and auditable web of personal data</w:t>
            </w:r>
          </w:p>
        </w:tc>
        <w:tc>
          <w:tcPr/>
          <w:p>
            <w:pPr>
              <w:pStyle w:val="Compact"/>
              <w:jc w:val="left"/>
            </w:pPr>
            <w:r>
              <w:t xml:space="preserve">Healthcare consent and privacy governance</w:t>
            </w:r>
          </w:p>
        </w:tc>
      </w:tr>
      <w:tr>
        <w:trPr>
          <w:cantSplit/>
        </w:trPr>
        <w:tc>
          <w:tcPr/>
          <w:p>
            <w:pPr>
              <w:pStyle w:val="Compact"/>
              <w:jc w:val="left"/>
            </w:pPr>
            <w:r>
              <w:t xml:space="preserve">S3</w:t>
            </w:r>
          </w:p>
        </w:tc>
        <w:tc>
          <w:tcPr/>
          <w:p>
            <w:pPr>
              <w:pStyle w:val="Compact"/>
              <w:jc w:val="left"/>
            </w:pPr>
            <w:r>
              <w:t xml:space="preserve">Khalid et al., 2023 [13]</w:t>
            </w:r>
          </w:p>
        </w:tc>
        <w:tc>
          <w:tcPr/>
          <w:p>
            <w:pPr>
              <w:pStyle w:val="Compact"/>
              <w:jc w:val="left"/>
            </w:pPr>
            <w:r>
              <w:t xml:space="preserve">Privacy-first paradigm for dynamic consent management systems</w:t>
            </w:r>
          </w:p>
        </w:tc>
        <w:tc>
          <w:tcPr/>
          <w:p>
            <w:pPr>
              <w:pStyle w:val="Compact"/>
              <w:jc w:val="left"/>
            </w:pPr>
            <w:r>
              <w:t xml:space="preserve">Healthcare consent and privacy governance</w:t>
            </w:r>
          </w:p>
        </w:tc>
      </w:tr>
      <w:tr>
        <w:trPr>
          <w:cantSplit/>
        </w:trPr>
        <w:tc>
          <w:tcPr/>
          <w:p>
            <w:pPr>
              <w:pStyle w:val="Compact"/>
              <w:jc w:val="left"/>
            </w:pPr>
            <w:r>
              <w:t xml:space="preserve">S4</w:t>
            </w:r>
          </w:p>
        </w:tc>
        <w:tc>
          <w:tcPr/>
          <w:p>
            <w:pPr>
              <w:pStyle w:val="Compact"/>
              <w:jc w:val="left"/>
            </w:pPr>
            <w:r>
              <w:t xml:space="preserve">McClelland and Harper, 2022 [22]</w:t>
            </w:r>
          </w:p>
        </w:tc>
        <w:tc>
          <w:tcPr/>
          <w:p>
            <w:pPr>
              <w:pStyle w:val="Compact"/>
              <w:jc w:val="left"/>
            </w:pPr>
            <w:r>
              <w:t xml:space="preserve">Information privacy in healthcare – the vital role of informed consent</w:t>
            </w:r>
          </w:p>
        </w:tc>
        <w:tc>
          <w:tcPr/>
          <w:p>
            <w:pPr>
              <w:pStyle w:val="Compact"/>
              <w:jc w:val="left"/>
            </w:pPr>
            <w:r>
              <w:t xml:space="preserve">Healthcare consent and privacy governance</w:t>
            </w:r>
          </w:p>
        </w:tc>
      </w:tr>
      <w:tr>
        <w:trPr>
          <w:cantSplit/>
        </w:trPr>
        <w:tc>
          <w:tcPr/>
          <w:p>
            <w:pPr>
              <w:pStyle w:val="Compact"/>
              <w:jc w:val="left"/>
            </w:pPr>
            <w:r>
              <w:t xml:space="preserve">S5</w:t>
            </w:r>
          </w:p>
        </w:tc>
        <w:tc>
          <w:tcPr/>
          <w:p>
            <w:pPr>
              <w:pStyle w:val="Compact"/>
              <w:jc w:val="left"/>
            </w:pPr>
            <w:r>
              <w:t xml:space="preserve">Narkhede et al., 2025 [24]</w:t>
            </w:r>
          </w:p>
        </w:tc>
        <w:tc>
          <w:tcPr/>
          <w:p>
            <w:pPr>
              <w:pStyle w:val="Compact"/>
              <w:jc w:val="left"/>
            </w:pPr>
            <w:r>
              <w:t xml:space="preserve">Enhancing patient autonomy in data ownership: privacy models and consent frameworks</w:t>
            </w:r>
          </w:p>
        </w:tc>
        <w:tc>
          <w:tcPr/>
          <w:p>
            <w:pPr>
              <w:pStyle w:val="Compact"/>
              <w:jc w:val="left"/>
            </w:pPr>
            <w:r>
              <w:t xml:space="preserve">Healthcare consent and privacy governance</w:t>
            </w:r>
          </w:p>
        </w:tc>
      </w:tr>
      <w:tr>
        <w:trPr>
          <w:cantSplit/>
        </w:trPr>
        <w:tc>
          <w:tcPr/>
          <w:p>
            <w:pPr>
              <w:pStyle w:val="Compact"/>
              <w:jc w:val="left"/>
            </w:pPr>
            <w:r>
              <w:t xml:space="preserve">S6</w:t>
            </w:r>
          </w:p>
        </w:tc>
        <w:tc>
          <w:tcPr/>
          <w:p>
            <w:pPr>
              <w:pStyle w:val="Compact"/>
              <w:jc w:val="left"/>
            </w:pPr>
            <w:r>
              <w:t xml:space="preserve">Webber et al., 2019 [31]</w:t>
            </w:r>
          </w:p>
        </w:tc>
        <w:tc>
          <w:tcPr/>
          <w:p>
            <w:pPr>
              <w:pStyle w:val="Compact"/>
              <w:jc w:val="left"/>
            </w:pPr>
            <w:r>
              <w:t xml:space="preserve">Electronic communication of the health record with paediatric patients and their guardians</w:t>
            </w:r>
          </w:p>
        </w:tc>
        <w:tc>
          <w:tcPr/>
          <w:p>
            <w:pPr>
              <w:pStyle w:val="Compact"/>
              <w:jc w:val="left"/>
            </w:pPr>
            <w:r>
              <w:t xml:space="preserve">Healthcare consent and privacy governance</w:t>
            </w:r>
          </w:p>
        </w:tc>
      </w:tr>
      <w:tr>
        <w:trPr>
          <w:cantSplit/>
        </w:trPr>
        <w:tc>
          <w:tcPr/>
          <w:p>
            <w:pPr>
              <w:pStyle w:val="Compact"/>
              <w:jc w:val="left"/>
            </w:pPr>
            <w:r>
              <w:t xml:space="preserve">S7</w:t>
            </w:r>
          </w:p>
        </w:tc>
        <w:tc>
          <w:tcPr/>
          <w:p>
            <w:pPr>
              <w:pStyle w:val="Compact"/>
              <w:jc w:val="left"/>
            </w:pPr>
            <w:r>
              <w:t xml:space="preserve">Phuyal et al., 2026 [48]</w:t>
            </w:r>
          </w:p>
        </w:tc>
        <w:tc>
          <w:tcPr/>
          <w:p>
            <w:pPr>
              <w:pStyle w:val="Compact"/>
              <w:jc w:val="left"/>
            </w:pPr>
            <w:r>
              <w:t xml:space="preserve">Blockchain-based dynamic and revocable consent for secondary health data use: systematic review</w:t>
            </w:r>
          </w:p>
        </w:tc>
        <w:tc>
          <w:tcPr/>
          <w:p>
            <w:pPr>
              <w:pStyle w:val="Compact"/>
              <w:jc w:val="left"/>
            </w:pPr>
            <w:r>
              <w:t xml:space="preserve">Healthcare consent and privacy governance</w:t>
            </w:r>
          </w:p>
        </w:tc>
      </w:tr>
      <w:tr>
        <w:trPr>
          <w:cantSplit/>
        </w:trPr>
        <w:tc>
          <w:tcPr/>
          <w:p>
            <w:pPr>
              <w:pStyle w:val="Compact"/>
              <w:jc w:val="left"/>
            </w:pPr>
            <w:r>
              <w:t xml:space="preserve">S8</w:t>
            </w:r>
          </w:p>
        </w:tc>
        <w:tc>
          <w:tcPr/>
          <w:p>
            <w:pPr>
              <w:pStyle w:val="Compact"/>
              <w:jc w:val="left"/>
            </w:pPr>
            <w:r>
              <w:t xml:space="preserve">Román et al., 2023 [43]</w:t>
            </w:r>
          </w:p>
        </w:tc>
        <w:tc>
          <w:tcPr/>
          <w:p>
            <w:pPr>
              <w:pStyle w:val="Compact"/>
              <w:jc w:val="left"/>
            </w:pPr>
            <w:r>
              <w:t xml:space="preserve">Blockchain-based service-oriented architecture for consent management, access control, and auditing</w:t>
            </w:r>
          </w:p>
        </w:tc>
        <w:tc>
          <w:tcPr/>
          <w:p>
            <w:pPr>
              <w:pStyle w:val="Compact"/>
              <w:jc w:val="left"/>
            </w:pPr>
            <w:r>
              <w:t xml:space="preserve">Healthcare consent and privacy governance</w:t>
            </w:r>
          </w:p>
        </w:tc>
      </w:tr>
      <w:tr>
        <w:trPr>
          <w:cantSplit/>
        </w:trPr>
        <w:tc>
          <w:tcPr/>
          <w:p>
            <w:pPr>
              <w:pStyle w:val="Compact"/>
              <w:jc w:val="left"/>
            </w:pPr>
            <w:r>
              <w:t xml:space="preserve">S9</w:t>
            </w:r>
          </w:p>
        </w:tc>
        <w:tc>
          <w:tcPr/>
          <w:p>
            <w:pPr>
              <w:pStyle w:val="Compact"/>
              <w:jc w:val="left"/>
            </w:pPr>
            <w:r>
              <w:t xml:space="preserve">Welzel et al., 2025 [45]</w:t>
            </w:r>
          </w:p>
        </w:tc>
        <w:tc>
          <w:tcPr/>
          <w:p>
            <w:pPr>
              <w:pStyle w:val="Compact"/>
              <w:jc w:val="left"/>
            </w:pPr>
            <w:r>
              <w:t xml:space="preserve">Enabling secure and self-determined health data sharing and consent management</w:t>
            </w:r>
          </w:p>
        </w:tc>
        <w:tc>
          <w:tcPr/>
          <w:p>
            <w:pPr>
              <w:pStyle w:val="Compact"/>
              <w:jc w:val="left"/>
            </w:pPr>
            <w:r>
              <w:t xml:space="preserve">Healthcare consent and privacy governance</w:t>
            </w:r>
          </w:p>
        </w:tc>
      </w:tr>
      <w:tr>
        <w:trPr>
          <w:cantSplit/>
        </w:trPr>
        <w:tc>
          <w:tcPr/>
          <w:p>
            <w:pPr>
              <w:pStyle w:val="Compact"/>
              <w:jc w:val="left"/>
            </w:pPr>
            <w:r>
              <w:t xml:space="preserve">S10</w:t>
            </w:r>
          </w:p>
        </w:tc>
        <w:tc>
          <w:tcPr/>
          <w:p>
            <w:pPr>
              <w:pStyle w:val="Compact"/>
              <w:jc w:val="left"/>
            </w:pPr>
            <w:r>
              <w:t xml:space="preserve">Al Mamun et al., 2022 [1]</w:t>
            </w:r>
          </w:p>
        </w:tc>
        <w:tc>
          <w:tcPr/>
          <w:p>
            <w:pPr>
              <w:pStyle w:val="Compact"/>
              <w:jc w:val="left"/>
            </w:pPr>
            <w:r>
              <w:t xml:space="preserve">Blockchain-based electronic health records management: a comprehensive review</w:t>
            </w:r>
          </w:p>
        </w:tc>
        <w:tc>
          <w:tcPr/>
          <w:p>
            <w:pPr>
              <w:pStyle w:val="Compact"/>
              <w:jc w:val="left"/>
            </w:pPr>
            <w:r>
              <w:t xml:space="preserve">Blockchain-based healthcare data governance</w:t>
            </w:r>
          </w:p>
        </w:tc>
      </w:tr>
      <w:tr>
        <w:trPr>
          <w:cantSplit/>
        </w:trPr>
        <w:tc>
          <w:tcPr/>
          <w:p>
            <w:pPr>
              <w:pStyle w:val="Compact"/>
              <w:jc w:val="left"/>
            </w:pPr>
            <w:r>
              <w:t xml:space="preserve">S11</w:t>
            </w:r>
          </w:p>
        </w:tc>
        <w:tc>
          <w:tcPr/>
          <w:p>
            <w:pPr>
              <w:pStyle w:val="Compact"/>
              <w:jc w:val="left"/>
            </w:pPr>
            <w:r>
              <w:t xml:space="preserve">Andrew et al., 2023 [2]</w:t>
            </w:r>
          </w:p>
        </w:tc>
        <w:tc>
          <w:tcPr/>
          <w:p>
            <w:pPr>
              <w:pStyle w:val="Compact"/>
              <w:jc w:val="left"/>
            </w:pPr>
            <w:r>
              <w:t xml:space="preserve">Blockchain for healthcare systems: architecture, security challenges, trends and future directions</w:t>
            </w:r>
          </w:p>
        </w:tc>
        <w:tc>
          <w:tcPr/>
          <w:p>
            <w:pPr>
              <w:pStyle w:val="Compact"/>
              <w:jc w:val="left"/>
            </w:pPr>
            <w:r>
              <w:t xml:space="preserve">Blockchain-based healthcare data governance</w:t>
            </w:r>
          </w:p>
        </w:tc>
      </w:tr>
      <w:tr>
        <w:trPr>
          <w:cantSplit/>
        </w:trPr>
        <w:tc>
          <w:tcPr/>
          <w:p>
            <w:pPr>
              <w:pStyle w:val="Compact"/>
              <w:jc w:val="left"/>
            </w:pPr>
            <w:r>
              <w:t xml:space="preserve">S12</w:t>
            </w:r>
          </w:p>
        </w:tc>
        <w:tc>
          <w:tcPr/>
          <w:p>
            <w:pPr>
              <w:pStyle w:val="Compact"/>
              <w:jc w:val="left"/>
            </w:pPr>
            <w:r>
              <w:t xml:space="preserve">Arbabi et al., 2023 [3]</w:t>
            </w:r>
          </w:p>
        </w:tc>
        <w:tc>
          <w:tcPr/>
          <w:p>
            <w:pPr>
              <w:pStyle w:val="Compact"/>
              <w:jc w:val="left"/>
            </w:pPr>
            <w:r>
              <w:t xml:space="preserve">A survey on blockchain for healthcare: challenges, benefits, and future directions</w:t>
            </w:r>
          </w:p>
        </w:tc>
        <w:tc>
          <w:tcPr/>
          <w:p>
            <w:pPr>
              <w:pStyle w:val="Compact"/>
              <w:jc w:val="left"/>
            </w:pPr>
            <w:r>
              <w:t xml:space="preserve">Blockchain-based healthcare data governance</w:t>
            </w:r>
          </w:p>
        </w:tc>
      </w:tr>
      <w:tr>
        <w:trPr>
          <w:cantSplit/>
        </w:trPr>
        <w:tc>
          <w:tcPr/>
          <w:p>
            <w:pPr>
              <w:pStyle w:val="Compact"/>
              <w:jc w:val="left"/>
            </w:pPr>
            <w:r>
              <w:t xml:space="preserve">S13</w:t>
            </w:r>
          </w:p>
        </w:tc>
        <w:tc>
          <w:tcPr/>
          <w:p>
            <w:pPr>
              <w:pStyle w:val="Compact"/>
              <w:jc w:val="left"/>
            </w:pPr>
            <w:r>
              <w:t xml:space="preserve">Ghosh et al., 2023 [7]</w:t>
            </w:r>
          </w:p>
        </w:tc>
        <w:tc>
          <w:tcPr/>
          <w:p>
            <w:pPr>
              <w:pStyle w:val="Compact"/>
              <w:jc w:val="left"/>
            </w:pPr>
            <w:r>
              <w:t xml:space="preserve">Blockchain application in healthcare systems: a review</w:t>
            </w:r>
          </w:p>
        </w:tc>
        <w:tc>
          <w:tcPr/>
          <w:p>
            <w:pPr>
              <w:pStyle w:val="Compact"/>
              <w:jc w:val="left"/>
            </w:pPr>
            <w:r>
              <w:t xml:space="preserve">Blockchain-based healthcare data governance</w:t>
            </w:r>
          </w:p>
        </w:tc>
      </w:tr>
      <w:tr>
        <w:trPr>
          <w:cantSplit/>
        </w:trPr>
        <w:tc>
          <w:tcPr/>
          <w:p>
            <w:pPr>
              <w:pStyle w:val="Compact"/>
              <w:jc w:val="left"/>
            </w:pPr>
            <w:r>
              <w:t xml:space="preserve">S14</w:t>
            </w:r>
          </w:p>
        </w:tc>
        <w:tc>
          <w:tcPr/>
          <w:p>
            <w:pPr>
              <w:pStyle w:val="Compact"/>
              <w:jc w:val="left"/>
            </w:pPr>
            <w:r>
              <w:t xml:space="preserve">Nguyen et al., 2025 [26]</w:t>
            </w:r>
          </w:p>
        </w:tc>
        <w:tc>
          <w:tcPr/>
          <w:p>
            <w:pPr>
              <w:pStyle w:val="Compact"/>
              <w:jc w:val="left"/>
            </w:pPr>
            <w:r>
              <w:t xml:space="preserve">Blockchain-empowered trustworthy data sharing: fundamentals, applications, and challenges</w:t>
            </w:r>
          </w:p>
        </w:tc>
        <w:tc>
          <w:tcPr/>
          <w:p>
            <w:pPr>
              <w:pStyle w:val="Compact"/>
              <w:jc w:val="left"/>
            </w:pPr>
            <w:r>
              <w:t xml:space="preserve">Blockchain-based healthcare data governance</w:t>
            </w:r>
          </w:p>
        </w:tc>
      </w:tr>
      <w:tr>
        <w:trPr>
          <w:cantSplit/>
        </w:trPr>
        <w:tc>
          <w:tcPr/>
          <w:p>
            <w:pPr>
              <w:pStyle w:val="Compact"/>
              <w:jc w:val="left"/>
            </w:pPr>
            <w:r>
              <w:t xml:space="preserve">S15</w:t>
            </w:r>
          </w:p>
        </w:tc>
        <w:tc>
          <w:tcPr/>
          <w:p>
            <w:pPr>
              <w:pStyle w:val="Compact"/>
              <w:jc w:val="left"/>
            </w:pPr>
            <w:r>
              <w:t xml:space="preserve">Theodorakopoulos et al., 2024 [29]</w:t>
            </w:r>
          </w:p>
        </w:tc>
        <w:tc>
          <w:tcPr/>
          <w:p>
            <w:pPr>
              <w:pStyle w:val="Compact"/>
              <w:jc w:val="left"/>
            </w:pPr>
            <w:r>
              <w:t xml:space="preserve">Enhancing decentralised decision-making with big data and blockchain technology</w:t>
            </w:r>
          </w:p>
        </w:tc>
        <w:tc>
          <w:tcPr/>
          <w:p>
            <w:pPr>
              <w:pStyle w:val="Compact"/>
              <w:jc w:val="left"/>
            </w:pPr>
            <w:r>
              <w:t xml:space="preserve">Blockchain-based healthcare data governance</w:t>
            </w:r>
          </w:p>
        </w:tc>
      </w:tr>
      <w:tr>
        <w:trPr>
          <w:cantSplit/>
        </w:trPr>
        <w:tc>
          <w:tcPr/>
          <w:p>
            <w:pPr>
              <w:pStyle w:val="Compact"/>
              <w:jc w:val="left"/>
            </w:pPr>
            <w:r>
              <w:t xml:space="preserve">S16</w:t>
            </w:r>
          </w:p>
        </w:tc>
        <w:tc>
          <w:tcPr/>
          <w:p>
            <w:pPr>
              <w:pStyle w:val="Compact"/>
              <w:jc w:val="left"/>
            </w:pPr>
            <w:r>
              <w:t xml:space="preserve">Deng et al., 2024 [4]</w:t>
            </w:r>
          </w:p>
        </w:tc>
        <w:tc>
          <w:tcPr/>
          <w:p>
            <w:pPr>
              <w:pStyle w:val="Compact"/>
              <w:jc w:val="left"/>
            </w:pPr>
            <w:r>
              <w:t xml:space="preserve">FutureDID: a fully decentralised identity system with multi-party verification</w:t>
            </w:r>
          </w:p>
        </w:tc>
        <w:tc>
          <w:tcPr/>
          <w:p>
            <w:pPr>
              <w:pStyle w:val="Compact"/>
              <w:jc w:val="left"/>
            </w:pPr>
            <w:r>
              <w:t xml:space="preserve">Decentralised identity and verifiable credentials</w:t>
            </w:r>
          </w:p>
        </w:tc>
      </w:tr>
      <w:tr>
        <w:trPr>
          <w:cantSplit/>
        </w:trPr>
        <w:tc>
          <w:tcPr/>
          <w:p>
            <w:pPr>
              <w:pStyle w:val="Compact"/>
              <w:jc w:val="left"/>
            </w:pPr>
            <w:r>
              <w:t xml:space="preserve">S17</w:t>
            </w:r>
          </w:p>
        </w:tc>
        <w:tc>
          <w:tcPr/>
          <w:p>
            <w:pPr>
              <w:pStyle w:val="Compact"/>
              <w:jc w:val="left"/>
            </w:pPr>
            <w:r>
              <w:t xml:space="preserve">Flamini et al., 2024 [5]</w:t>
            </w:r>
          </w:p>
        </w:tc>
        <w:tc>
          <w:tcPr/>
          <w:p>
            <w:pPr>
              <w:pStyle w:val="Compact"/>
              <w:jc w:val="left"/>
            </w:pPr>
            <w:r>
              <w:t xml:space="preserve">On cryptographic mechanisms for the selective disclosure of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S18</w:t>
            </w:r>
          </w:p>
        </w:tc>
        <w:tc>
          <w:tcPr/>
          <w:p>
            <w:pPr>
              <w:pStyle w:val="Compact"/>
              <w:jc w:val="left"/>
            </w:pPr>
            <w:r>
              <w:t xml:space="preserve">Khayer et al., 2025 [15]</w:t>
            </w:r>
          </w:p>
        </w:tc>
        <w:tc>
          <w:tcPr/>
          <w:p>
            <w:pPr>
              <w:pStyle w:val="Compact"/>
              <w:jc w:val="left"/>
            </w:pPr>
            <w:r>
              <w:t xml:space="preserve">Blockchain for secure IoT: identity management, access control, and trust mechanisms</w:t>
            </w:r>
          </w:p>
        </w:tc>
        <w:tc>
          <w:tcPr/>
          <w:p>
            <w:pPr>
              <w:pStyle w:val="Compact"/>
              <w:jc w:val="left"/>
            </w:pPr>
            <w:r>
              <w:t xml:space="preserve">Decentralised identity and verifiable credentials</w:t>
            </w:r>
          </w:p>
        </w:tc>
      </w:tr>
      <w:tr>
        <w:trPr>
          <w:cantSplit/>
        </w:trPr>
        <w:tc>
          <w:tcPr/>
          <w:p>
            <w:pPr>
              <w:pStyle w:val="Compact"/>
              <w:jc w:val="left"/>
            </w:pPr>
            <w:r>
              <w:t xml:space="preserve">S19</w:t>
            </w:r>
          </w:p>
        </w:tc>
        <w:tc>
          <w:tcPr/>
          <w:p>
            <w:pPr>
              <w:pStyle w:val="Compact"/>
              <w:jc w:val="left"/>
            </w:pPr>
            <w:r>
              <w:t xml:space="preserve">Kyriakidou et al., 2023 [16]</w:t>
            </w:r>
          </w:p>
        </w:tc>
        <w:tc>
          <w:tcPr/>
          <w:p>
            <w:pPr>
              <w:pStyle w:val="Compact"/>
              <w:jc w:val="left"/>
            </w:pPr>
            <w:r>
              <w:t xml:space="preserve">Decentralised identity with applications to security and privacy for the Internet of Things</w:t>
            </w:r>
          </w:p>
        </w:tc>
        <w:tc>
          <w:tcPr/>
          <w:p>
            <w:pPr>
              <w:pStyle w:val="Compact"/>
              <w:jc w:val="left"/>
            </w:pPr>
            <w:r>
              <w:t xml:space="preserve">Decentralised identity and verifiable credentials</w:t>
            </w:r>
          </w:p>
        </w:tc>
      </w:tr>
      <w:tr>
        <w:trPr>
          <w:cantSplit/>
        </w:trPr>
        <w:tc>
          <w:tcPr/>
          <w:p>
            <w:pPr>
              <w:pStyle w:val="Compact"/>
              <w:jc w:val="left"/>
            </w:pPr>
            <w:r>
              <w:t xml:space="preserve">S20</w:t>
            </w:r>
          </w:p>
        </w:tc>
        <w:tc>
          <w:tcPr/>
          <w:p>
            <w:pPr>
              <w:pStyle w:val="Compact"/>
              <w:jc w:val="left"/>
            </w:pPr>
            <w:r>
              <w:t xml:space="preserve">Mazzocca et al., 2025 [20]</w:t>
            </w:r>
          </w:p>
        </w:tc>
        <w:tc>
          <w:tcPr/>
          <w:p>
            <w:pPr>
              <w:pStyle w:val="Compact"/>
              <w:jc w:val="left"/>
            </w:pPr>
            <w:r>
              <w:t xml:space="preserve">A survey on decentralised identifiers and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S21</w:t>
            </w:r>
          </w:p>
        </w:tc>
        <w:tc>
          <w:tcPr/>
          <w:p>
            <w:pPr>
              <w:pStyle w:val="Compact"/>
              <w:jc w:val="left"/>
            </w:pPr>
            <w:r>
              <w:t xml:space="preserve">Parameswarath et al., 2022 [27]</w:t>
            </w:r>
          </w:p>
        </w:tc>
        <w:tc>
          <w:tcPr/>
          <w:p>
            <w:pPr>
              <w:pStyle w:val="Compact"/>
              <w:jc w:val="left"/>
            </w:pPr>
            <w:r>
              <w:t xml:space="preserve">User-empowered privacy-preserving authentication based on decentralised identity and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S22</w:t>
            </w:r>
          </w:p>
        </w:tc>
        <w:tc>
          <w:tcPr/>
          <w:p>
            <w:pPr>
              <w:pStyle w:val="Compact"/>
              <w:jc w:val="left"/>
            </w:pPr>
            <w:r>
              <w:t xml:space="preserve">Yin et al., 2025 [33]</w:t>
            </w:r>
          </w:p>
        </w:tc>
        <w:tc>
          <w:tcPr/>
          <w:p>
            <w:pPr>
              <w:pStyle w:val="Compact"/>
              <w:jc w:val="left"/>
            </w:pPr>
            <w:r>
              <w:t xml:space="preserve">DP-DID: a dynamic and proactive decentralised identity system</w:t>
            </w:r>
          </w:p>
        </w:tc>
        <w:tc>
          <w:tcPr/>
          <w:p>
            <w:pPr>
              <w:pStyle w:val="Compact"/>
              <w:jc w:val="left"/>
            </w:pPr>
            <w:r>
              <w:t xml:space="preserve">Decentralised identity and verifiable credentials</w:t>
            </w:r>
          </w:p>
        </w:tc>
      </w:tr>
      <w:tr>
        <w:trPr>
          <w:cantSplit/>
        </w:trPr>
        <w:tc>
          <w:tcPr/>
          <w:p>
            <w:pPr>
              <w:pStyle w:val="Compact"/>
              <w:jc w:val="left"/>
            </w:pPr>
            <w:r>
              <w:t xml:space="preserve">S23</w:t>
            </w:r>
          </w:p>
        </w:tc>
        <w:tc>
          <w:tcPr/>
          <w:p>
            <w:pPr>
              <w:pStyle w:val="Compact"/>
              <w:jc w:val="left"/>
            </w:pPr>
            <w:r>
              <w:t xml:space="preserve">Ghafoor Abbasi et al., 2025 [6]</w:t>
            </w:r>
          </w:p>
        </w:tc>
        <w:tc>
          <w:tcPr/>
          <w:p>
            <w:pPr>
              <w:pStyle w:val="Compact"/>
              <w:jc w:val="left"/>
            </w:pPr>
            <w:r>
              <w:t xml:space="preserve">Towards empowering stakeholders through decentralised trust and secure livestock data sharing</w:t>
            </w:r>
          </w:p>
        </w:tc>
        <w:tc>
          <w:tcPr/>
          <w:p>
            <w:pPr>
              <w:pStyle w:val="Compact"/>
              <w:jc w:val="left"/>
            </w:pPr>
            <w:r>
              <w:t xml:space="preserve">Multi-party and decentralised governance</w:t>
            </w:r>
          </w:p>
        </w:tc>
      </w:tr>
      <w:tr>
        <w:trPr>
          <w:cantSplit/>
        </w:trPr>
        <w:tc>
          <w:tcPr/>
          <w:p>
            <w:pPr>
              <w:pStyle w:val="Compact"/>
              <w:jc w:val="left"/>
            </w:pPr>
            <w:r>
              <w:t xml:space="preserve">S24</w:t>
            </w:r>
          </w:p>
        </w:tc>
        <w:tc>
          <w:tcPr/>
          <w:p>
            <w:pPr>
              <w:pStyle w:val="Compact"/>
              <w:jc w:val="left"/>
            </w:pPr>
            <w:r>
              <w:t xml:space="preserve">Lomotey et al., 2022 [19]</w:t>
            </w:r>
          </w:p>
        </w:tc>
        <w:tc>
          <w:tcPr/>
          <w:p>
            <w:pPr>
              <w:pStyle w:val="Compact"/>
              <w:jc w:val="left"/>
            </w:pPr>
            <w:r>
              <w:t xml:space="preserve">Data trusts as a service: a platform for multi-party data sharing</w:t>
            </w:r>
          </w:p>
        </w:tc>
        <w:tc>
          <w:tcPr/>
          <w:p>
            <w:pPr>
              <w:pStyle w:val="Compact"/>
              <w:jc w:val="left"/>
            </w:pPr>
            <w:r>
              <w:t xml:space="preserve">Multi-party and decentralised governance</w:t>
            </w:r>
          </w:p>
        </w:tc>
      </w:tr>
      <w:tr>
        <w:trPr>
          <w:cantSplit/>
        </w:trPr>
        <w:tc>
          <w:tcPr/>
          <w:p>
            <w:pPr>
              <w:pStyle w:val="Compact"/>
              <w:jc w:val="left"/>
            </w:pPr>
            <w:r>
              <w:t xml:space="preserve">S25</w:t>
            </w:r>
          </w:p>
        </w:tc>
        <w:tc>
          <w:tcPr/>
          <w:p>
            <w:pPr>
              <w:pStyle w:val="Compact"/>
              <w:jc w:val="left"/>
            </w:pPr>
            <w:r>
              <w:t xml:space="preserve">Tan et al., 2024 [44]</w:t>
            </w:r>
          </w:p>
        </w:tc>
        <w:tc>
          <w:tcPr/>
          <w:p>
            <w:pPr>
              <w:pStyle w:val="Compact"/>
              <w:jc w:val="left"/>
            </w:pPr>
            <w:r>
              <w:t xml:space="preserve">Secure and privacy-preserving sharing of personal health records with multi-party pre-authorisation verification</w:t>
            </w:r>
          </w:p>
        </w:tc>
        <w:tc>
          <w:tcPr/>
          <w:p>
            <w:pPr>
              <w:pStyle w:val="Compact"/>
              <w:jc w:val="left"/>
            </w:pPr>
            <w:r>
              <w:t xml:space="preserve">Multi-party and decentralised governance</w:t>
            </w:r>
          </w:p>
        </w:tc>
      </w:tr>
      <w:tr>
        <w:trPr>
          <w:cantSplit/>
        </w:trPr>
        <w:tc>
          <w:tcPr/>
          <w:p>
            <w:pPr>
              <w:pStyle w:val="Compact"/>
              <w:jc w:val="left"/>
            </w:pPr>
            <w:r>
              <w:t xml:space="preserve">S26</w:t>
            </w:r>
          </w:p>
        </w:tc>
        <w:tc>
          <w:tcPr/>
          <w:p>
            <w:pPr>
              <w:pStyle w:val="Compact"/>
              <w:jc w:val="left"/>
            </w:pPr>
            <w:r>
              <w:t xml:space="preserve">Jiang et al., 2023 [11]</w:t>
            </w:r>
          </w:p>
        </w:tc>
        <w:tc>
          <w:tcPr/>
          <w:p>
            <w:pPr>
              <w:pStyle w:val="Compact"/>
              <w:jc w:val="left"/>
            </w:pPr>
            <w:r>
              <w:t xml:space="preserve">Risk and UCON-based access control model for healthcare big data</w:t>
            </w:r>
          </w:p>
        </w:tc>
        <w:tc>
          <w:tcPr/>
          <w:p>
            <w:pPr>
              <w:pStyle w:val="Compact"/>
              <w:jc w:val="left"/>
            </w:pPr>
            <w:r>
              <w:t xml:space="preserve">Policy-based and healthcare access control</w:t>
            </w:r>
          </w:p>
        </w:tc>
      </w:tr>
      <w:tr>
        <w:trPr>
          <w:cantSplit/>
        </w:trPr>
        <w:tc>
          <w:tcPr/>
          <w:p>
            <w:pPr>
              <w:pStyle w:val="Compact"/>
              <w:jc w:val="left"/>
            </w:pPr>
            <w:r>
              <w:t xml:space="preserve">S27</w:t>
            </w:r>
          </w:p>
        </w:tc>
        <w:tc>
          <w:tcPr/>
          <w:p>
            <w:pPr>
              <w:pStyle w:val="Compact"/>
              <w:jc w:val="left"/>
            </w:pPr>
            <w:r>
              <w:t xml:space="preserve">Nazir et al., 2026 [25]</w:t>
            </w:r>
          </w:p>
        </w:tc>
        <w:tc>
          <w:tcPr/>
          <w:p>
            <w:pPr>
              <w:pStyle w:val="Compact"/>
              <w:jc w:val="left"/>
            </w:pPr>
            <w:r>
              <w:t xml:space="preserve">Access control in healthcare IoT: a comprehensive survey</w:t>
            </w:r>
          </w:p>
        </w:tc>
        <w:tc>
          <w:tcPr/>
          <w:p>
            <w:pPr>
              <w:pStyle w:val="Compact"/>
              <w:jc w:val="left"/>
            </w:pPr>
            <w:r>
              <w:t xml:space="preserve">Policy-based and healthcare access control</w:t>
            </w:r>
          </w:p>
        </w:tc>
      </w:tr>
      <w:tr>
        <w:trPr>
          <w:cantSplit/>
        </w:trPr>
        <w:tc>
          <w:tcPr/>
          <w:p>
            <w:pPr>
              <w:pStyle w:val="Compact"/>
              <w:jc w:val="left"/>
            </w:pPr>
            <w:r>
              <w:t xml:space="preserve">S28</w:t>
            </w:r>
          </w:p>
        </w:tc>
        <w:tc>
          <w:tcPr/>
          <w:p>
            <w:pPr>
              <w:pStyle w:val="Compact"/>
              <w:jc w:val="left"/>
            </w:pPr>
            <w:r>
              <w:t xml:space="preserve">Tawfik et al., 2025 [28]</w:t>
            </w:r>
          </w:p>
        </w:tc>
        <w:tc>
          <w:tcPr/>
          <w:p>
            <w:pPr>
              <w:pStyle w:val="Compact"/>
              <w:jc w:val="left"/>
            </w:pPr>
            <w:r>
              <w:t xml:space="preserve">Blockchain-based access control and privacy preservation in healthcare: a comprehensive survey</w:t>
            </w:r>
          </w:p>
        </w:tc>
        <w:tc>
          <w:tcPr/>
          <w:p>
            <w:pPr>
              <w:pStyle w:val="Compact"/>
              <w:jc w:val="left"/>
            </w:pPr>
            <w:r>
              <w:t xml:space="preserve">Policy-based and healthcare access control</w:t>
            </w:r>
          </w:p>
        </w:tc>
      </w:tr>
      <w:tr>
        <w:trPr>
          <w:cantSplit/>
        </w:trPr>
        <w:tc>
          <w:tcPr/>
          <w:p>
            <w:pPr>
              <w:pStyle w:val="Compact"/>
              <w:jc w:val="left"/>
            </w:pPr>
            <w:r>
              <w:t xml:space="preserve">S29</w:t>
            </w:r>
          </w:p>
        </w:tc>
        <w:tc>
          <w:tcPr/>
          <w:p>
            <w:pPr>
              <w:pStyle w:val="Compact"/>
              <w:jc w:val="left"/>
            </w:pPr>
            <w:r>
              <w:t xml:space="preserve">Yin et al., 2024 [32]</w:t>
            </w:r>
          </w:p>
        </w:tc>
        <w:tc>
          <w:tcPr/>
          <w:p>
            <w:pPr>
              <w:pStyle w:val="Compact"/>
              <w:jc w:val="left"/>
            </w:pPr>
            <w:r>
              <w:t xml:space="preserve">Attribute-based searchable encryption with decentralised key management for healthcare data sharing</w:t>
            </w:r>
          </w:p>
        </w:tc>
        <w:tc>
          <w:tcPr/>
          <w:p>
            <w:pPr>
              <w:pStyle w:val="Compact"/>
              <w:jc w:val="left"/>
            </w:pPr>
            <w:r>
              <w:t xml:space="preserve">Policy-based and healthcare access control</w:t>
            </w:r>
          </w:p>
        </w:tc>
      </w:tr>
      <w:tr>
        <w:trPr>
          <w:cantSplit/>
        </w:trPr>
        <w:tc>
          <w:tcPr/>
          <w:p>
            <w:pPr>
              <w:pStyle w:val="Compact"/>
              <w:jc w:val="left"/>
            </w:pPr>
            <w:r>
              <w:t xml:space="preserve">S30</w:t>
            </w:r>
          </w:p>
        </w:tc>
        <w:tc>
          <w:tcPr/>
          <w:p>
            <w:pPr>
              <w:pStyle w:val="Compact"/>
              <w:jc w:val="left"/>
            </w:pPr>
            <w:r>
              <w:t xml:space="preserve">de Oliveira et al., 2022 [49]</w:t>
            </w:r>
          </w:p>
        </w:tc>
        <w:tc>
          <w:tcPr/>
          <w:p>
            <w:pPr>
              <w:pStyle w:val="Compact"/>
              <w:jc w:val="left"/>
            </w:pPr>
            <w:r>
              <w:t xml:space="preserve">SmartAccess: attribute-based access control system for medical records based on smart contracts</w:t>
            </w:r>
          </w:p>
        </w:tc>
        <w:tc>
          <w:tcPr/>
          <w:p>
            <w:pPr>
              <w:pStyle w:val="Compact"/>
              <w:jc w:val="left"/>
            </w:pPr>
            <w:r>
              <w:t xml:space="preserve">Policy-based and healthcare access control</w:t>
            </w:r>
          </w:p>
        </w:tc>
      </w:tr>
      <w:tr>
        <w:trPr>
          <w:cantSplit/>
        </w:trPr>
        <w:tc>
          <w:tcPr/>
          <w:p>
            <w:pPr>
              <w:pStyle w:val="Compact"/>
              <w:jc w:val="left"/>
            </w:pPr>
            <w:r>
              <w:t xml:space="preserve">S31</w:t>
            </w:r>
          </w:p>
        </w:tc>
        <w:tc>
          <w:tcPr/>
          <w:p>
            <w:pPr>
              <w:pStyle w:val="Compact"/>
              <w:jc w:val="left"/>
            </w:pPr>
            <w:r>
              <w:t xml:space="preserve">Ullah et al., 2024 [46]</w:t>
            </w:r>
          </w:p>
        </w:tc>
        <w:tc>
          <w:tcPr/>
          <w:p>
            <w:pPr>
              <w:pStyle w:val="Compact"/>
              <w:jc w:val="left"/>
            </w:pPr>
            <w:r>
              <w:t xml:space="preserve">Blockchain-enabled EHR access auditing: enhancing healthcare data security</w:t>
            </w:r>
          </w:p>
        </w:tc>
        <w:tc>
          <w:tcPr/>
          <w:p>
            <w:pPr>
              <w:pStyle w:val="Compact"/>
              <w:jc w:val="left"/>
            </w:pPr>
            <w:r>
              <w:t xml:space="preserve">Policy-based and healthcare access control</w:t>
            </w:r>
          </w:p>
        </w:tc>
      </w:tr>
      <w:tr>
        <w:trPr>
          <w:cantSplit/>
        </w:trPr>
        <w:tc>
          <w:tcPr/>
          <w:p>
            <w:pPr>
              <w:pStyle w:val="Compact"/>
              <w:jc w:val="left"/>
            </w:pPr>
            <w:r>
              <w:t xml:space="preserve">S32</w:t>
            </w:r>
          </w:p>
        </w:tc>
        <w:tc>
          <w:tcPr/>
          <w:p>
            <w:pPr>
              <w:pStyle w:val="Compact"/>
              <w:jc w:val="left"/>
            </w:pPr>
            <w:r>
              <w:t xml:space="preserve">Yaqub et al., 2025 [47]</w:t>
            </w:r>
          </w:p>
        </w:tc>
        <w:tc>
          <w:tcPr/>
          <w:p>
            <w:pPr>
              <w:pStyle w:val="Compact"/>
              <w:jc w:val="left"/>
            </w:pPr>
            <w:r>
              <w:t xml:space="preserve">Blockchain-enabled policy-based access control mechanism to restrict unauthorised access to electronic health records</w:t>
            </w:r>
          </w:p>
        </w:tc>
        <w:tc>
          <w:tcPr/>
          <w:p>
            <w:pPr>
              <w:pStyle w:val="Compact"/>
              <w:jc w:val="left"/>
            </w:pPr>
            <w:r>
              <w:t xml:space="preserve">Policy-based and healthcare access control</w:t>
            </w:r>
          </w:p>
        </w:tc>
      </w:tr>
      <w:tr>
        <w:trPr>
          <w:cantSplit/>
        </w:trPr>
        <w:tc>
          <w:tcPr/>
          <w:p>
            <w:pPr>
              <w:pStyle w:val="Compact"/>
              <w:jc w:val="left"/>
            </w:pPr>
            <w:r>
              <w:t xml:space="preserve">S33</w:t>
            </w:r>
          </w:p>
        </w:tc>
        <w:tc>
          <w:tcPr/>
          <w:p>
            <w:pPr>
              <w:pStyle w:val="Compact"/>
              <w:jc w:val="left"/>
            </w:pPr>
            <w:r>
              <w:t xml:space="preserve">Ménétrey et al., 2022 [23]</w:t>
            </w:r>
          </w:p>
        </w:tc>
        <w:tc>
          <w:tcPr/>
          <w:p>
            <w:pPr>
              <w:pStyle w:val="Compact"/>
              <w:jc w:val="left"/>
            </w:pPr>
            <w:r>
              <w:t xml:space="preserve">Attestation mechanisms for trusted execution environments demystified</w:t>
            </w:r>
          </w:p>
        </w:tc>
        <w:tc>
          <w:tcPr/>
          <w:p>
            <w:pPr>
              <w:pStyle w:val="Compact"/>
              <w:jc w:val="left"/>
            </w:pPr>
            <w:r>
              <w:t xml:space="preserve">Trusted Computing and secure execution</w:t>
            </w:r>
          </w:p>
        </w:tc>
      </w:tr>
    </w:tbl>
    <w:bookmarkEnd w:id="27"/>
    <w:bookmarkEnd w:id="28"/>
    <w:bookmarkStart w:id="36" w:name="X47a7c0cd3439350f5b2bab0a0c72b8d78bf1bcb"/>
    <w:p>
      <w:pPr>
        <w:pStyle w:val="Heading2"/>
      </w:pPr>
      <w:r>
        <w:t xml:space="preserve"> </w:t>
      </w:r>
      <w:r>
        <w:t xml:space="preserve">2.4</w:t>
      </w:r>
      <w:r>
        <w:t xml:space="preserve"> </w:t>
      </w:r>
      <w:r>
        <w:t xml:space="preserve"> </w:t>
      </w:r>
      <w:r>
        <w:t xml:space="preserve">Summary of Papers Shortlisted in the SLR</w:t>
      </w:r>
    </w:p>
    <w:p>
      <w:pPr>
        <w:pStyle w:val="FirstParagraph"/>
      </w:pPr>
      <w:r>
        <w:t xml:space="preserve">This section summarises the shortlisted papers by category (Table 2.3). For each category the discussion is followed by a table that records the description of each study, its issues and limitations for trust-oriented consent authorisation, and whether it addresses the five key requirements of Section 2.2 (√ addressed, × not addressed).</w:t>
      </w:r>
    </w:p>
    <w:bookmarkStart w:id="29" w:name="X3643e3a96c176827f6f89acdc5119d36405fe44"/>
    <w:p>
      <w:pPr>
        <w:pStyle w:val="Heading3"/>
      </w:pPr>
      <w:r>
        <w:t xml:space="preserve"> </w:t>
      </w:r>
      <w:r>
        <w:t xml:space="preserve">2.4.1</w:t>
      </w:r>
      <w:r>
        <w:t xml:space="preserve"> </w:t>
      </w:r>
      <w:r>
        <w:t xml:space="preserve"> </w:t>
      </w:r>
      <w:r>
        <w:t xml:space="preserve">Healthcare Consent and Privacy Governance</w:t>
      </w:r>
    </w:p>
    <w:p>
      <w:pPr>
        <w:pStyle w:val="FirstParagraph"/>
      </w:pPr>
      <w: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[22, 31].</w:t>
      </w:r>
    </w:p>
    <w:p>
      <w:pPr>
        <w:pStyle w:val="BodyText"/>
      </w:pPr>
      <w: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[9]. These competing requirements make healthcare consent a governance problem rather than simply a binary access-control decision.</w:t>
      </w:r>
    </w:p>
    <w:p>
      <w:pPr>
        <w:pStyle w:val="BodyText"/>
      </w:pPr>
      <w: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pStyle w:val="BodyText"/>
      </w:pPr>
      <w: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pStyle w:val="BodyText"/>
      </w:pPr>
      <w: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pStyle w:val="BodyText"/>
      </w:pPr>
      <w:r>
        <w:t xml:space="preserve">More recent architectures go a step further. A blockchain-backed service-oriented architecture stores consents immutably, enforces access to health data according to them and exposes audit tasks to supervisory authorities and to patients themselves [43], and a self-determined consent framework combines blockchain, self-sovereign identity and de-identified tokens so that consent and data use can be tracked across clinical, app and wearable data [45]. Both act on the consent record; neither evaluates the requester’s authority or a collective approval before the record is applied. A recent systematic review of 55 blockchain-based consent frameworks confirms that smart contracts, decentralised identifiers and verifiable credentials have become the common building blocks of programmable consent, while reporting that revocation propagation, interoperability and usability remain unresolved [48].</w:t>
      </w:r>
    </w:p>
    <w:p>
      <w:pPr>
        <w:pStyle w:val="BodyText"/>
      </w:pPr>
      <w:r>
        <w:t xml:space="preserve">Table 2.4 presents a summary of the studies that fall under the healthcare consent and privacy governance category and their coverage of the key requirements.</w:t>
      </w:r>
    </w:p>
    <w:p>
      <w:pPr>
        <w:pStyle w:val="TableCaption"/>
      </w:pPr>
      <w:r>
        <w:t xml:space="preserve">Table 2.4: Descriptions, issues and limitations of the studies on healthcare consent and privacy governance and their coverage of the key requirements</w:t>
      </w:r>
    </w:p>
    <w:tbl>
      <w:tblPr>
        <w:tblStyle w:val="Table"/>
        <w:tblW w:type="pct" w:w="5000"/>
        <w:tblLayout w:type="fixed"/>
        <w:tblLook w:firstRow="1" w:lastRow="0" w:firstColumn="0" w:lastColumn="0" w:noHBand="0" w:noVBand="0" w:val="0020"/>
        <w:tblCaption w:val="Table 2.4: Descriptions, issues and limitations of the studies on healthcare consent and privacy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S1 [9]</w:t>
            </w:r>
          </w:p>
        </w:tc>
        <w:tc>
          <w:tcPr/>
          <w:p>
            <w:pPr>
              <w:pStyle w:val="Compact"/>
              <w:jc w:val="left"/>
            </w:pPr>
            <w:r>
              <w:t xml:space="preserve">Cross-sectional study of 150 nurses in a general hospital on how patient confidentiality is balanced against care coordination, measured with HIPAA, privacy-impact and EHR security assessment tools.</w:t>
            </w:r>
          </w:p>
        </w:tc>
        <w:tc>
          <w:tcPr/>
          <w:p>
            <w:pPr>
              <w:pStyle w:val="Compact"/>
              <w:jc w:val="left"/>
            </w:pPr>
            <w:r>
              <w:t xml:space="preserve">Studies organisational practice; consent is treated as a compliance matter and no authorisation mechanism is proposed.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 [10]</w:t>
            </w:r>
          </w:p>
        </w:tc>
        <w:tc>
          <w:tcPr/>
          <w:p>
            <w:pPr>
              <w:pStyle w:val="Compact"/>
              <w:jc w:val="left"/>
            </w:pPr>
            <w:r>
              <w:t xml:space="preserve">Proposes consent receipts as machine-readable, auditable records of how consent was obtained and exercised, with proofs of concept for privacy policies, cookie dialogues and voice assistants.</w:t>
            </w:r>
          </w:p>
        </w:tc>
        <w:tc>
          <w:tcPr/>
          <w:p>
            <w:pPr>
              <w:pStyle w:val="Compact"/>
              <w:jc w:val="left"/>
            </w:pPr>
            <w:r>
              <w:t xml:space="preserve">A receipt proves that consent was given; it does not evaluate whether a later request satisfies identity, authority, approval or scope conditions.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S3 [13]</w:t>
            </w:r>
          </w:p>
        </w:tc>
        <w:tc>
          <w:tcPr/>
          <w:p>
            <w:pPr>
              <w:pStyle w:val="Compact"/>
              <w:jc w:val="left"/>
            </w:pPr>
            <w:r>
              <w:t xml:space="preserve">Privacy-first model for blockchain-based dynamic consent management in which subject data and consent are kept encrypted on-chain and the data-controller role is decentralised.</w:t>
            </w:r>
          </w:p>
        </w:tc>
        <w:tc>
          <w:tcPr/>
          <w:p>
            <w:pPr>
              <w:pStyle w:val="Compact"/>
              <w:jc w:val="left"/>
            </w:pPr>
            <w:r>
              <w:t xml:space="preserve">Consent is stored and shared securely, but a request is not evaluated against the requester’s authority or a multi-party approval threshold.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S4 [22]</w:t>
            </w:r>
          </w:p>
        </w:tc>
        <w:tc>
          <w:tcPr/>
          <w:p>
            <w:pPr>
              <w:pStyle w:val="Compact"/>
              <w:jc w:val="left"/>
            </w:pPr>
            <w:r>
              <w:t xml:space="preserve">Legal analysis of informed consent for the use and disclosure of patient information under the GDPR, the common law and professional ethics.</w:t>
            </w:r>
          </w:p>
        </w:tc>
        <w:tc>
          <w:tcPr/>
          <w:p>
            <w:pPr>
              <w:pStyle w:val="Compact"/>
              <w:jc w:val="left"/>
            </w:pPr>
            <w:r>
              <w:t xml:space="preserve">Defines the legal conditions of a valid consent but not an executable authorisation object.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S5 [24]</w:t>
            </w:r>
          </w:p>
        </w:tc>
        <w:tc>
          <w:tcPr/>
          <w:p>
            <w:pPr>
              <w:pStyle w:val="Compact"/>
              <w:jc w:val="left"/>
            </w:pPr>
            <w:r>
              <w:t xml:space="preserve">Review of privacy models and consent frameworks (dynamic and granular consent, blockchain, My Health Record, Estonian e-Health) for patient data ownership.</w:t>
            </w:r>
          </w:p>
        </w:tc>
        <w:tc>
          <w:tcPr/>
          <w:p>
            <w:pPr>
              <w:pStyle w:val="Compact"/>
              <w:jc w:val="left"/>
            </w:pPr>
            <w:r>
              <w:t xml:space="preserve">Descriptive review; the consent frameworks are not connected to identity verification or scope enforcement.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S6 [31]</w:t>
            </w:r>
          </w:p>
        </w:tc>
        <w:tc>
          <w:tcPr/>
          <w:p>
            <w:pPr>
              <w:pStyle w:val="Compact"/>
              <w:jc w:val="left"/>
            </w:pPr>
            <w:r>
              <w:t xml:space="preserve">Policy statement on electronic access to the health record by paediatric patients and their guardians, including proxy access and record segmentation.</w:t>
            </w:r>
          </w:p>
        </w:tc>
        <w:tc>
          <w:tcPr/>
          <w:p>
            <w:pPr>
              <w:pStyle w:val="Compact"/>
              <w:jc w:val="left"/>
            </w:pPr>
            <w:r>
              <w:t xml:space="preserve">Identifies guardian and proxy roles but gives no mechanism for verifying authority or for joint approval.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S7 [48]</w:t>
            </w:r>
          </w:p>
        </w:tc>
        <w:tc>
          <w:tcPr/>
          <w:p>
            <w:pPr>
              <w:pStyle w:val="Compact"/>
              <w:jc w:val="left"/>
            </w:pPr>
            <w:r>
              <w:t xml:space="preserve">Systematic review (PRISMA, 55 studies, 2020–2025) of blockchain-based frameworks for dynamic, auditable and revocable consent for the secondary use of health data, analysed by consent lifecycle, auditability, usability and legal alignment.</w:t>
            </w:r>
          </w:p>
        </w:tc>
        <w:tc>
          <w:tcPr/>
          <w:p>
            <w:pPr>
              <w:pStyle w:val="Compact"/>
              <w:jc w:val="left"/>
            </w:pPr>
            <w:r>
              <w:t xml:space="preserve">Confirms that lifecycle automation and auditability are achievable, but reports that revocation propagation, interoperability and usability remain open; consent is evaluated as a record rather than against the requester.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S8 [43]</w:t>
            </w:r>
          </w:p>
        </w:tc>
        <w:tc>
          <w:tcPr/>
          <w:p>
            <w:pPr>
              <w:pStyle w:val="Compact"/>
              <w:jc w:val="left"/>
            </w:pPr>
            <w:r>
              <w:t xml:space="preserve">Service-oriented architecture backed by blockchain that stores subject-of-care consents immutably, enforces fine-grained access to health data according to those consents and exposes audit tasks to supervisory authorities and patients, using HL7 and access-control standards.</w:t>
            </w:r>
          </w:p>
        </w:tc>
        <w:tc>
          <w:tcPr/>
          <w:p>
            <w:pPr>
              <w:pStyle w:val="Compact"/>
              <w:jc w:val="left"/>
            </w:pPr>
            <w:r>
              <w:t xml:space="preserve">Consent is stored and executed, but the requester’s authority and any multi-party approval are outside the model; enforcement follows the record rather than an evaluated decision.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S9 [45]</w:t>
            </w:r>
          </w:p>
        </w:tc>
        <w:tc>
          <w:tcPr/>
          <w:p>
            <w:pPr>
              <w:pStyle w:val="Compact"/>
              <w:jc w:val="left"/>
            </w:pPr>
            <w:r>
              <w:t xml:space="preserve">Conceptual framework that reviews blockchain, self-sovereign identity and de-identified tokens for a consent management system able to track consent and data utilisation across clinical, app and wearable data.</w:t>
            </w:r>
          </w:p>
        </w:tc>
        <w:tc>
          <w:tcPr/>
          <w:p>
            <w:pPr>
              <w:pStyle w:val="Compact"/>
              <w:jc w:val="left"/>
            </w:pPr>
            <w:r>
              <w:t xml:space="preserve">Early-stage conceptual framework; identity and consent components are listed rather than combined into an authorisation decision.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29"/>
    <w:bookmarkStart w:id="30" w:name="X2b887499669ea90de256e63d16984e9c6f7f03a"/>
    <w:p>
      <w:pPr>
        <w:pStyle w:val="Heading3"/>
      </w:pPr>
      <w:r>
        <w:t xml:space="preserve"> </w:t>
      </w:r>
      <w:r>
        <w:t xml:space="preserve">2.4.2</w:t>
      </w:r>
      <w:r>
        <w:t xml:space="preserve"> </w:t>
      </w:r>
      <w:r>
        <w:t xml:space="preserve"> </w:t>
      </w:r>
      <w:r>
        <w:t xml:space="preserve">Blockchain-Based Healthcare Data Governance</w:t>
      </w:r>
    </w:p>
    <w:p>
      <w:pPr>
        <w:pStyle w:val="FirstParagraph"/>
      </w:pPr>
      <w: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3, 7]. More generally, blockchain has been studied as an infrastructure for trustworthy data sharing and decentralised decision-making across organisational boundaries [26, 29].</w:t>
      </w:r>
    </w:p>
    <w:p>
      <w:pPr>
        <w:pStyle w:val="BodyText"/>
      </w:pPr>
      <w:r>
        <w:t xml:space="preserve">A major contribution of blockchain is its ability to preserve tamper-resistant evidence of transactions and state changes. This characteristic strengthens auditability and provides evidence that recorded information has not been modified without detection [1, 26].</w:t>
      </w:r>
    </w:p>
    <w:p>
      <w:pPr>
        <w:pStyle w:val="BodyText"/>
      </w:pPr>
      <w: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3, 7, 28].</w:t>
      </w:r>
    </w:p>
    <w:p>
      <w:pPr>
        <w:pStyle w:val="BodyText"/>
      </w:pPr>
      <w: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pStyle w:val="BodyText"/>
      </w:pPr>
      <w: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pStyle w:val="BodyText"/>
      </w:pPr>
      <w: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BodyText"/>
      </w:pPr>
      <w:r>
        <w:t xml:space="preserve">Table 2.5 summarises the blockchain-based studies and their coverage of the key requirements.</w:t>
      </w:r>
    </w:p>
    <w:p>
      <w:pPr>
        <w:pStyle w:val="TableCaption"/>
      </w:pPr>
      <w:r>
        <w:t xml:space="preserve">Table 2.5: Descriptions, issues and limitations of the studies on blockchain-based healthcare data governance and their coverage of the key requirements</w:t>
      </w:r>
    </w:p>
    <w:tbl>
      <w:tblPr>
        <w:tblStyle w:val="Table"/>
        <w:tblW w:type="pct" w:w="5000"/>
        <w:tblLayout w:type="fixed"/>
        <w:tblLook w:firstRow="1" w:lastRow="0" w:firstColumn="0" w:lastColumn="0" w:noHBand="0" w:noVBand="0" w:val="0020"/>
        <w:tblCaption w:val="Table 2.5: Descriptions, issues and limitations of the studies on blockchain-based healthcare data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S10 [1]</w:t>
            </w:r>
          </w:p>
        </w:tc>
        <w:tc>
          <w:tcPr/>
          <w:p>
            <w:pPr>
              <w:pStyle w:val="Compact"/>
              <w:jc w:val="left"/>
            </w:pPr>
            <w:r>
              <w:t xml:space="preserve">Systematic review of 99 blockchain-based EHR proposals analysed by privacy, security, scalability, accessibility, cost, consensus and blockchain type.</w:t>
            </w:r>
          </w:p>
        </w:tc>
        <w:tc>
          <w:tcPr/>
          <w:p>
            <w:pPr>
              <w:pStyle w:val="Compact"/>
              <w:jc w:val="left"/>
            </w:pPr>
            <w:r>
              <w:t xml:space="preserve">Blockchain is evaluated as a storage and audit substrate; participant authority and consent scope are not modelled.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S11 [2]</w:t>
            </w:r>
          </w:p>
        </w:tc>
        <w:tc>
          <w:tcPr/>
          <w:p>
            <w:pPr>
              <w:pStyle w:val="Compact"/>
              <w:jc w:val="left"/>
            </w:pPr>
            <w:r>
              <w:t xml:space="preserve">Survey of blockchain architectures for healthcare systems, their security challenges, trends and future directions.</w:t>
            </w:r>
          </w:p>
        </w:tc>
        <w:tc>
          <w:tcPr/>
          <w:p>
            <w:pPr>
              <w:pStyle w:val="Compact"/>
              <w:jc w:val="left"/>
            </w:pPr>
            <w:r>
              <w:t xml:space="preserve">Architecture-level survey; the access decision itself is left to the individual systems reviewed.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S12 [3]</w:t>
            </w:r>
          </w:p>
        </w:tc>
        <w:tc>
          <w:tcPr/>
          <w:p>
            <w:pPr>
              <w:pStyle w:val="Compact"/>
              <w:jc w:val="left"/>
            </w:pPr>
            <w:r>
              <w:t xml:space="preserve">Survey classifying more than 40 blockchain healthcare systems by entity interactions, functional components, challenges and benefits, with a discussion of GDPR and HIPAA compliance.</w:t>
            </w:r>
          </w:p>
        </w:tc>
        <w:tc>
          <w:tcPr/>
          <w:p>
            <w:pPr>
              <w:pStyle w:val="Compact"/>
              <w:jc w:val="left"/>
            </w:pPr>
            <w:r>
              <w:t xml:space="preserve">Treats consent as a regulatory requirement rather than an evaluable object; authority verification is not addressed.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S13 [7]</w:t>
            </w:r>
          </w:p>
        </w:tc>
        <w:tc>
          <w:tcPr/>
          <w:p>
            <w:pPr>
              <w:pStyle w:val="Compact"/>
              <w:jc w:val="left"/>
            </w:pPr>
            <w:r>
              <w:t xml:space="preserve">Review of 144 articles on blockchain applications in healthcare, their application areas, limitations and research directions.</w:t>
            </w:r>
          </w:p>
        </w:tc>
        <w:tc>
          <w:tcPr/>
          <w:p>
            <w:pPr>
              <w:pStyle w:val="Compact"/>
              <w:jc w:val="left"/>
            </w:pPr>
            <w:r>
              <w:t xml:space="preserve">Confirms the auditability benefit; multi-party approval and authority verification are not treated.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S14 [26]</w:t>
            </w:r>
          </w:p>
        </w:tc>
        <w:tc>
          <w:tcPr/>
          <w:p>
            <w:pPr>
              <w:pStyle w:val="Compact"/>
              <w:jc w:val="left"/>
            </w:pPr>
            <w:r>
              <w:t xml:space="preserve">Survey and reference architecture for blockchain-based data sharing covering provenance, privacy, consent management and incentives across healthcare and other sectors.</w:t>
            </w:r>
          </w:p>
        </w:tc>
        <w:tc>
          <w:tcPr/>
          <w:p>
            <w:pPr>
              <w:pStyle w:val="Compact"/>
              <w:jc w:val="left"/>
            </w:pPr>
            <w:r>
              <w:t xml:space="preserve">Consent management is named as a challenge; the architecture does not specify how a request is evaluated against identity, approval and scope.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S15 [29]</w:t>
            </w:r>
          </w:p>
        </w:tc>
        <w:tc>
          <w:tcPr/>
          <w:p>
            <w:pPr>
              <w:pStyle w:val="Compact"/>
              <w:jc w:val="left"/>
            </w:pPr>
            <w:r>
              <w:t xml:space="preserve">Review of decentralised decision-making with big data and blockchain, including DAO governance and the Estonian healthcare case.</w:t>
            </w:r>
          </w:p>
        </w:tc>
        <w:tc>
          <w:tcPr/>
          <w:p>
            <w:pPr>
              <w:pStyle w:val="Compact"/>
              <w:jc w:val="left"/>
            </w:pPr>
            <w:r>
              <w:t xml:space="preserve">Collective decision-making is discussed at governance level, not as a verifiable condition inside a consent object.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0"/>
    <w:bookmarkStart w:id="31" w:name="Xce8374abd25737680a0ea224e7b0673254898a7"/>
    <w:p>
      <w:pPr>
        <w:pStyle w:val="Heading3"/>
      </w:pPr>
      <w:r>
        <w:t xml:space="preserve"> </w:t>
      </w:r>
      <w:r>
        <w:t xml:space="preserve">2.4.3 Decentralised Identity and Verifiable Credentials</w:t>
      </w:r>
    </w:p>
    <w:p>
      <w:pPr>
        <w:pStyle w:val="FirstParagraph"/>
      </w:pPr>
      <w: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[4, 16, 20, 33].</w:t>
      </w:r>
    </w:p>
    <w:p>
      <w:pPr>
        <w:pStyle w:val="BodyText"/>
      </w:pPr>
      <w: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[4, 33]. Other studies have examined privacy-preserving authentication and selective disclosure, allowing participants to prove selected attributes without unnecessarily revealing additional information [5, 27].</w:t>
      </w:r>
    </w:p>
    <w:p>
      <w:pPr>
        <w:pStyle w:val="BodyText"/>
      </w:pPr>
      <w:r>
        <w:t xml:space="preserve">These mechanisms are particularly relevant to healthcare and other sensitive data-sharing environments because they can reduce dependence on a single identity provider and provide stronger control over the disclosure of participant attributes.Reviews of blockchain-based identity management for the Internet of Things reach the same conclusion for constrained devices [15, 16]. However, the literature also reveals an important conceptual distinction between identity and authority.</w:t>
      </w:r>
    </w:p>
    <w:p>
      <w:pPr>
        <w:pStyle w:val="BodyText"/>
      </w:pPr>
      <w: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pStyle w:val="BodyText"/>
      </w:pPr>
      <w:r>
        <w:t xml:space="preserve">The proposed research therefore extends the role of DID and VC technologies from identity representation and credential verification towards their use as trusted inputs to a broader authorisation process. Under this approach,</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1</m:t>
          </m:r>
          <m:r>
            <m:rPr>
              <m:sty m:val="p"/>
            </m:rPr>
            <m:t>)</m:t>
          </m:r>
        </m:oMath>
      </m:oMathPara>
    </w:p>
    <w:p>
      <w:pPr>
        <w:pStyle w:val="FirstParagraph"/>
      </w:pPr>
      <w: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pStyle w:val="BodyText"/>
      </w:pPr>
      <w: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pStyle w:val="BodyText"/>
      </w:pPr>
      <w:r>
        <w:t xml:space="preserve">Table 2.6 summarises the decentralised identity studies and their coverage of the key requirements.</w:t>
      </w:r>
    </w:p>
    <w:p>
      <w:pPr>
        <w:pStyle w:val="TableCaption"/>
      </w:pPr>
      <w:r>
        <w:t xml:space="preserve">Table 2.6: Descriptions, issues and limitations of the studies on decentralised identity and verifiable credentials and their coverage of the key requirements</w:t>
      </w:r>
    </w:p>
    <w:tbl>
      <w:tblPr>
        <w:tblStyle w:val="Table"/>
        <w:tblW w:type="pct" w:w="5000"/>
        <w:tblLayout w:type="fixed"/>
        <w:tblLook w:firstRow="1" w:lastRow="0" w:firstColumn="0" w:lastColumn="0" w:noHBand="0" w:noVBand="0" w:val="0020"/>
        <w:tblCaption w:val="Table 2.6: Descriptions, issues and limitations of the studies on decentralised identity and verifiable credentials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S16 [4]</w:t>
            </w:r>
          </w:p>
        </w:tc>
        <w:tc>
          <w:tcPr/>
          <w:p>
            <w:pPr>
              <w:pStyle w:val="Compact"/>
              <w:jc w:val="left"/>
            </w:pPr>
            <w:r>
              <w:t xml:space="preserve">FutureDID: a fully decentralised identity system in which identity claims are verified by multiple parties.</w:t>
            </w:r>
          </w:p>
        </w:tc>
        <w:tc>
          <w:tcPr/>
          <w:p>
            <w:pPr>
              <w:pStyle w:val="Compact"/>
              <w:jc w:val="left"/>
            </w:pPr>
            <w:r>
              <w:t xml:space="preserve">Multi-party verification applies to the identity claim, not to the authorisation of data access.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S17 [5]</w:t>
            </w:r>
          </w:p>
        </w:tc>
        <w:tc>
          <w:tcPr/>
          <w:p>
            <w:pPr>
              <w:pStyle w:val="Compact"/>
              <w:jc w:val="left"/>
            </w:pPr>
            <w:r>
              <w:t xml:space="preserve">Analysis of the cryptographic mechanisms available for the selective disclosure of verifiable credentials.</w:t>
            </w:r>
          </w:p>
        </w:tc>
        <w:tc>
          <w:tcPr/>
          <w:p>
            <w:pPr>
              <w:pStyle w:val="Compact"/>
              <w:jc w:val="left"/>
            </w:pPr>
            <w:r>
              <w:t xml:space="preserve">Concerns what a holder reveals, not whether the holder is authorised for a particular patient’s data.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S18 [15]</w:t>
            </w:r>
          </w:p>
        </w:tc>
        <w:tc>
          <w:tcPr/>
          <w:p>
            <w:pPr>
              <w:pStyle w:val="Compact"/>
              <w:jc w:val="left"/>
            </w:pPr>
            <w:r>
              <w:t xml:space="preserve">Review of blockchain-based identity management, access control and trust mechanisms for the IoT.</w:t>
            </w:r>
          </w:p>
        </w:tc>
        <w:tc>
          <w:tcPr/>
          <w:p>
            <w:pPr>
              <w:pStyle w:val="Compact"/>
              <w:jc w:val="left"/>
            </w:pPr>
            <w:r>
              <w:t xml:space="preserve">IoT-oriented; consent and multi-party approval are outside its scope.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S19 [16]</w:t>
            </w:r>
          </w:p>
        </w:tc>
        <w:tc>
          <w:tcPr/>
          <w:p>
            <w:pPr>
              <w:pStyle w:val="Compact"/>
              <w:jc w:val="left"/>
            </w:pPr>
            <w:r>
              <w:t xml:space="preserve">Overview of decentralised and self-sovereign identity for IoT authentication, authorisation and access control.</w:t>
            </w:r>
          </w:p>
        </w:tc>
        <w:tc>
          <w:tcPr/>
          <w:p>
            <w:pPr>
              <w:pStyle w:val="Compact"/>
              <w:jc w:val="left"/>
            </w:pPr>
            <w:r>
              <w:t xml:space="preserve">Establishes DIDs and VCs as the identity pillars; authorisation is derived from the credential 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S20 [20]</w:t>
            </w:r>
          </w:p>
        </w:tc>
        <w:tc>
          <w:tcPr/>
          <w:p>
            <w:pPr>
              <w:pStyle w:val="Compact"/>
              <w:jc w:val="left"/>
            </w:pPr>
            <w:r>
              <w:t xml:space="preserve">Comprehensive survey of decentralised identifiers and verifiable credentials, their standards, architectures and open issues.</w:t>
            </w:r>
          </w:p>
        </w:tc>
        <w:tc>
          <w:tcPr/>
          <w:p>
            <w:pPr>
              <w:pStyle w:val="Compact"/>
              <w:jc w:val="left"/>
            </w:pPr>
            <w:r>
              <w:t xml:space="preserve">Identity and credential validity are the end point; there is no link to consent-defined authority.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S21 [27]</w:t>
            </w:r>
          </w:p>
        </w:tc>
        <w:tc>
          <w:tcPr/>
          <w:p>
            <w:pPr>
              <w:pStyle w:val="Compact"/>
              <w:jc w:val="left"/>
            </w:pPr>
            <w:r>
              <w:t xml:space="preserve">DID/VC-based privacy-preserving authentication protocol with zero-knowledge proofs for electric-vehicle charging.</w:t>
            </w:r>
          </w:p>
        </w:tc>
        <w:tc>
          <w:tcPr/>
          <w:p>
            <w:pPr>
              <w:pStyle w:val="Compact"/>
              <w:jc w:val="left"/>
            </w:pPr>
            <w:r>
              <w:t xml:space="preserve">Shows DID/VC authentication in another domain; no consent or scope conditions.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S22 [33]</w:t>
            </w:r>
          </w:p>
        </w:tc>
        <w:tc>
          <w:tcPr/>
          <w:p>
            <w:pPr>
              <w:pStyle w:val="Compact"/>
              <w:jc w:val="left"/>
            </w:pPr>
            <w:r>
              <w:t xml:space="preserve">DP-DID: a dynamic and proactive decentralised identity system that supports identity updates and revocation.</w:t>
            </w:r>
          </w:p>
        </w:tc>
        <w:tc>
          <w:tcPr/>
          <w:p>
            <w:pPr>
              <w:pStyle w:val="Compact"/>
              <w:jc w:val="left"/>
            </w:pPr>
            <w:r>
              <w:t xml:space="preserve">Lifecycle handling applies to the identity, not to the consent that authorises access.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1"/>
    <w:bookmarkStart w:id="32" w:name="X836fdb855249812e1f666cb0298115c8e62a77c"/>
    <w:p>
      <w:pPr>
        <w:pStyle w:val="Heading3"/>
      </w:pPr>
      <w:r>
        <w:t xml:space="preserve"> </w:t>
      </w:r>
      <w:r>
        <w:t xml:space="preserve">2.4.4</w:t>
      </w:r>
      <w:r>
        <w:t xml:space="preserve"> </w:t>
      </w:r>
      <w:r>
        <w:t xml:space="preserve"> </w:t>
      </w:r>
      <w:r>
        <w:t xml:space="preserve">Multi-Party and Decentralised Governance</w:t>
      </w:r>
    </w:p>
    <w:p>
      <w:pPr>
        <w:pStyle w:val="FirstParagraph"/>
      </w:pPr>
      <w: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[9, 31].</w:t>
      </w:r>
    </w:p>
    <w:p>
      <w:pPr>
        <w:pStyle w:val="BodyText"/>
      </w:pPr>
      <w: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[19].A decentralised trust framework for multi-stakeholder livestock data sharing shows that controlled exposure to authorised entities can be achieved without a central authority [6]. Decentralised decision-making has also been investigated in combination with blockchain and large-scale data systems [29]. FutureDID further demonstrates that multi-party verification can be incorporated into decentralised identity processes [4].</w:t>
      </w:r>
    </w:p>
    <w:p>
      <w:pPr>
        <w:pStyle w:val="BodyText"/>
      </w:pPr>
      <w: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pStyle w:val="BodyText"/>
      </w:pPr>
      <w: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pStyle w:val="BodyText"/>
      </w:pPr>
      <w:r>
        <w:t xml:space="preserve">The closest existing approach to threshold-based authorisation is the multi-party pre-authorisation protocol of Tan et al. [44], in which a patient pre-delegates access authorisation to several parties using self-sovereign identity, secure multi-party computation and threshold cryptography, so that a record can be released only when a threshold of shares is combined. The threshold applies to cryptographic shares held by parties chosen in advance, however, and the resulting approval is not evaluated against the requester’s authority or the purpose and scope of the request.</w:t>
      </w:r>
    </w:p>
    <w:p>
      <w:pPr>
        <w:pStyle w:val="BodyText"/>
      </w:pPr>
      <w:r>
        <w:t xml:space="preserve">Table 2.7 summarises the multi-party governance studies and their coverage of the key requirements.</w:t>
      </w:r>
    </w:p>
    <w:p>
      <w:pPr>
        <w:pStyle w:val="TableCaption"/>
      </w:pPr>
      <w:r>
        <w:t xml:space="preserve">Table 2.7: Descriptions, issues and limitations of the studies on multi-party and decentralised governance and their coverage of the key requirements</w:t>
      </w:r>
    </w:p>
    <w:tbl>
      <w:tblPr>
        <w:tblStyle w:val="Table"/>
        <w:tblW w:type="pct" w:w="5000"/>
        <w:tblLayout w:type="fixed"/>
        <w:tblLook w:firstRow="1" w:lastRow="0" w:firstColumn="0" w:lastColumn="0" w:noHBand="0" w:noVBand="0" w:val="0020"/>
        <w:tblCaption w:val="Table 2.7: Descriptions, issues and limitations of the studies on multi-party and decentralised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S23 [6]</w:t>
            </w:r>
          </w:p>
        </w:tc>
        <w:tc>
          <w:tcPr/>
          <w:p>
            <w:pPr>
              <w:pStyle w:val="Compact"/>
              <w:jc w:val="left"/>
            </w:pPr>
            <w:r>
              <w:t xml:space="preserve">FLEX framework for decentralised trust and secure data sharing among livestock supply-chain stakeholders, with STRIDE threat modelling and an open-source implementation.</w:t>
            </w:r>
          </w:p>
        </w:tc>
        <w:tc>
          <w:tcPr/>
          <w:p>
            <w:pPr>
              <w:pStyle w:val="Compact"/>
              <w:jc w:val="left"/>
            </w:pPr>
            <w:r>
              <w:t xml:space="preserve">Controlled exposure to authorised entities is supported, but approvals are not aggregated to a threshold and consent is not modelled.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S24 [19]</w:t>
            </w:r>
          </w:p>
        </w:tc>
        <w:tc>
          <w:tcPr/>
          <w:p>
            <w:pPr>
              <w:pStyle w:val="Compact"/>
              <w:jc w:val="left"/>
            </w:pPr>
            <w:r>
              <w:t xml:space="preserve">Data Trusts as a Service: a platform through which multiple parties take part in data-sharing arrangements and their governance.</w:t>
            </w:r>
          </w:p>
        </w:tc>
        <w:tc>
          <w:tcPr/>
          <w:p>
            <w:pPr>
              <w:pStyle w:val="Compact"/>
              <w:jc w:val="left"/>
            </w:pPr>
            <w:r>
              <w:t xml:space="preserve">Governance is collective, but the individual access decision is not bound to identity verification or consent scope.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S25 [44]</w:t>
            </w:r>
          </w:p>
        </w:tc>
        <w:tc>
          <w:tcPr/>
          <w:p>
            <w:pPr>
              <w:pStyle w:val="Compact"/>
              <w:jc w:val="left"/>
            </w:pPr>
            <w:r>
              <w:t xml:space="preserve">Patient-centric protocol in which the patient pre-delegates authorisation for EHR access to several parties, combining self-sovereign identity with secure multi-party computation and threshold cryptography so that access requires a threshold of shares.</w:t>
            </w:r>
          </w:p>
        </w:tc>
        <w:tc>
          <w:tcPr/>
          <w:p>
            <w:pPr>
              <w:pStyle w:val="Compact"/>
              <w:jc w:val="left"/>
            </w:pPr>
            <w:r>
              <w:t xml:space="preserve">The threshold applies to cryptographic shares held by parties fixed in advance; the approval is not evaluated against the requester’s authority or the purpose and scope of the request.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2"/>
    <w:bookmarkStart w:id="33" w:name="X65ac327857ae873d38ffe426701abf3e34d1162"/>
    <w:p>
      <w:pPr>
        <w:pStyle w:val="Heading3"/>
      </w:pPr>
      <w:r>
        <w:t xml:space="preserve"> </w:t>
      </w:r>
      <w:r>
        <w:t xml:space="preserve">2.4.5</w:t>
      </w:r>
      <w:r>
        <w:t xml:space="preserve"> </w:t>
      </w:r>
      <w:r>
        <w:t xml:space="preserve"> </w:t>
      </w:r>
      <w:r>
        <w:t xml:space="preserve">Policy-Based and Healthcare Access Control</w:t>
      </w:r>
    </w:p>
    <w:p>
      <w:pPr>
        <w:pStyle w:val="FirstParagraph"/>
      </w:pPr>
      <w: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pStyle w:val="BodyText"/>
      </w:pPr>
      <w: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pStyle w:val="BodyText"/>
      </w:pPr>
      <w: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pStyle w:val="BodyText"/>
      </w:pPr>
      <w:r>
        <w:t xml:space="preserve">The proposed framework consequently treats policy compliance as an explicit authorisation condition. Let</w:t>
      </w:r>
      <w:r>
        <w:t xml:space="preserve"> </w:t>
      </w:r>
      <w:r>
        <w:rPr>
          <w:i/>
          <w:iCs/>
        </w:rPr>
        <w:t xml:space="preserve">C</w:t>
      </w:r>
      <w:r>
        <w:t xml:space="preserve"> </w:t>
      </w:r>
      <w:r>
        <w:t xml:space="preserve">represent the consent object and</w:t>
      </w:r>
      <w:r>
        <w:t xml:space="preserve"> </w:t>
      </w:r>
      <w:r>
        <w:rPr>
          <w:i/>
          <w:iCs/>
        </w:rPr>
        <w:t xml:space="preserve">R</w:t>
      </w:r>
      <w:r>
        <w:t xml:space="preserve"> </w:t>
      </w:r>
      <w:r>
        <w:t xml:space="preserve">represent a requested operation. Policy validity can be represented conceptually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2</m:t>
          </m:r>
          <m:r>
            <m:rPr>
              <m:sty m:val="p"/>
            </m:rPr>
            <m:t>)</m:t>
          </m:r>
        </m:oMath>
      </m:oMathPara>
    </w:p>
    <w:p>
      <w:pPr>
        <w:pStyle w:val="FirstParagraph"/>
      </w:pPr>
      <w:r>
        <w:t xml:space="preserve">For example, if a consent authorises access to medications and procedures,</w:t>
      </w:r>
    </w:p>
    <w:p>
      <w:pPr>
        <w:pStyle w:val="BodyText"/>
      </w:pPr>
      <m:oMathPara>
        <m:oMathParaPr>
          <m:jc m:val="center"/>
        </m:oMathParaPr>
        <m:oMath>
          <m:sSub>
            <m:e>
              <m:r>
                <m:t>S</m:t>
              </m:r>
            </m:e>
            <m:sub>
              <m:r>
                <m:t>C</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rPr>
              <m:sty m:val="p"/>
            </m:rPr>
            <m:t>,</m:t>
          </m:r>
          <m:r>
            <m:t>  </m:t>
          </m:r>
          <m:r>
            <m:t>  </m:t>
          </m:r>
          <m:r>
            <m:rPr>
              <m:sty m:val="p"/>
            </m:rPr>
            <m:t>(</m:t>
          </m:r>
          <m:r>
            <m:t>3</m:t>
          </m:r>
          <m:r>
            <m:rPr>
              <m:sty m:val="p"/>
            </m:rPr>
            <m:t>)</m:t>
          </m:r>
        </m:oMath>
      </m:oMathPara>
    </w:p>
    <w:p>
      <w:pPr>
        <w:pStyle w:val="FirstParagraph"/>
      </w:pPr>
      <w:r>
        <w:t xml:space="preserve">then a request for medications, procedures, and observations,</w:t>
      </w:r>
    </w:p>
    <w:p>
      <w:pPr>
        <w:pStyle w:val="BodyText"/>
      </w:pPr>
      <m:oMathPara>
        <m:oMathParaPr>
          <m:jc m:val="center"/>
        </m:oMathParaPr>
        <m:oMath>
          <m:sSub>
            <m:e>
              <m:r>
                <m:t>S</m:t>
              </m:r>
            </m:e>
            <m:sub>
              <m:r>
                <m:t>R</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t>O</m:t>
          </m:r>
          <m:r>
            <m:t>b</m:t>
          </m:r>
          <m:r>
            <m:t>s</m:t>
          </m:r>
          <m:r>
            <m:t>e</m:t>
          </m:r>
          <m:r>
            <m:t>r</m:t>
          </m:r>
          <m:r>
            <m:t>v</m:t>
          </m:r>
          <m:r>
            <m:t>a</m:t>
          </m:r>
          <m:r>
            <m:t>t</m:t>
          </m:r>
          <m:r>
            <m:t>i</m:t>
          </m:r>
          <m:r>
            <m:t>o</m:t>
          </m:r>
          <m:r>
            <m:t>n</m:t>
          </m:r>
          <m:r>
            <m:rPr>
              <m:sty m:val="p"/>
            </m:rPr>
            <m:t>}</m:t>
          </m:r>
          <m:r>
            <m:rPr>
              <m:sty m:val="p"/>
            </m:rPr>
            <m:t>,</m:t>
          </m:r>
          <m:r>
            <m:t>  </m:t>
          </m:r>
          <m:r>
            <m:t>  </m:t>
          </m:r>
          <m:r>
            <m:rPr>
              <m:sty m:val="p"/>
            </m:rPr>
            <m:t>(</m:t>
          </m:r>
          <m:r>
            <m:t>4</m:t>
          </m:r>
          <m:r>
            <m:rPr>
              <m:sty m:val="p"/>
            </m:rPr>
            <m:t>)</m:t>
          </m:r>
        </m:oMath>
      </m:oMathPara>
    </w:p>
    <w:p>
      <w:pPr>
        <w:pStyle w:val="FirstParagraph"/>
      </w:pPr>
      <w:r>
        <w:t xml:space="preserve">should be rejected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5</m:t>
          </m:r>
          <m:r>
            <m:rPr>
              <m:sty m:val="p"/>
            </m:rPr>
            <m:t>)</m:t>
          </m:r>
        </m:oMath>
      </m:oMathPara>
    </w:p>
    <w:p>
      <w:pPr>
        <w:pStyle w:val="FirstParagraph"/>
      </w:pPr>
      <w: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pStyle w:val="BodyText"/>
      </w:pPr>
      <w:r>
        <w:t xml:space="preserve">Purpose-based access control has also been combined with blockchain audit trails so that every access is recorded together with its declared purpose [46], and policy-based access control governed by smart contracts allows the subject, controller and requester roles of the GDPR to grant, revoke and inspect access rights [47]. In both cases the purpose is checked against a policy rather than against the purpose the patient consented to. SmartAccess goes further by letting the organisations involved agree jointly on attribute-based access policies enforced by smart contracts [49]; the agreement is between organisations, however, rather than between the patient and the parties who must approve access.</w:t>
      </w:r>
    </w:p>
    <w:p>
      <w:pPr>
        <w:pStyle w:val="BodyText"/>
      </w:pPr>
      <w:r>
        <w:t xml:space="preserve">Table 2.8 summarises the access-control studies and their coverage of the key requirements.</w:t>
      </w:r>
    </w:p>
    <w:p>
      <w:pPr>
        <w:pStyle w:val="TableCaption"/>
      </w:pPr>
      <w:r>
        <w:t xml:space="preserve">Table 2.8: Descriptions, issues and limitations of the studies on policy-based and healthcare access control and their coverage of the key requirements</w:t>
      </w:r>
    </w:p>
    <w:tbl>
      <w:tblPr>
        <w:tblStyle w:val="Table"/>
        <w:tblW w:type="pct" w:w="5000"/>
        <w:tblLayout w:type="fixed"/>
        <w:tblLook w:firstRow="1" w:lastRow="0" w:firstColumn="0" w:lastColumn="0" w:noHBand="0" w:noVBand="0" w:val="0020"/>
        <w:tblCaption w:val="Table 2.8: Descriptions, issues and limitations of the studies on policy-based and healthcare access control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S26 [11]</w:t>
            </w:r>
          </w:p>
        </w:tc>
        <w:tc>
          <w:tcPr/>
          <w:p>
            <w:pPr>
              <w:pStyle w:val="Compact"/>
              <w:jc w:val="left"/>
            </w:pPr>
            <w:r>
              <w:t xml:space="preserve">RQ-UCON: a usage-control model for healthcare big data that quantifies physician risk from visit history and adjusts access rights in real time.</w:t>
            </w:r>
          </w:p>
        </w:tc>
        <w:tc>
          <w:tcPr/>
          <w:p>
            <w:pPr>
              <w:pStyle w:val="Compact"/>
              <w:jc w:val="left"/>
            </w:pPr>
            <w:r>
              <w:t xml:space="preserve">Access is conditioned on risk and usage, not on patient consent or multi-party approval.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S27 [25]</w:t>
            </w:r>
          </w:p>
        </w:tc>
        <w:tc>
          <w:tcPr/>
          <w:p>
            <w:pPr>
              <w:pStyle w:val="Compact"/>
              <w:jc w:val="left"/>
            </w:pPr>
            <w:r>
              <w:t xml:space="preserve">Survey of access control in healthcare IoT (RBAC, ABAC, CapBAC, CAAC), emergency access, privacy compliance and DID/VC-based authorisation.</w:t>
            </w:r>
          </w:p>
        </w:tc>
        <w:tc>
          <w:tcPr/>
          <w:p>
            <w:pPr>
              <w:pStyle w:val="Compact"/>
              <w:jc w:val="left"/>
            </w:pPr>
            <w:r>
              <w:t xml:space="preserve">Surveys the models in isolation; the integration of consent, identity and collective approval is identified as a gap, not solved.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S28 [28]</w:t>
            </w:r>
          </w:p>
        </w:tc>
        <w:tc>
          <w:tcPr/>
          <w:p>
            <w:pPr>
              <w:pStyle w:val="Compact"/>
              <w:jc w:val="left"/>
            </w:pPr>
            <w:r>
              <w:t xml:space="preserve">Survey of 45 blockchain-based access-control and privacy-preservation frameworks for EHRs, including smart-contract authentication and cryptographic techniques.</w:t>
            </w:r>
          </w:p>
        </w:tc>
        <w:tc>
          <w:tcPr/>
          <w:p>
            <w:pPr>
              <w:pStyle w:val="Compact"/>
              <w:jc w:val="left"/>
            </w:pPr>
            <w:r>
              <w:t xml:space="preserve">Smart contracts enforce rules, but the surveyed frameworks do not evaluate multi-party consent conditions.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S29 [32]</w:t>
            </w:r>
          </w:p>
        </w:tc>
        <w:tc>
          <w:tcPr/>
          <w:p>
            <w:pPr>
              <w:pStyle w:val="Compact"/>
              <w:jc w:val="left"/>
            </w:pPr>
            <w:r>
              <w:t xml:space="preserve">Attribute-based searchable encryption with decentralised key management for healthcare data sharing.</w:t>
            </w:r>
          </w:p>
        </w:tc>
        <w:tc>
          <w:tcPr/>
          <w:p>
            <w:pPr>
              <w:pStyle w:val="Compact"/>
              <w:jc w:val="left"/>
            </w:pPr>
            <w:r>
              <w:t xml:space="preserve">Cryptographic enforcement of attribute policies; authority and consent approval are assumed rather than verified.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S30 [49]</w:t>
            </w:r>
          </w:p>
        </w:tc>
        <w:tc>
          <w:tcPr/>
          <w:p>
            <w:pPr>
              <w:pStyle w:val="Compact"/>
              <w:jc w:val="left"/>
            </w:pPr>
            <w:r>
              <w:t xml:space="preserve">SmartAccess: attribute-based access control for cross-organisation medical-record sharing implemented as smart contracts on a permissioned blockchain, with joint agreement over access policies, a threat model and a performance evaluation.</w:t>
            </w:r>
          </w:p>
        </w:tc>
        <w:tc>
          <w:tcPr/>
          <w:p>
            <w:pPr>
              <w:pStyle w:val="Compact"/>
              <w:jc w:val="left"/>
            </w:pPr>
            <w:r>
              <w:t xml:space="preserve">Policies are agreed jointly by organisations, not by the patient and guardians; the decision follows attributes rather than the purpose and scope of a consent.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S31 [46]</w:t>
            </w:r>
          </w:p>
        </w:tc>
        <w:tc>
          <w:tcPr/>
          <w:p>
            <w:pPr>
              <w:pStyle w:val="Compact"/>
              <w:jc w:val="left"/>
            </w:pPr>
            <w:r>
              <w:t xml:space="preserve">Blockchain-based EHR access auditing that records who accessed which record, when and for what purpose, combined with purpose-based access control enforced by smart contracts.</w:t>
            </w:r>
          </w:p>
        </w:tc>
        <w:tc>
          <w:tcPr/>
          <w:p>
            <w:pPr>
              <w:pStyle w:val="Compact"/>
              <w:jc w:val="left"/>
            </w:pPr>
            <w:r>
              <w:t xml:space="preserve">Purpose is checked against a policy, not against the purpose the patient consented to; no identity verification or collective approval.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S32 [47]</w:t>
            </w:r>
          </w:p>
        </w:tc>
        <w:tc>
          <w:tcPr/>
          <w:p>
            <w:pPr>
              <w:pStyle w:val="Compact"/>
              <w:jc w:val="left"/>
            </w:pPr>
            <w:r>
              <w:t xml:space="preserve">Policy-based access control for EHRs governed by smart contracts, in which the subject, controller and requester roles of the GDPR can grant, revoke and inspect access rights.</w:t>
            </w:r>
          </w:p>
        </w:tc>
        <w:tc>
          <w:tcPr/>
          <w:p>
            <w:pPr>
              <w:pStyle w:val="Compact"/>
              <w:jc w:val="left"/>
            </w:pPr>
            <w:r>
              <w:t xml:space="preserve">Policies are role-based; consent is implicit in the subject’s grant and no threshold of approvals is required.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3"/>
    <w:bookmarkStart w:id="34" w:name="X70697d1bf80033494359f9b6207e02cd31d6057"/>
    <w:p>
      <w:pPr>
        <w:pStyle w:val="Heading3"/>
      </w:pPr>
      <w:r>
        <w:t xml:space="preserve"> </w:t>
      </w:r>
      <w:r>
        <w:t xml:space="preserve">2.4.6 Trusted Computing, Secure Execution, and Security Assurance</w:t>
      </w:r>
    </w:p>
    <w:p>
      <w:pPr>
        <w:pStyle w:val="FirstParagraph"/>
      </w:pPr>
      <w: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p>
    <w:p>
      <w:pPr>
        <w:pStyle w:val="BodyText"/>
      </w:pPr>
      <w: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pStyle w:val="BodyText"/>
      </w:pPr>
      <w:r>
        <w:t xml:space="preserve">Integrating trusted execution and remote attestation with the proposed authorisation model is outside the current scope and is identified as future work (Section 10.2).</w:t>
      </w:r>
    </w:p>
    <w:p>
      <w:pPr>
        <w:pStyle w:val="BodyText"/>
      </w:pPr>
      <w: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p>
      <w:pPr>
        <w:pStyle w:val="BodyText"/>
      </w:pPr>
      <w:r>
        <w:t xml:space="preserve">Table 2.9 summarises the Trusted Computing study and its coverage of the key requirements.</w:t>
      </w:r>
    </w:p>
    <w:p>
      <w:pPr>
        <w:pStyle w:val="TableCaption"/>
      </w:pPr>
      <w:r>
        <w:t xml:space="preserve">Table 2.9: Descriptions, issues and limitations of the studies on trusted computing and secure execution and their coverage of the key requirements</w:t>
      </w:r>
    </w:p>
    <w:tbl>
      <w:tblPr>
        <w:tblStyle w:val="Table"/>
        <w:tblW w:type="pct" w:w="5000"/>
        <w:tblLayout w:type="fixed"/>
        <w:tblLook w:firstRow="1" w:lastRow="0" w:firstColumn="0" w:lastColumn="0" w:noHBand="0" w:noVBand="0" w:val="0020"/>
        <w:tblCaption w:val="Table 2.9: Descriptions, issues and limitations of the studies on trusted computing and secure execution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S33 [23]</w:t>
            </w:r>
          </w:p>
        </w:tc>
        <w:tc>
          <w:tcPr/>
          <w:p>
            <w:pPr>
              <w:pStyle w:val="Compact"/>
              <w:jc w:val="left"/>
            </w:pPr>
            <w:r>
              <w:t xml:space="preserve">Systematic explanation of remote-attestation mechanisms for trusted execution environments.</w:t>
            </w:r>
          </w:p>
        </w:tc>
        <w:tc>
          <w:tcPr/>
          <w:p>
            <w:pPr>
              <w:pStyle w:val="Compact"/>
              <w:jc w:val="left"/>
            </w:pPr>
            <w:r>
              <w:t xml:space="preserve">Protects the execution; it says nothing about whether the authorisation policy being executed is correct.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4"/>
    <w:bookmarkStart w:id="35" w:name="X825064b2f9c6a59f6907e485e5a8e31c4a70bee"/>
    <w:p>
      <w:pPr>
        <w:pStyle w:val="Heading3"/>
      </w:pPr>
      <w:r>
        <w:t xml:space="preserve"> </w:t>
      </w:r>
      <w:r>
        <w:t xml:space="preserve">2.4.7 Comparative Analysis of Existing Approaches</w:t>
      </w:r>
    </w:p>
    <w:p>
      <w:pPr>
        <w:pStyle w:val="FirstParagrap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pStyle w:val="BodyText"/>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BodyText"/>
      </w:pPr>
      <w:r>
        <w:t xml:space="preserve">Table 2.10 summarises the principal focus and limitations of the major research streams and positions the proposed framework relative to the existing literature.</w:t>
      </w:r>
    </w:p>
    <w:p>
      <w:pPr>
        <w:pStyle w:val="TableCaption"/>
      </w:pPr>
      <w:r>
        <w:t xml:space="preserve">Table 2.10: Comparison of the existing research streams and the proposed framework</w:t>
      </w:r>
    </w:p>
    <w:tbl>
      <w:tblPr>
        <w:tblStyle w:val="Table"/>
        <w:tblW w:type="pct" w:w="4965"/>
        <w:tblLayout w:type="fixed"/>
        <w:tblLook w:firstRow="1" w:lastRow="0" w:firstColumn="0" w:lastColumn="0" w:noHBand="0" w:noVBand="0" w:val="0020"/>
        <w:tblCaption w:val="Table 2.10: Comparison of the existing research streams and the proposed framework"/>
      </w:tblPr>
      <w:tblGrid>
        <w:gridCol w:w="1445"/>
        <w:gridCol w:w="2806"/>
        <w:gridCol w:w="2695"/>
        <w:gridCol w:w="917"/>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Stream</w:t>
            </w:r>
          </w:p>
        </w:tc>
        <w:tc>
          <w:tcPr>
            <w:tcBorders>
              <w:bottom w:val="single" w:sz="8" w:space="0" w:color="000000"/>
            </w:tcBorders>
            <w:shd w:val="clear" w:color="auto" w:fill="E7E6E6"/>
            <w:vAlign w:val="center"/>
          </w:tcPr>
          <w:p>
            <w:pPr>
              <w:pStyle w:val="Compact"/>
              <w:jc w:val="left"/>
            </w:pPr>
            <w:r>
              <w:rPr>
                <w:b/>
                <w:bCs/>
              </w:rPr>
              <w:t xml:space="preserve">Primary Contribution</w:t>
            </w:r>
          </w:p>
        </w:tc>
        <w:tc>
          <w:tcPr>
            <w:tcBorders>
              <w:bottom w:val="single" w:sz="8" w:space="0" w:color="000000"/>
            </w:tcBorders>
            <w:shd w:val="clear" w:color="auto" w:fill="E7E6E6"/>
            <w:vAlign w:val="center"/>
          </w:tcPr>
          <w:p>
            <w:pPr>
              <w:pStyle w:val="Compact"/>
              <w:jc w:val="left"/>
            </w:pPr>
            <w:r>
              <w:rPr>
                <w:b/>
                <w:bCs/>
              </w:rPr>
              <w:t xml:space="preserve">Main Limitation for Authorisation</w:t>
            </w:r>
          </w:p>
        </w:tc>
        <w:tc>
          <w:tcPr>
            <w:tcBorders>
              <w:bottom w:val="single" w:sz="8" w:space="0" w:color="000000"/>
            </w:tcBorders>
            <w:shd w:val="clear" w:color="auto" w:fill="E7E6E6"/>
            <w:vAlign w:val="center"/>
          </w:tcPr>
          <w:p>
            <w:pPr>
              <w:pStyle w:val="Compact"/>
              <w:jc w:val="left"/>
            </w:pPr>
            <w:r>
              <w:rPr>
                <w:b/>
                <w:bCs/>
              </w:rPr>
              <w:t xml:space="preserve">Representative References</w:t>
            </w:r>
          </w:p>
        </w:tc>
      </w:tr>
      <w:tr>
        <w:trPr>
          <w:cantSplit/>
        </w:trPr>
        <w:tc>
          <w:tcPr/>
          <w:p>
            <w:pPr>
              <w:pStyle w:val="Compact"/>
              <w:jc w:val="left"/>
            </w:pPr>
            <w:r>
              <w:t xml:space="preserve">Healthcare consent and privacy governance</w:t>
            </w:r>
          </w:p>
        </w:tc>
        <w:tc>
          <w:tcPr/>
          <w:p>
            <w:pPr>
              <w:pStyle w:val="Compact"/>
              <w:jc w:val="left"/>
            </w:pPr>
            <w:r>
              <w:t xml:space="preserve">Patient autonomy, informed consent, and controlled data sharing</w:t>
            </w:r>
          </w:p>
        </w:tc>
        <w:tc>
          <w:tcPr/>
          <w:p>
            <w:pPr>
              <w:pStyle w:val="Compact"/>
              <w:jc w:val="left"/>
            </w:pPr>
            <w:r>
              <w:t xml:space="preserve">Consent is treated as permission rather than an evaluable authorisation object</w:t>
            </w:r>
          </w:p>
        </w:tc>
        <w:tc>
          <w:tcPr/>
          <w:p>
            <w:pPr>
              <w:pStyle w:val="Compact"/>
              <w:jc w:val="left"/>
            </w:pPr>
            <w:r>
              <w:t xml:space="preserve">[10, 13, 22, 24, 31, 43, 45, 48]</w:t>
            </w:r>
          </w:p>
        </w:tc>
      </w:tr>
      <w:tr>
        <w:trPr>
          <w:cantSplit/>
        </w:trPr>
        <w:tc>
          <w:tcPr/>
          <w:p>
            <w:pPr>
              <w:pStyle w:val="Compact"/>
              <w:jc w:val="left"/>
            </w:pPr>
            <w:r>
              <w:t xml:space="preserve">Blockchain-based data governance</w:t>
            </w:r>
          </w:p>
        </w:tc>
        <w:tc>
          <w:tcPr/>
          <w:p>
            <w:pPr>
              <w:pStyle w:val="Compact"/>
              <w:jc w:val="left"/>
            </w:pPr>
            <w:r>
              <w:t xml:space="preserve">Tamper-resistant records, distributed auditability, and transparency</w:t>
            </w:r>
          </w:p>
        </w:tc>
        <w:tc>
          <w:tcPr/>
          <w:p>
            <w:pPr>
              <w:pStyle w:val="Compact"/>
              <w:jc w:val="left"/>
            </w:pPr>
            <w:r>
              <w:t xml:space="preserve">Immutable records do not establish participant legitimacy, authority, or policy compliance</w:t>
            </w:r>
          </w:p>
        </w:tc>
        <w:tc>
          <w:tcPr/>
          <w:p>
            <w:pPr>
              <w:pStyle w:val="Compact"/>
              <w:jc w:val="left"/>
            </w:pPr>
            <w:r>
              <w:t xml:space="preserve">[1, 2, 3, 7, 26, 29]</w:t>
            </w:r>
          </w:p>
        </w:tc>
      </w:tr>
      <w:tr>
        <w:trPr>
          <w:cantSplit/>
        </w:trPr>
        <w:tc>
          <w:tcPr/>
          <w:p>
            <w:pPr>
              <w:pStyle w:val="Compact"/>
              <w:jc w:val="left"/>
            </w:pPr>
            <w:r>
              <w:t xml:space="preserve">Decentralised identity and verifiable credentials</w:t>
            </w:r>
          </w:p>
        </w:tc>
        <w:tc>
          <w:tcPr/>
          <w:p>
            <w:pPr>
              <w:pStyle w:val="Compact"/>
              <w:jc w:val="left"/>
            </w:pPr>
            <w:r>
              <w:t xml:space="preserve">Self-controlled identity, verifiable attributes, and authentication</w:t>
            </w:r>
          </w:p>
        </w:tc>
        <w:tc>
          <w:tcPr/>
          <w:p>
            <w:pPr>
              <w:pStyle w:val="Compact"/>
              <w:jc w:val="left"/>
            </w:pPr>
            <w:r>
              <w:t xml:space="preserve">Identity and credential validity do not independently determine if access is authorised</w:t>
            </w:r>
          </w:p>
        </w:tc>
        <w:tc>
          <w:tcPr/>
          <w:p>
            <w:pPr>
              <w:pStyle w:val="Compact"/>
              <w:jc w:val="left"/>
            </w:pPr>
            <w:r>
              <w:t xml:space="preserve">[4, 5, 16, 20, 27, 33]</w:t>
            </w:r>
          </w:p>
        </w:tc>
      </w:tr>
      <w:tr>
        <w:trPr>
          <w:cantSplit/>
        </w:trPr>
        <w:tc>
          <w:tcPr/>
          <w:p>
            <w:pPr>
              <w:pStyle w:val="Compact"/>
              <w:jc w:val="left"/>
            </w:pPr>
            <w:r>
              <w:t xml:space="preserve">Multi-party and decentralised governance</w:t>
            </w:r>
          </w:p>
        </w:tc>
        <w:tc>
          <w:tcPr/>
          <w:p>
            <w:pPr>
              <w:pStyle w:val="Compact"/>
              <w:jc w:val="left"/>
            </w:pPr>
            <w:r>
              <w:t xml:space="preserve">Collaborative participation and distributed verification or governance</w:t>
            </w:r>
          </w:p>
        </w:tc>
        <w:tc>
          <w:tcPr/>
          <w:p>
            <w:pPr>
              <w:pStyle w:val="Compact"/>
              <w:jc w:val="left"/>
            </w:pPr>
            <w:r>
              <w:t xml:space="preserve">Limited integration between collective approval thresholds, consent, and access decisions</w:t>
            </w:r>
          </w:p>
        </w:tc>
        <w:tc>
          <w:tcPr/>
          <w:p>
            <w:pPr>
              <w:pStyle w:val="Compact"/>
              <w:jc w:val="left"/>
            </w:pPr>
            <w:r>
              <w:t xml:space="preserve">[4, 6, 9, 19, 31, 44]</w:t>
            </w:r>
          </w:p>
        </w:tc>
      </w:tr>
      <w:tr>
        <w:trPr>
          <w:cantSplit/>
        </w:trPr>
        <w:tc>
          <w:tcPr/>
          <w:p>
            <w:pPr>
              <w:pStyle w:val="Compact"/>
              <w:jc w:val="left"/>
            </w:pPr>
            <w:r>
              <w:t xml:space="preserve">Policy-based and healthcare access control</w:t>
            </w:r>
          </w:p>
        </w:tc>
        <w:tc>
          <w:tcPr/>
          <w:p>
            <w:pPr>
              <w:pStyle w:val="Compact"/>
              <w:jc w:val="left"/>
            </w:pPr>
            <w:r>
              <w:t xml:space="preserve">Fine-grained restriction based on attributes, risk, context, and constraints</w:t>
            </w:r>
          </w:p>
        </w:tc>
        <w:tc>
          <w:tcPr/>
          <w:p>
            <w:pPr>
              <w:pStyle w:val="Compact"/>
              <w:jc w:val="left"/>
            </w:pPr>
            <w:r>
              <w:t xml:space="preserve">Policy enforcement is separated from decentralised identity and multi-party consent</w:t>
            </w:r>
          </w:p>
        </w:tc>
        <w:tc>
          <w:tcPr/>
          <w:p>
            <w:pPr>
              <w:pStyle w:val="Compact"/>
              <w:jc w:val="left"/>
            </w:pPr>
            <w:r>
              <w:t xml:space="preserve">[11, 25, 28, 32, 46, 47, 49]</w:t>
            </w:r>
          </w:p>
        </w:tc>
      </w:tr>
      <w:tr>
        <w:trPr>
          <w:cantSplit/>
        </w:trPr>
        <w:tc>
          <w:tcPr/>
          <w:p>
            <w:pPr>
              <w:pStyle w:val="Compact"/>
              <w:jc w:val="left"/>
            </w:pPr>
            <w:r>
              <w:t xml:space="preserve">Trusted Computing and secure execution</w:t>
            </w:r>
          </w:p>
        </w:tc>
        <w:tc>
          <w:tcPr/>
          <w:p>
            <w:pPr>
              <w:pStyle w:val="Compact"/>
              <w:jc w:val="left"/>
            </w:pPr>
            <w:r>
              <w:t xml:space="preserve">Hardware-supported isolation, execution integrity, and attestation</w:t>
            </w:r>
          </w:p>
        </w:tc>
        <w:tc>
          <w:tcPr/>
          <w:p>
            <w:pPr>
              <w:pStyle w:val="Compact"/>
              <w:jc w:val="left"/>
            </w:pPr>
            <w:r>
              <w:t xml:space="preserve">Secure execution does not determine whether underlying authorisation conditions are sufficient</w:t>
            </w:r>
          </w:p>
        </w:tc>
        <w:tc>
          <w:tcPr/>
          <w:p>
            <w:pPr>
              <w:pStyle w:val="Compact"/>
              <w:jc w:val="left"/>
            </w:pPr>
            <w:r>
              <w:t xml:space="preserve">[23]</w:t>
            </w:r>
          </w:p>
        </w:tc>
      </w:tr>
      <w:tr>
        <w:trPr>
          <w:cantSplit/>
        </w:trPr>
        <w:tc>
          <w:tcPr/>
          <w:p>
            <w:pPr>
              <w:pStyle w:val="Compact"/>
              <w:jc w:val="left"/>
            </w:pPr>
            <w:r>
              <w:rPr>
                <w:b/>
                <w:bCs/>
              </w:rPr>
              <w:t xml:space="preserve">Proposed Framework</w:t>
            </w:r>
          </w:p>
        </w:tc>
        <w:tc>
          <w:tcPr/>
          <w:p>
            <w:pPr>
              <w:pStyle w:val="Compact"/>
              <w:jc w:val="left"/>
            </w:pPr>
            <w:r>
              <w:t xml:space="preserve">Integrated evaluation of consent, identity, authority, multi-party approval, and policy compliance</w:t>
            </w:r>
          </w:p>
        </w:tc>
        <w:tc>
          <w:tcPr/>
          <w:p>
            <w:pPr>
              <w:pStyle w:val="Compact"/>
              <w:jc w:val="left"/>
            </w:pPr>
            <w:r>
              <w:t xml:space="preserve">Requires further extension towards lifecycle trust, formal assurance, and empirical validation</w:t>
            </w:r>
          </w:p>
        </w:tc>
        <w:tc>
          <w:tcPr/>
          <w:p>
            <w:pPr>
              <w:pStyle w:val="Compact"/>
              <w:jc w:val="left"/>
            </w:pPr>
            <w:r>
              <w:t xml:space="preserve">This research</w:t>
            </w:r>
          </w:p>
        </w:tc>
      </w:tr>
    </w:tbl>
    <w:p>
      <w:pPr>
        <w:pStyle w:val="BodyText"/>
      </w:pPr>
      <w: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bookmarkEnd w:id="35"/>
    <w:bookmarkEnd w:id="36"/>
    <w:bookmarkStart w:id="37" w:name="X8f0d5a13a2d56d21e1bec7d2ebd521767d7b0f3"/>
    <w:p>
      <w:pPr>
        <w:pStyle w:val="Heading2"/>
      </w:pPr>
      <w:r>
        <w:t xml:space="preserve"> </w:t>
      </w:r>
      <w:r>
        <w:t xml:space="preserve">2.5</w:t>
      </w:r>
      <w:r>
        <w:t xml:space="preserve"> </w:t>
      </w:r>
      <w:r>
        <w:t xml:space="preserve"> </w:t>
      </w:r>
      <w:r>
        <w:t xml:space="preserve">Research Gaps in the Existing Studies from the Requirement Perspective</w:t>
      </w:r>
    </w:p>
    <w:p>
      <w:pPr>
        <w:pStyle w:val="FirstParagrap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pStyle w:val="BodyText"/>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BodyText"/>
      </w:pPr>
      <w:r>
        <w:t xml:space="preserve">From the perspective of the five key requirements defined in Section 2.2, the shortlisted studies (Tables 2.4–2.9) show the following gaps:</w:t>
      </w:r>
    </w:p>
    <w:p>
      <w:pPr>
        <w:numPr>
          <w:ilvl w:val="0"/>
          <w:numId w:val="1004"/>
        </w:numPr>
      </w:pPr>
      <w:r>
        <w:rPr>
          <w:b/>
          <w:bCs/>
        </w:rPr>
        <w:t xml:space="preserve">Consent as an evaluable authorisation object (Req 1).</w:t>
      </w:r>
      <w:r>
        <w:t xml:space="preserve"> </w:t>
      </w:r>
      <w:r>
        <w:t xml:space="preserve">Only S2, S3, S4, S5, S7, S8, S9, S14 treat consent as more than a stored permission, and even these stop at recording, encrypting, executing or legally defining consent. None of the studies represents consent as an object that carries the identity, authority, approval, purpose and scope conditions required to evaluate a later request.</w:t>
      </w:r>
    </w:p>
    <w:p>
      <w:pPr>
        <w:numPr>
          <w:ilvl w:val="0"/>
          <w:numId w:val="1004"/>
        </w:numPr>
      </w:pPr>
      <w:r>
        <w:rPr>
          <w:b/>
          <w:bCs/>
        </w:rPr>
        <w:t xml:space="preserve">Verifiable identity separated from authority (Req 2).</w:t>
      </w:r>
      <w:r>
        <w:t xml:space="preserve"> </w:t>
      </w:r>
      <w:r>
        <w:t xml:space="preserve">The decentralised identity studies (S16, S17, S18, S19, S20, S21, S22), the multi-party and access-control studies S23, S25, S27 and the guardian-access policy statement S8 establish who a participant is, but in every case the credential is treated as the end of the decision. No study models the authority required by a particular consent as a condition that is verified separately from identity.</w:t>
      </w:r>
    </w:p>
    <w:p>
      <w:pPr>
        <w:numPr>
          <w:ilvl w:val="0"/>
          <w:numId w:val="1004"/>
        </w:numPr>
      </w:pPr>
      <w:r>
        <w:rPr>
          <w:b/>
          <w:bCs/>
        </w:rPr>
        <w:t xml:space="preserve">Multi-party threshold authorisation (Req 3).</w:t>
      </w:r>
      <w:r>
        <w:t xml:space="preserve"> </w:t>
      </w:r>
      <w:r>
        <w:t xml:space="preserve">Multi-party mechanisms appear in S15, S16, S24, S25: multi-party verification of identity claims, collective governance of data trusts, collective decision-making and threshold-based pre-authorisation of record access. In none of them is a threshold of independently verified approvals attached to the patient’s consent and evaluated when access is requested.</w:t>
      </w:r>
    </w:p>
    <w:p>
      <w:pPr>
        <w:numPr>
          <w:ilvl w:val="0"/>
          <w:numId w:val="1004"/>
        </w:numPr>
      </w:pPr>
      <w:r>
        <w:rPr>
          <w:b/>
          <w:bCs/>
        </w:rPr>
        <w:t xml:space="preserve">Purpose- and scope-bound access (Req 4).</w:t>
      </w:r>
      <w:r>
        <w:t xml:space="preserve"> </w:t>
      </w:r>
      <w:r>
        <w:t xml:space="preserve">Policy-based enforcement is well covered (S8, S10, S11, S12, S13, S18, S19, S23, S24, S26, S27, S28, S29, S30, S31, S32), yet the policy is evaluated against roles, attributes, purpose trees or risk rather than against the purpose and data scope stated in the patient’s consent, so a verified and approved requester can still obtain data outside the authorised scope.</w:t>
      </w:r>
    </w:p>
    <w:p>
      <w:pPr>
        <w:numPr>
          <w:ilvl w:val="0"/>
          <w:numId w:val="1004"/>
        </w:numPr>
      </w:pPr>
      <w:r>
        <w:rPr>
          <w:b/>
          <w:bCs/>
        </w:rPr>
        <w:t xml:space="preserve">Lifecycle validity and auditable evidence (Req 5).</w:t>
      </w:r>
      <w:r>
        <w:t xml:space="preserve"> </w:t>
      </w:r>
      <w:r>
        <w:t xml:space="preserve">Audit trails and revocation are provided by S2, S3, S7, S8, S9, S10, S11, S12, S13, S14, S15, S22, S23, S26, S28, S30, S31, S32, but expiry, revocation and state transitions of the consent itself are not evaluated at the time of the request, and the recorded evidence describes transactions rather than the trust conditions under which each decision was made.</w:t>
      </w:r>
    </w:p>
    <w:p>
      <w:pPr>
        <w:pStyle w:val="FirstParagraph"/>
      </w:pPr>
      <w:r>
        <w:t xml:space="preserve">These gaps are addressed in the following order by the research objectives of Chapter 3: RO1 (Req 1), RO2 (Req 2), RO3 (Req 3), RO4 (Req 4) and RO5 (Req 5), with RO6 providing the formal and empirical validation of the resulting decisions.</w:t>
      </w:r>
    </w:p>
    <w:p>
      <w:pPr>
        <w:pStyle w:val="BodyText"/>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BodyText"/>
      </w:pPr>
      <w: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pStyle w:val="BodyText"/>
      </w:pPr>
      <w:r>
        <w:t xml:space="preserve">The foundational authorisation decision investigated in the current stage of the research can therefore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identity and relevant authority evidence associated with participant</w:t>
      </w:r>
      <w:r>
        <w:t xml:space="preserve"> </w:t>
      </w:r>
      <w:r>
        <w:rPr>
          <w:i/>
          <w:iCs/>
        </w:rPr>
        <w:t xml:space="preserve">u</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the satisfaction of the required multi-party authorisation condition for consent</w:t>
      </w:r>
      <w:r>
        <w:t xml:space="preserve"> </w:t>
      </w:r>
      <w:r>
        <w:rPr>
          <w:i/>
          <w:iCs/>
        </w:rPr>
        <w:t xml:space="preserve">C</w:t>
      </w:r>
      <w:r>
        <w:t xml:space="preserve">,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consent and the requested operation</w:t>
      </w:r>
      <w:r>
        <w:t xml:space="preserve"> </w:t>
      </w:r>
      <w:r>
        <w:rPr>
          <w:i/>
          <w:iCs/>
        </w:rPr>
        <w:t xml:space="preserve">R</w:t>
      </w:r>
      <w:r>
        <w:t xml:space="preserve">.</w:t>
      </w:r>
    </w:p>
    <w:p>
      <w:pPr>
        <w:pStyle w:val="BodyText"/>
      </w:pPr>
      <w: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pStyle w:val="BodyText"/>
      </w:pPr>
      <w: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pStyle w:val="BodyText"/>
      </w:pPr>
      <w: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bookmarkEnd w:id="37"/>
    <w:bookmarkStart w:id="38" w:name="conclusion"/>
    <w:p>
      <w:pPr>
        <w:pStyle w:val="Heading2"/>
      </w:pPr>
      <w:r>
        <w:t xml:space="preserve">2.6 Conclusion</w:t>
      </w:r>
    </w:p>
    <w:p>
      <w:pPr>
        <w:pStyle w:val="FirstParagraph"/>
      </w:pPr>
      <w:r>
        <w:t xml:space="preserve">This systematic literature review identified five key requirements that a trust-oriented healthcare consent authorisation framework should satisfy: an evaluable consent object, verifiable identity separated from authority, multi-party threshold authorisation, purpose- and scope-bound access, and lifecycle validity with auditable evidence. Following a four-step shortlisting process, 33 studies published between 2022 and 2026 were categorised into six areas and evaluated against these requirements. The review shows that each requirement is addressed in isolation by at least one stream of research, but that no existing approach combines them into a single, independently verifiable authorisation decision. In particular, consent continues to be treated as a record rather than as an object to be evaluated, multi-party approval is not modelled as a condition of that object, and policy enforcement is not bound to the purpose and scope the patient authorised.</w:t>
      </w:r>
    </w:p>
    <w:p>
      <w:pPr>
        <w:pStyle w:val="BodyText"/>
      </w:pPr>
      <w:r>
        <w:t xml:space="preserve">These findings motivate the research questions and objectives presented in the next chapter and the trust-oriented consent authorisation framework proposed in Chapters 5 and 6, in which decentralised identifiers, verifiable credentials, threshold-based approval and policy evaluation contribute to one explainable decision. The next chapter also defines the key terms used in this study.</w:t>
      </w:r>
    </w:p>
    <w:bookmarkEnd w:id="38"/>
    <w:bookmarkEnd w:id="39"/>
    <w:bookmarkStart w:id="40" w:name="references"/>
    <w:p>
      <w:pPr>
        <w:pStyle w:val="Heading1"/>
      </w:pPr>
      <w:r>
        <w:t xml:space="preserve">References</w:t>
      </w:r>
    </w:p>
    <w:p>
      <w:pPr>
        <w:pStyle w:val="FirstParagraph"/>
      </w:pPr>
      <w:r>
        <w:t xml:space="preserve">[1] Abdullah Al Mamun, Sami Azam, and Clementine Gritti. Blockchain-based electronic health records management: a comprehensive review and future research direction.</w:t>
      </w:r>
      <w:r>
        <w:t xml:space="preserve"> </w:t>
      </w:r>
      <w:r>
        <w:rPr>
          <w:i/>
          <w:iCs/>
        </w:rPr>
        <w:t xml:space="preserve">IEEE Access</w:t>
      </w:r>
      <w:r>
        <w:t xml:space="preserve">, 10:5768–5789, 2022.</w:t>
      </w:r>
    </w:p>
    <w:p>
      <w:pPr>
        <w:pStyle w:val="BodyText"/>
      </w:pPr>
      <w:r>
        <w:t xml:space="preserve">[2] J Andrew, Deva Priya Isravel, K Martin Sagayam, Bharat Bhushan, Yuichi Sei, and Jennifer Eunice. Blockchain for healthcare systems: Architecture, security challenges, trends and future directions.</w:t>
      </w:r>
      <w:r>
        <w:t xml:space="preserve"> </w:t>
      </w:r>
      <w:r>
        <w:rPr>
          <w:i/>
          <w:iCs/>
        </w:rPr>
        <w:t xml:space="preserve">Journal of Network and Computer Applications</w:t>
      </w:r>
      <w:r>
        <w:t xml:space="preserve">, 215:103633, 2023.</w:t>
      </w:r>
    </w:p>
    <w:p>
      <w:pPr>
        <w:pStyle w:val="BodyText"/>
      </w:pPr>
      <w:r>
        <w:t xml:space="preserve">[3] Mohammad Salar Arbabi, Chhagan Lal, Narasimha Raghavan Veeraragavan, Dusica Marijan, Jan F Nygård, and Roman Vitenberg. A survey on blockchain for healthcare: Challenges, benefits, and future directions.</w:t>
      </w:r>
      <w:r>
        <w:t xml:space="preserve"> </w:t>
      </w:r>
      <w:r>
        <w:rPr>
          <w:i/>
          <w:iCs/>
        </w:rPr>
        <w:t xml:space="preserve">IEEE Communications Surveys &amp; Tutorials</w:t>
      </w:r>
      <w:r>
        <w:t xml:space="preserve">, 25(1):386–424, 2023.</w:t>
      </w:r>
    </w:p>
    <w:p>
      <w:pPr>
        <w:pStyle w:val="BodyText"/>
      </w:pPr>
      <w:r>
        <w:t xml:space="preserve">[4] Haotian Deng, Jinwen Liang, Chuan Zhang, Ximeng Liu, Liehuang Zhu, and Song Guo. FutureDID: A fully decentralized identity system with multi-party verification.</w:t>
      </w:r>
      <w:r>
        <w:t xml:space="preserve"> </w:t>
      </w:r>
      <w:r>
        <w:rPr>
          <w:i/>
          <w:iCs/>
        </w:rPr>
        <w:t xml:space="preserve">IEEE Transactions on Computers</w:t>
      </w:r>
      <w:r>
        <w:t xml:space="preserve">, 73(8):2051–2065, 2024.</w:t>
      </w:r>
    </w:p>
    <w:p>
      <w:pPr>
        <w:pStyle w:val="BodyText"/>
      </w:pPr>
      <w:r>
        <w:t xml:space="preserve">[5] Andrea Flamini, Giada Sciarretta, Mario Scuro, Amir Sharif, Alessandro Tomasi, and Silvio Ranise. On cryptographic mechanisms for the selective disclosure of verifiable credentials.</w:t>
      </w:r>
      <w:r>
        <w:t xml:space="preserve"> </w:t>
      </w:r>
      <w:r>
        <w:rPr>
          <w:i/>
          <w:iCs/>
        </w:rPr>
        <w:t xml:space="preserve">Journal of Information Security and Applications</w:t>
      </w:r>
      <w:r>
        <w:t xml:space="preserve">, 83:103789, 2024. A corrigendum was published in 2026 (vol. 98, 104383).</w:t>
      </w:r>
    </w:p>
    <w:p>
      <w:pPr>
        <w:pStyle w:val="BodyText"/>
      </w:pPr>
      <w:r>
        <w:t xml:space="preserve">[6] Abdul Ghafoor Abbasi, Iraklis Symeonidis, Anna Rydberg, Cecilia Lindahl, and Abdul Qadus Abbasi. Towards empowering stakeholders through decentralized trust and secure live-stock data sharing.</w:t>
      </w:r>
      <w:r>
        <w:t xml:space="preserve"> </w:t>
      </w:r>
      <w:r>
        <w:rPr>
          <w:i/>
          <w:iCs/>
        </w:rPr>
        <w:t xml:space="preserve">Cryptography</w:t>
      </w:r>
      <w:r>
        <w:t xml:space="preserve">, 9(3):52, 2025.</w:t>
      </w:r>
    </w:p>
    <w:p>
      <w:pPr>
        <w:pStyle w:val="BodyText"/>
      </w:pPr>
      <w:r>
        <w:t xml:space="preserve">[7] Pranto Kumar Ghosh, Arindom Chakraborty, Mehedi Hasan, Khalid Rashid, and Abdul Hasib Siddique. Blockchain application in healthcare systems: a review.</w:t>
      </w:r>
      <w:r>
        <w:t xml:space="preserve"> </w:t>
      </w:r>
      <w:r>
        <w:rPr>
          <w:i/>
          <w:iCs/>
        </w:rPr>
        <w:t xml:space="preserve">Systems</w:t>
      </w:r>
      <w:r>
        <w:t xml:space="preserve">, 11(1):38, 2023.</w:t>
      </w:r>
    </w:p>
    <w:p>
      <w:pPr>
        <w:pStyle w:val="BodyText"/>
      </w:pPr>
      <w: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w:t>
      </w:r>
      <w:r>
        <w:t xml:space="preserve"> </w:t>
      </w:r>
      <w:r>
        <w:rPr>
          <w:i/>
          <w:iCs/>
        </w:rPr>
        <w:t xml:space="preserve">BMC Nursing</w:t>
      </w:r>
      <w:r>
        <w:t xml:space="preserve">, 23(1):564, 2024.</w:t>
      </w:r>
    </w:p>
    <w:p>
      <w:pPr>
        <w:pStyle w:val="BodyText"/>
      </w:pPr>
      <w:r>
        <w:t xml:space="preserve">[10] Vitor Jesus and Harshvardhan J Pandit. Consent receipts for a usable and auditable web of personal data.</w:t>
      </w:r>
      <w:r>
        <w:t xml:space="preserve"> </w:t>
      </w:r>
      <w:r>
        <w:rPr>
          <w:i/>
          <w:iCs/>
        </w:rPr>
        <w:t xml:space="preserve">IEEE Access</w:t>
      </w:r>
      <w:r>
        <w:t xml:space="preserve">, 10:28545–28563, 2022.</w:t>
      </w:r>
    </w:p>
    <w:p>
      <w:pPr>
        <w:pStyle w:val="BodyText"/>
      </w:pPr>
      <w:r>
        <w:t xml:space="preserve">[11] Rong Jiang, Xue Chen, Yimin Yu, Ying Zhang, and Weiping Ding. Risk and UCON-based access control model for healthcare big data.</w:t>
      </w:r>
      <w:r>
        <w:t xml:space="preserve"> </w:t>
      </w:r>
      <w:r>
        <w:rPr>
          <w:i/>
          <w:iCs/>
        </w:rPr>
        <w:t xml:space="preserve">Journal of Big Data</w:t>
      </w:r>
      <w:r>
        <w:t xml:space="preserve">, 10(1):104, 2023.</w:t>
      </w:r>
    </w:p>
    <w:p>
      <w:pPr>
        <w:pStyle w:val="BodyText"/>
      </w:pPr>
      <w:r>
        <w:t xml:space="preserve">[12] Katya Kaplow, Max Downey, Darren Stewart, Allan B Massie, Jennifer D Motter, Lauren Taylor, John Massarelli, Taylor Matalon, Carolyn Sidoti, Macey L Levan, et al. Data professionals’ attitudes on data privacy, sharing, and consent in healthcare and research.</w:t>
      </w:r>
      <w:r>
        <w:t xml:space="preserve"> </w:t>
      </w:r>
      <w:r>
        <w:rPr>
          <w:i/>
          <w:iCs/>
        </w:rPr>
        <w:t xml:space="preserve">Digital Health</w:t>
      </w:r>
      <w:r>
        <w:t xml:space="preserve">, 10:20552076241290964, 2024.</w:t>
      </w:r>
    </w:p>
    <w:p>
      <w:pPr>
        <w:pStyle w:val="BodyText"/>
      </w:pPr>
      <w:r>
        <w:t xml:space="preserve">[13] Muhammad Irfan Khalid, Mansoor Ahmed, Markus Helfert, and Jungsuk Kim. Privacy-first paradigm for dynamic consent management systems: empowering data subjects through decentralized data controllers and privacy-preserving techniques.</w:t>
      </w:r>
      <w:r>
        <w:t xml:space="preserve"> </w:t>
      </w:r>
      <w:r>
        <w:rPr>
          <w:i/>
          <w:iCs/>
        </w:rPr>
        <w:t xml:space="preserve">Electronics</w:t>
      </w:r>
      <w:r>
        <w:t xml:space="preserve">, 12(24):4973, 2023.</w:t>
      </w:r>
    </w:p>
    <w:p>
      <w:pPr>
        <w:pStyle w:val="BodyText"/>
      </w:pPr>
      <w:r>
        <w:t xml:space="preserve">[14] Alexander Kharlamov, Roland Hohmann, and Glann Parry. Data sharing decisions: perceptions and intentions in healthcare.</w:t>
      </w:r>
      <w:r>
        <w:t xml:space="preserve"> </w:t>
      </w:r>
      <w:r>
        <w:rPr>
          <w:i/>
          <w:iCs/>
        </w:rPr>
        <w:t xml:space="preserve">Strategic Change</w:t>
      </w:r>
      <w:r>
        <w:t xml:space="preserve">, 32(6):223–237, 2023.</w:t>
      </w:r>
    </w:p>
    <w:p>
      <w:pPr>
        <w:pStyle w:val="BodyText"/>
      </w:pPr>
      <w:r>
        <w:t xml:space="preserve">[15] Behnam Khayer, Siamak Mirzaei, Hooman Alavizadeh, and Ahmad Salehi Shahraki. Blockchain for secure IoT: A review of identity management, access control, and trust mechanisms.</w:t>
      </w:r>
      <w:r>
        <w:t xml:space="preserve"> </w:t>
      </w:r>
      <w:r>
        <w:rPr>
          <w:i/>
          <w:iCs/>
        </w:rPr>
        <w:t xml:space="preserve">IoT</w:t>
      </w:r>
      <w:r>
        <w:t xml:space="preserve">, 6(4):65, 2025.</w:t>
      </w:r>
    </w:p>
    <w:p>
      <w:pPr>
        <w:pStyle w:val="BodyText"/>
      </w:pPr>
      <w:r>
        <w:t xml:space="preserve">[16] Chalima Dimitra Nassar Kyriakidou, Athanasia Maria Papathanasiou, and George C Polyzos. Decentralized identity with applications to security and privacy for the internet of things.</w:t>
      </w:r>
      <w:r>
        <w:t xml:space="preserve"> </w:t>
      </w:r>
      <w:r>
        <w:rPr>
          <w:i/>
          <w:iCs/>
        </w:rPr>
        <w:t xml:space="preserve">Computer Networks and Communications</w:t>
      </w:r>
      <w:r>
        <w:t xml:space="preserve">, pages 244–271, 2023.</w:t>
      </w:r>
    </w:p>
    <w:p>
      <w:pPr>
        <w:pStyle w:val="BodyText"/>
      </w:pPr>
      <w:r>
        <w:t xml:space="preserve">[19] Richard K Lomotey, Sandra Kumi, and Ralph Deters. Data trusts as a service: Providing a platform for multi-party data sharing.</w:t>
      </w:r>
      <w:r>
        <w:t xml:space="preserve"> </w:t>
      </w:r>
      <w:r>
        <w:rPr>
          <w:i/>
          <w:iCs/>
        </w:rPr>
        <w:t xml:space="preserve">International Journal of Information Management Data Insights</w:t>
      </w:r>
      <w:r>
        <w:t xml:space="preserve">, 2(1):100075, 2022.</w:t>
      </w:r>
    </w:p>
    <w:p>
      <w:pPr>
        <w:pStyle w:val="BodyText"/>
      </w:pPr>
      <w:r>
        <w:t xml:space="preserve">[20] Carlo Mazzocca, Abbas Acar, Selcuk Uluagac, Rebecca Montanari, Paolo Bellavista, and Mauro Conti. A survey on decentralized identifiers and verifiable credentials.</w:t>
      </w:r>
      <w:r>
        <w:t xml:space="preserve"> </w:t>
      </w:r>
      <w:r>
        <w:rPr>
          <w:i/>
          <w:iCs/>
        </w:rPr>
        <w:t xml:space="preserve">IEEE Communications Surveys &amp; Tutorials</w:t>
      </w:r>
      <w:r>
        <w:t xml:space="preserve">, 27(6):3641–3671,2025.</w:t>
      </w:r>
    </w:p>
    <w:p>
      <w:pPr>
        <w:pStyle w:val="BodyText"/>
      </w:pPr>
      <w:r>
        <w:t xml:space="preserve">[22] Roy McClelland and Colin M Harper. Information privacy in healthcare—the vital role of informed consent.</w:t>
      </w:r>
      <w:r>
        <w:t xml:space="preserve"> </w:t>
      </w:r>
      <w:r>
        <w:rPr>
          <w:i/>
          <w:iCs/>
        </w:rPr>
        <w:t xml:space="preserve">European Journal of Health Law</w:t>
      </w:r>
      <w:r>
        <w:t xml:space="preserve">, 30(4):469–480, 2022.</w:t>
      </w:r>
    </w:p>
    <w:p>
      <w:pPr>
        <w:pStyle w:val="BodyText"/>
      </w:pPr>
      <w:r>
        <w:t xml:space="preserve">[23] Jämes Ménétrey, Christian Göttel, Anum Khurshid, Marcelo Pasin, Pascal Felber, Valerio Schiavoni, and Shahid Raza. Attestation mechanisms for trusted execution environments demystified. In</w:t>
      </w:r>
      <w:r>
        <w:t xml:space="preserve"> </w:t>
      </w:r>
      <w:r>
        <w:rPr>
          <w:i/>
          <w:iCs/>
        </w:rPr>
        <w:t xml:space="preserve">IFIP International Conference on Distributed Applications and Interoperable Systems</w:t>
      </w:r>
      <w:r>
        <w:t xml:space="preserve">, pages 95–113. Springer, 2022.</w:t>
      </w:r>
    </w:p>
    <w:p>
      <w:pPr>
        <w:pStyle w:val="BodyText"/>
      </w:pPr>
      <w:r>
        <w:t xml:space="preserve">[24] Minal R Narkhede, Nilesh I Wankhede, and Akanksha M Kamble. Enhancing patient autonomy in data ownership: privacy models and consent frameworks for healthcare.</w:t>
      </w:r>
      <w:r>
        <w:t xml:space="preserve"> </w:t>
      </w:r>
      <w:r>
        <w:rPr>
          <w:i/>
          <w:iCs/>
        </w:rPr>
        <w:t xml:space="preserve">Journal of Digital Health</w:t>
      </w:r>
      <w:r>
        <w:t xml:space="preserve">, pages 1–23, 2025.</w:t>
      </w:r>
    </w:p>
    <w:p>
      <w:pPr>
        <w:pStyle w:val="BodyText"/>
      </w:pPr>
      <w:r>
        <w:t xml:space="preserve">[25] Aleena Nazir, Mubashir Husain Rehmani, Bernard Butler, and Donna O’Shea. Access control in healthcare IoT: A comprehensive survey.</w:t>
      </w:r>
      <w:r>
        <w:t xml:space="preserve"> </w:t>
      </w:r>
      <w:r>
        <w:rPr>
          <w:i/>
          <w:iCs/>
        </w:rPr>
        <w:t xml:space="preserve">Engineering Reports</w:t>
      </w:r>
      <w:r>
        <w:t xml:space="preserve">, 8(4):e70766, 2026.</w:t>
      </w:r>
    </w:p>
    <w:p>
      <w:pPr>
        <w:pStyle w:val="BodyText"/>
      </w:pPr>
      <w:r>
        <w:t xml:space="preserve">[26] Thanh Linh Nguyen, Lam Nguyen, Thong Hoang, Dilum Bandara, Qin Wang, Qinghua Lu, Xiwei Xu, Liming Zhu, and Shiping Chen. Blockchain-empowered trustworthy data sharing: Fundamentals, applications, and challenges.</w:t>
      </w:r>
      <w:r>
        <w:t xml:space="preserve"> </w:t>
      </w:r>
      <w:r>
        <w:rPr>
          <w:i/>
          <w:iCs/>
        </w:rPr>
        <w:t xml:space="preserve">ACM Computing Surveys</w:t>
      </w:r>
      <w:r>
        <w:t xml:space="preserve">, 57(8):1–36, 2025.</w:t>
      </w:r>
    </w:p>
    <w:p>
      <w:pPr>
        <w:pStyle w:val="BodyText"/>
      </w:pPr>
      <w:r>
        <w:t xml:space="preserve">[27] Rohini Poolat Parameswarath, Prosanta Gope, and Biplab Sikdar. User-empowered privacy-preserving authentication protocol for electric vehicle charging based on decentralized identity and verifiable credential.</w:t>
      </w:r>
      <w:r>
        <w:t xml:space="preserve"> </w:t>
      </w:r>
      <w:r>
        <w:rPr>
          <w:i/>
          <w:iCs/>
        </w:rPr>
        <w:t xml:space="preserve">ACM Transactions on Management Information Systems (TMIS)</w:t>
      </w:r>
      <w:r>
        <w:t xml:space="preserve">, 13(4):1–21, 2022.</w:t>
      </w:r>
    </w:p>
    <w:p>
      <w:pPr>
        <w:pStyle w:val="BodyText"/>
      </w:pPr>
      <w:r>
        <w:t xml:space="preserve">[28] Ahmed M Tawfik, Ayman Al-Ahwal, Adly S Tag Eldien, and Hala H Zayed. Blockchain-based access control and privacy preservation in healthcare: a comprehensive survey.</w:t>
      </w:r>
      <w:r>
        <w:t xml:space="preserve"> </w:t>
      </w:r>
      <w:r>
        <w:rPr>
          <w:i/>
          <w:iCs/>
        </w:rPr>
        <w:t xml:space="preserve">Cluster Computing</w:t>
      </w:r>
      <w:r>
        <w:t xml:space="preserve">, 28(8):529, 2025.</w:t>
      </w:r>
    </w:p>
    <w:p>
      <w:pPr>
        <w:pStyle w:val="BodyText"/>
      </w:pPr>
      <w:r>
        <w:t xml:space="preserve">[29] Leonidas Theodorakopoulos, Alexandra Theodoropoulou, and Constantinos Halkiopou-los. Enhancing decentralized decision-making with big data and blockchain technology: A comprehensive review.</w:t>
      </w:r>
      <w:r>
        <w:t xml:space="preserve"> </w:t>
      </w:r>
      <w:r>
        <w:rPr>
          <w:i/>
          <w:iCs/>
        </w:rPr>
        <w:t xml:space="preserve">Applied Sciences</w:t>
      </w:r>
      <w:r>
        <w:t xml:space="preserve">, 14(16):7007, 2024.</w:t>
      </w:r>
    </w:p>
    <w:p>
      <w:pPr>
        <w:pStyle w:val="BodyText"/>
      </w:pPr>
      <w:r>
        <w:t xml:space="preserve">[31] Emily C Webber, David Brick, James P Scibilia, Peter Dehnel, Council on Clinical Information Technology, et al. Electronic communication of the health record and information with pediatric patients and their guardians.</w:t>
      </w:r>
      <w:r>
        <w:t xml:space="preserve"> </w:t>
      </w:r>
      <w:r>
        <w:rPr>
          <w:i/>
          <w:iCs/>
        </w:rPr>
        <w:t xml:space="preserve">Pediatrics</w:t>
      </w:r>
      <w:r>
        <w:t xml:space="preserve">, 144(1):e20191359, 2019. doi:10.1542/peds.2019-1359.</w:t>
      </w:r>
    </w:p>
    <w:p>
      <w:pPr>
        <w:pStyle w:val="BodyText"/>
      </w:pPr>
      <w:r>
        <w:t xml:space="preserve">[32] Hongjian Yin, Yiming Zhao, Lei Zhang, Baojun Qiao, Wenbo Chen, and Huaqing Wang. Attribute-based searchable encryption with decentralized key management for healthcare data sharing.</w:t>
      </w:r>
      <w:r>
        <w:t xml:space="preserve"> </w:t>
      </w:r>
      <w:r>
        <w:rPr>
          <w:i/>
          <w:iCs/>
        </w:rPr>
        <w:t xml:space="preserve">Journal of Systems Architecture</w:t>
      </w:r>
      <w:r>
        <w:t xml:space="preserve">, 148:103081, 2024.</w:t>
      </w:r>
    </w:p>
    <w:p>
      <w:pPr>
        <w:pStyle w:val="BodyText"/>
      </w:pPr>
      <w:r>
        <w:t xml:space="preserve">[33] Jie Yin, Yang Xiao, Qian Chen, Xuefeng Liu, Qingqi Pei, Jianying Zhou, et al. DP-DID: A dynamic and proactive decentralized identity system.</w:t>
      </w:r>
      <w:r>
        <w:t xml:space="preserve"> </w:t>
      </w:r>
      <w:r>
        <w:rPr>
          <w:i/>
          <w:iCs/>
        </w:rPr>
        <w:t xml:space="preserve">IEEE Transactions on Information Forensics and Security</w:t>
      </w:r>
      <w:r>
        <w:t xml:space="preserve">, pages 4999–5014, 2025.</w:t>
      </w:r>
    </w:p>
    <w:p>
      <w:pPr>
        <w:pStyle w:val="BodyText"/>
      </w:pPr>
      <w:r>
        <w:t xml:space="preserve">[34]</w:t>
      </w:r>
      <w:r>
        <w:t xml:space="preserve"> </w:t>
      </w:r>
      <w:r>
        <w:rPr>
          <w:i/>
          <w:iCs/>
        </w:rPr>
        <w:t xml:space="preserve">Privacy Act 1988</w:t>
      </w:r>
      <w:r>
        <w:t xml:space="preserve"> </w:t>
      </w:r>
      <w:r>
        <w:t xml:space="preserve">(Cth), including Schedule 1 – Australian Privacy Principles. Federal Register of Legislation, Australian Government.</w:t>
      </w:r>
    </w:p>
    <w:p>
      <w:pPr>
        <w:pStyle w:val="BodyText"/>
      </w:pPr>
      <w:r>
        <w:t xml:space="preserve">[35]</w:t>
      </w:r>
      <w:r>
        <w:t xml:space="preserve"> </w:t>
      </w:r>
      <w:r>
        <w:rPr>
          <w:i/>
          <w:iCs/>
        </w:rPr>
        <w:t xml:space="preserve">My Health Records Act 2012</w:t>
      </w:r>
      <w:r>
        <w:t xml:space="preserve"> </w:t>
      </w:r>
      <w:r>
        <w:t xml:space="preserve">(Cth). Federal Register of Legislation, Australian Government.</w:t>
      </w:r>
    </w:p>
    <w:p>
      <w:pPr>
        <w:pStyle w:val="BodyText"/>
      </w:pPr>
      <w:r>
        <w:t xml:space="preserve">[36]</w:t>
      </w:r>
      <w:r>
        <w:t xml:space="preserve"> </w:t>
      </w:r>
      <w:r>
        <w:rPr>
          <w:i/>
          <w:iCs/>
        </w:rPr>
        <w:t xml:space="preserve">Healthcare Identifiers Act 2010</w:t>
      </w:r>
      <w:r>
        <w:t xml:space="preserve"> </w:t>
      </w:r>
      <w:r>
        <w:t xml:space="preserve">(Cth). Federal Register of Legislation, Australian Government.</w:t>
      </w:r>
    </w:p>
    <w:p>
      <w:pPr>
        <w:pStyle w:val="BodyText"/>
      </w:pPr>
      <w:r>
        <w:t xml:space="preserve">[37] Matthew J. Page, Joanne E. McKenzie, Patrick M. Bossuyt, et al. The PRISMA 2020 statement: an updated guideline for reporting systematic reviews.</w:t>
      </w:r>
      <w:r>
        <w:t xml:space="preserve"> </w:t>
      </w:r>
      <w:r>
        <w:rPr>
          <w:i/>
          <w:iCs/>
        </w:rPr>
        <w:t xml:space="preserve">BMJ</w:t>
      </w:r>
      <w:r>
        <w:t xml:space="preserve">, 372:n71, 2021. doi:10.1136/bmj.n71.</w:t>
      </w:r>
    </w:p>
    <w:p>
      <w:pPr>
        <w:pStyle w:val="BodyText"/>
      </w:pPr>
      <w:r>
        <w:t xml:space="preserve">[38] Jason Walonoski, Mark Kramer, Joseph Nichols, et al. Synthea: An approach, method, and software mechanism for generating synthetic patients and the synthetic electronic health care record.</w:t>
      </w:r>
      <w:r>
        <w:t xml:space="preserve"> </w:t>
      </w:r>
      <w:r>
        <w:rPr>
          <w:i/>
          <w:iCs/>
        </w:rPr>
        <w:t xml:space="preserve">Journal of the American Medical Informatics Association</w:t>
      </w:r>
      <w:r>
        <w:t xml:space="preserve">, 25(3):230–238, 2018. doi:10.1093/jamia/ocx079.</w:t>
      </w:r>
    </w:p>
    <w:p>
      <w:pPr>
        <w:pStyle w:val="BodyText"/>
      </w:pPr>
      <w:r>
        <w:t xml:space="preserve">[39] Remco Bloemen, Leonid Logvinov, and Jacob Evans. EIP-712: Typed structured data hashing and signing. Ethereum Improvement Proposals, 2017. https://eips.ethereum.org/EIPS/eip-712.</w:t>
      </w:r>
    </w:p>
    <w:p>
      <w:pPr>
        <w:pStyle w:val="BodyText"/>
      </w:pPr>
      <w:r>
        <w:t xml:space="preserve">[40] ERC-5484: Consensual Soulbound Tokens. Ethereum Improvement Proposals, 2022. https://eips.ethereum.org/EIPS/eip-5484.</w:t>
      </w:r>
    </w:p>
    <w:p>
      <w:pPr>
        <w:pStyle w:val="BodyText"/>
      </w:pPr>
      <w:r>
        <w:t xml:space="preserve">[41] W3C. Decentralized Identifiers (DIDs) v1.0. W3C Recommendation, 2022. https://www.w3.org/TR/did-core/.</w:t>
      </w:r>
    </w:p>
    <w:p>
      <w:pPr>
        <w:pStyle w:val="BodyText"/>
      </w:pPr>
      <w:r>
        <w:t xml:space="preserve">[42] W3C. Verifiable Credentials Data Model v2.0. W3C Recommendation, 2025. https://www.w3.org/TR/vc-data-model-2.0/.</w:t>
      </w:r>
    </w:p>
    <w:p>
      <w:pPr>
        <w:pStyle w:val="BodyText"/>
      </w:pPr>
      <w:r>
        <w:t xml:space="preserve">[43] Isabel Román, Jorge Calvillo-Arbizu, Vicente Mayor, Germán Madinabeitia-Luque, Antonio Estepa, and Rafael Estepa. Blockchain-based service-oriented architecture for consent management, access control, and auditing.</w:t>
      </w:r>
      <w:r>
        <w:t xml:space="preserve"> </w:t>
      </w:r>
      <w:r>
        <w:rPr>
          <w:i/>
          <w:iCs/>
        </w:rPr>
        <w:t xml:space="preserve">IEEE Access</w:t>
      </w:r>
      <w:r>
        <w:t xml:space="preserve">, 11:12727–12741, 2023. doi:10.1109/ACCESS.2023.3242605.</w:t>
      </w:r>
    </w:p>
    <w:p>
      <w:pPr>
        <w:pStyle w:val="BodyText"/>
      </w:pPr>
      <w:r>
        <w:t xml:space="preserve">[44] Kheng-Leong Tan, Chi-Hung Chi, and Kwok-Yan Lam. Secure and privacy-preserving sharing of personal health records with multi-party pre-authorization verification.</w:t>
      </w:r>
      <w:r>
        <w:t xml:space="preserve"> </w:t>
      </w:r>
      <w:r>
        <w:rPr>
          <w:i/>
          <w:iCs/>
        </w:rPr>
        <w:t xml:space="preserve">Wireless Networks</w:t>
      </w:r>
      <w:r>
        <w:t xml:space="preserve">, 30:4773–4795, 2024. doi:10.1007/s11276-022-03114-6.</w:t>
      </w:r>
    </w:p>
    <w:p>
      <w:pPr>
        <w:pStyle w:val="BodyText"/>
      </w:pPr>
      <w:r>
        <w:t xml:space="preserve">[45] Cindy Welzel, Max Ostermann, H. Jeff Smith, Timo Minssen, Toralf Kirsten, and Stephen Gilbert. Enabling secure and self determined health data sharing and consent management.</w:t>
      </w:r>
      <w:r>
        <w:t xml:space="preserve"> </w:t>
      </w:r>
      <w:r>
        <w:rPr>
          <w:i/>
          <w:iCs/>
        </w:rPr>
        <w:t xml:space="preserve">npj Digital Medicine</w:t>
      </w:r>
      <w:r>
        <w:t xml:space="preserve">, 8:560, 2025. doi:10.1038/s41746-025-01945-z.</w:t>
      </w:r>
    </w:p>
    <w:p>
      <w:pPr>
        <w:pStyle w:val="BodyText"/>
      </w:pPr>
      <w:r>
        <w:t xml:space="preserve">[46] Faheem Ullah, Jingsha He, Nafei Zhu, Ahsan Wajahat, Ahsan Nazir, Sirajuddin Qureshi, Muhammad Salman Pathan, and Soumyabrata Dev. Blockchain-enabled EHR access auditing: Enhancing healthcare data security.</w:t>
      </w:r>
      <w:r>
        <w:t xml:space="preserve"> </w:t>
      </w:r>
      <w:r>
        <w:rPr>
          <w:i/>
          <w:iCs/>
        </w:rPr>
        <w:t xml:space="preserve">Heliyon</w:t>
      </w:r>
      <w:r>
        <w:t xml:space="preserve">, 10(16):e34407, 2024. doi:10.1016/j.heliyon.2024.e34407.</w:t>
      </w:r>
    </w:p>
    <w:p>
      <w:pPr>
        <w:pStyle w:val="BodyText"/>
      </w:pPr>
      <w:r>
        <w:t xml:space="preserve">[47] Nadeem Yaqub, Jianbiao Zhang, Muhammad Irfan Khalid, Weiru Wang, Markus Helfert, Mansoor Ahmed, and Jungsuk Kim. Blockchain enabled policy-based access control mechanism to restrict unauthorized access to electronic health records.</w:t>
      </w:r>
      <w:r>
        <w:t xml:space="preserve"> </w:t>
      </w:r>
      <w:r>
        <w:rPr>
          <w:i/>
          <w:iCs/>
        </w:rPr>
        <w:t xml:space="preserve">PeerJ Computer Science</w:t>
      </w:r>
      <w:r>
        <w:t xml:space="preserve">, 11:e2647, 2025. doi:10.7717/peerj-cs.2647.</w:t>
      </w:r>
    </w:p>
    <w:p>
      <w:pPr>
        <w:pStyle w:val="BodyText"/>
      </w:pPr>
      <w:r>
        <w:t xml:space="preserve">[48] Sudip Phuyal, Manila Bhandari, Rabindra Bista, and João Carlos Ferreira. Blockchain-based dynamic and revocable consent for secondary health data use: Systematic review.</w:t>
      </w:r>
      <w:r>
        <w:t xml:space="preserve"> </w:t>
      </w:r>
      <w:r>
        <w:rPr>
          <w:i/>
          <w:iCs/>
        </w:rPr>
        <w:t xml:space="preserve">JMIR Medical Informatics</w:t>
      </w:r>
      <w:r>
        <w:t xml:space="preserve">, 14:e88536, 2026. doi:10.2196/88536.</w:t>
      </w:r>
    </w:p>
    <w:p>
      <w:pPr>
        <w:pStyle w:val="BodyText"/>
      </w:pPr>
      <w:r>
        <w:t xml:space="preserve">[49] Marcela Tuler de Oliveira, Lúcio Henrik A. Reis, Yiannis Verginadis, Diogo M. F. Mattos, and Sílvia D. Olabarriaga. SmartAccess: Attribute-based access control system for medical records based on smart contracts.</w:t>
      </w:r>
      <w:r>
        <w:t xml:space="preserve"> </w:t>
      </w:r>
      <w:r>
        <w:rPr>
          <w:i/>
          <w:iCs/>
        </w:rPr>
        <w:t xml:space="preserve">IEEE Access</w:t>
      </w:r>
      <w:r>
        <w:t xml:space="preserve">, 10:117836–117854, 2022. doi:10.1109/ACCESS.2022.3217201.</w:t>
      </w:r>
    </w:p>
    <w:bookmarkEnd w:id="40"/>
    <w:sectPr>
      <w:footnotePr>
        <w:numRestart w:val="eachSect"/>
      </w:footnotePr>
      <w:pgSz w:h="16838" w:w="11906"/>
      <w:pgMar w:bottom="1417" w:footer="709" w:gutter="0"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0" w:line="276"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720" w:before="2400" w:line="240" w:lineRule="auto"/>
      <w:contextualSpacing/>
      <w:jc w:val="center"/>
    </w:pPr>
    <w:rPr>
      <w:rFonts w:ascii="Times New Roman" w:cs="Times New Roman" w:eastAsia="Times New Roman" w:hAnsi="Times New Roman"/>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20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pPr>
      <w:spacing w:after="200"/>
      <w:jc w:val="center"/>
    </w:pPr>
    <w:rPr>
      <w:rFonts w:ascii="Times New Roman" w:cs="Times New Roman" w:eastAsia="Times New Roman" w:hAnsi="Times New Roman"/>
      <w:b w:val="0"/>
      <w:i w:val="0"/>
      <w:color w:val="000000"/>
      <w:sz w:val="22"/>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BodyText"/>
    <w:pPr>
      <w:pBdr>
        <w:top w:color="000000" w:space="4" w:sz="6" w:val="single"/>
        <w:left w:color="000000" w:space="4" w:sz="6" w:val="single"/>
        <w:bottom w:color="000000" w:space="4" w:sz="6" w:val="single"/>
        <w:right w:color="000000" w:space="4" w:sz="6" w:val="single"/>
      </w:pBdr>
      <w:spacing w:after="0" w:line="240" w:lineRule="auto"/>
      <w:jc w:val="left"/>
    </w:pPr>
    <w:rPr>
      <w:rFonts w:ascii="Times New Roman" w:cs="Times New Roman" w:eastAsia="Times New Roman" w:hAnsi="Times New Roman"/>
      <w:sz w:val="22"/>
    </w:rPr>
  </w:style>
  <w:style w:customStyle="1" w:styleId="DeletedText" w:type="character">
    <w:name w:val="Deleted Text"/>
    <w:rPr>
      <w:strike/>
      <w:color w:val="C00000"/>
    </w:rPr>
  </w:style>
  <w:style w:customStyle="1" w:styleId="InsertedText" w:type="character">
    <w:name w:val="Inserted Text"/>
    <w:rPr>
      <w:color w:val="C00000"/>
    </w:rPr>
  </w:style>
  <w:style w:customStyle="1" w:styleId="ReviewerNote" w:type="character">
    <w:name w:val="Reviewer Note"/>
    <w:rPr>
      <w:i/>
      <w:color w:val="C00000"/>
      <w:shd w:color="auto" w:fill="FFF2A8" w:val="clear"/>
    </w:rPr>
  </w:style>
  <w:style w:customStyle="1" w:styleId="DeletedPara" w:type="paragraph">
    <w:name w:val="Deleted Para"/>
    <w:basedOn w:val="BodyText"/>
    <w:rPr>
      <w:rFonts w:ascii="Times New Roman" w:cs="Times New Roman" w:eastAsia="Times New Roman" w:hAnsi="Times New Roman"/>
      <w:color w:val="C00000"/>
      <w:sz w:val="24"/>
    </w:rPr>
  </w:style>
  <w:style w:customStyle="1" w:styleId="InsertedPara" w:type="paragraph">
    <w:name w:val="Inserted Para"/>
    <w:basedOn w:val="BodyText"/>
    <w:rPr>
      <w:rFonts w:ascii="Times New Roman" w:cs="Times New Roman" w:eastAsia="Times New Roman" w:hAnsi="Times New Roman"/>
      <w:color w:val="C00000"/>
      <w:sz w:val="24"/>
    </w:rPr>
  </w:style>
  <w:style w:customStyle="1" w:styleId="ReviewerNotePara" w:type="paragraph">
    <w:name w:val="Reviewer Note Para"/>
    <w:basedOn w:val="BodyText"/>
    <w:rPr>
      <w:rFonts w:ascii="Times New Roman" w:cs="Times New Roman" w:eastAsia="Times New Roman" w:hAnsi="Times New Roman"/>
      <w:color w:val="C00000"/>
      <w:sz w:val="22"/>
    </w:rPr>
  </w:style>
  <w:style w:customStyle="1" w:styleId="GreenDelete" w:type="character">
    <w:name w:val="Green Delete"/>
    <w:rPr>
      <w:strike/>
      <w:color w:val="00803C"/>
    </w:rPr>
  </w:style>
  <w:style w:customStyle="1" w:styleId="GreenFix" w:type="character">
    <w:name w:val="Green Fix"/>
    <w:rPr>
      <w:color w:val="00803C"/>
    </w:rPr>
  </w:style>
  <w:style w:customStyle="1" w:styleId="BlueAdd" w:type="character">
    <w:name w:val="Blue Add"/>
    <w:rPr>
      <w:color w:val="0050C8"/>
    </w:rPr>
  </w:style>
  <w:style w:customStyle="1" w:styleId="GreenDeletePara" w:type="paragraph">
    <w:name w:val="Green Delete Para"/>
    <w:basedOn w:val="BodyText"/>
    <w:rPr>
      <w:rFonts w:ascii="Times New Roman" w:cs="Times New Roman" w:eastAsia="Times New Roman" w:hAnsi="Times New Roman"/>
      <w:color w:val="00803C"/>
      <w:sz w:val="24"/>
    </w:rPr>
  </w:style>
  <w:style w:customStyle="1" w:styleId="GreenFixPara" w:type="paragraph">
    <w:name w:val="Green Fix Para"/>
    <w:basedOn w:val="BodyText"/>
    <w:rPr>
      <w:rFonts w:ascii="Times New Roman" w:cs="Times New Roman" w:eastAsia="Times New Roman" w:hAnsi="Times New Roman"/>
      <w:color w:val="00803C"/>
      <w:sz w:val="24"/>
    </w:rPr>
  </w:style>
  <w:style w:customStyle="1" w:styleId="BlueAddPara" w:type="paragraph">
    <w:name w:val="Blue Add Para"/>
    <w:basedOn w:val="BodyText"/>
    <w:rPr>
      <w:rFonts w:ascii="Times New Roman" w:cs="Times New Roman" w:eastAsia="Times New Roman" w:hAnsi="Times New Roman"/>
      <w:color w:val="0050C8"/>
      <w:sz w:val="24"/>
    </w:rPr>
  </w:style>
  <w:style w:customStyle="1" w:styleId="PinkDelete" w:type="character">
    <w:name w:val="Pink Delete"/>
    <w:rPr>
      <w:strike/>
      <w:color w:val="D6008A"/>
    </w:rPr>
  </w:style>
  <w:style w:customStyle="1" w:styleId="PinkFix" w:type="character">
    <w:name w:val="Pink Fix"/>
    <w:rPr>
      <w:color w:val="D6008A"/>
    </w:rPr>
  </w:style>
  <w:style w:customStyle="1" w:styleId="PinkDeletePara" w:type="paragraph">
    <w:name w:val="Pink Delete Para"/>
    <w:basedOn w:val="BodyText"/>
    <w:rPr>
      <w:rFonts w:ascii="Times New Roman" w:cs="Times New Roman" w:eastAsia="Times New Roman" w:hAnsi="Times New Roman"/>
      <w:color w:val="D6008A"/>
      <w:sz w:val="24"/>
    </w:rPr>
  </w:style>
  <w:style w:customStyle="1" w:styleId="PinkFixPara" w:type="paragraph">
    <w:name w:val="Pink Fix Para"/>
    <w:basedOn w:val="BodyText"/>
    <w:rPr>
      <w:rFonts w:ascii="Times New Roman" w:cs="Times New Roman" w:eastAsia="Times New Roman" w:hAnsi="Times New Roman"/>
      <w:color w:val="D6008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2026-09-29T06:58:32Z</dcterms:created>
  <dcterms:modified xsi:type="dcterms:W3CDTF">2026-09-29T06:58:32Z</dcterms:modified>
</cp:coreProperties>
</file>

<file path=docProps/custom.xml><?xml version="1.0" encoding="utf-8"?>
<Properties xmlns="http://schemas.openxmlformats.org/officeDocument/2006/custom-properties" xmlns:vt="http://schemas.openxmlformats.org/officeDocument/2006/docPropsVTypes"/>
</file>