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7.png" ContentType="image/png"/>
  <Override PartName="/word/media/rId141.png" ContentType="image/png"/>
  <Override PartName="/word/media/rId145.png" ContentType="image/png"/>
  <Override PartName="/word/media/rId148.png" ContentType="image/png"/>
  <Override PartName="/word/media/rId152.png" ContentType="image/png"/>
  <Override PartName="/word/media/rId23.png" ContentType="image/png"/>
  <Override PartName="/word/media/rId28.png" ContentType="image/png"/>
  <Override PartName="/word/media/rId64.png" ContentType="image/png"/>
  <Override PartName="/word/media/rId67.png" ContentType="image/png"/>
  <Override PartName="/word/media/rId71.png" ContentType="image/png"/>
  <Override PartName="/word/media/rId78.png" ContentType="image/png"/>
  <Override PartName="/word/media/rId92.png" ContentType="image/png"/>
  <Override PartName="/word/media/rId99.png" ContentType="image/png"/>
  <Override PartName="/word/media/rId106.png" ContentType="image/png"/>
  <Override PartName="/word/media/rId113.png" ContentType="image/png"/>
  <Override PartName="/word/media/rId120.png" ContentType="image/png"/>
  <Override PartName="/word/media/rId127.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[1, 17].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[14, 31, 34].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[12, 19, 21].</w:t>
      </w:r>
    </w:p>
    <w:p>
      <w:pPr>
        <w:pStyle w:val="BodyText"/>
      </w:pPr>
      <w:r>
        <w:t xml:space="preserve">Traditional access-control architectures are commonly based on centralised identity providers, institution-specific authentication systems, and relatively static permission-management mechanisms [11, 22, 28].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[9, 31].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[3, 4, 8]. More broadly, blockchain-based approaches have demonstrated the potential to improve the integrity, transparency, and traceability of decentralised data-management processes [2, 23].</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[36].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[37]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[38]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[15, 18].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t xml:space="preserve">1.4 Structure of the Report</w:t>
      </w:r>
    </w:p>
    <w:p>
      <w:pPr>
        <w:pStyle w:val="FirstParagraph"/>
      </w:pPr>
      <w: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 MVC-based research architecture, and Chapter 6 presents the proposed solution for each objective through its workflow, procedure and algorithm. Chapter 7 presents the HALAH prototype, its four subsystems, the mapping to the source code, the automated test evidence and the on-chain evidence. Chapter 8 reports the progress of each objective, Chapter 9 summarises the publication plan and Chapter 10 sets out the research plan for the next stage.</w:t>
      </w:r>
    </w:p>
    <w:bookmarkEnd w:id="12"/>
    <w:bookmarkEnd w:id="13"/>
    <w:bookmarkStart w:id="44" w:name="X8d950ebaf958e7860fc944fc7601a3578d63a09"/>
    <w:p>
      <w:pPr>
        <w:pStyle w:val="Heading1"/>
      </w:pPr>
      <w:r>
        <w:t xml:space="preserve">2 A Systematic Literature Review</w:t>
      </w:r>
    </w:p>
    <w:bookmarkStart w:id="14" w:name="overview-introduction"/>
    <w:p>
      <w:pPr>
        <w:pStyle w:val="Heading2"/>
      </w:pPr>
      <w:r>
        <w:t xml:space="preserve">2.1</w:t>
      </w:r>
      <w:r>
        <w:t xml:space="preserve"> </w:t>
      </w:r>
      <w:r>
        <w:t xml:space="preserve"> </w:t>
      </w:r>
      <w:r>
        <w:t xml:space="preserve">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[19, 21, 25, 26, 31, 32]. Blockchain-based data-governance research has investigated immutable records, distributed auditability, and decentralised consent management [3, 4, 8, 23]. Research on decentralised identity and verifiable credentials has developed mechanisms for self-controlled identity representation, credential verification, selective disclosure, and privacy-preserving authentication [6, 7, 16, 18, 24, 35]. Access-control research has further investigated role-based, attribute-based, risk-aware, and usage-control approaches for protecting sensitive healthcare information [5, 11, 22, 28, 30, 33, 34].</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objective of this chapter is therefore to examine, through a systematic literature review, how far the existing approaches satisfy the conditions of a trustworthy authorisation decision and where the gap addressed by the proposed framework lies.</w:t>
      </w:r>
    </w:p>
    <w:p>
      <w:pPr>
        <w:pStyle w:val="BodyText"/>
      </w:pPr>
      <w: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 3.</w:t>
      </w:r>
    </w:p>
    <w:bookmarkEnd w:id="14"/>
    <w:bookmarkStart w:id="20" w:name="Xe31d4d16f418816f7cdb8bb7e2c33f7a12ca646"/>
    <w:p>
      <w:pPr>
        <w:pStyle w:val="Heading2"/>
      </w:pPr>
      <w:r>
        <w:t xml:space="preserve">2.2 Key Requirements for a Trust-Oriented Consent Authorisation Framework</w:t>
      </w:r>
    </w:p>
    <w:p>
      <w:pPr>
        <w:pStyle w:val="FirstParagraph"/>
      </w:pPr>
      <w: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t xml:space="preserve"> </w:t>
      </w:r>
      <w:r>
        <w:rPr>
          <w:i/>
          <w:iCs/>
        </w:rPr>
        <w:t xml:space="preserve">Privacy Act 1988</w:t>
      </w:r>
      <w:r>
        <w:t xml:space="preserve"> </w:t>
      </w:r>
      <w:r>
        <w:t xml:space="preserve">[36], the</w:t>
      </w:r>
      <w:r>
        <w:t xml:space="preserve"> </w:t>
      </w:r>
      <w:r>
        <w:rPr>
          <w:i/>
          <w:iCs/>
        </w:rPr>
        <w:t xml:space="preserve">My Health Records Act 2012</w:t>
      </w:r>
      <w:r>
        <w:t xml:space="preserve"> </w:t>
      </w:r>
      <w:r>
        <w:t xml:space="preserve">[37] and the</w:t>
      </w:r>
      <w:r>
        <w:t xml:space="preserve"> </w:t>
      </w:r>
      <w:r>
        <w:rPr>
          <w:i/>
          <w:iCs/>
        </w:rPr>
        <w:t xml:space="preserve">Healthcare Identifiers Act 2010</w:t>
      </w:r>
      <w:r>
        <w:t xml:space="preserve"> </w:t>
      </w:r>
      <w:r>
        <w:t xml:space="preserve">[38]. They form the basis on which the shortlisted studies are compared in Section 2.4 and against which the research gaps are stated in Section 2.5.</w:t>
      </w:r>
    </w:p>
    <w:bookmarkStart w:id="15" w:name="Xb2c1c1d0f9cf3a779daabe364a3fe8b072535a1"/>
    <w:p>
      <w:pPr>
        <w:pStyle w:val="Heading3"/>
      </w:pPr>
      <w:r>
        <w:t xml:space="preserve">2.2.1 Consent as an evaluable authorisation object (Req 1)</w:t>
      </w:r>
    </w:p>
    <w:p>
      <w:pPr>
        <w:pStyle w:val="FirstParagraph"/>
      </w:pPr>
      <w: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[10], dynamic consent models [13, 21] and the legal conditions of valid consent [19] all point in this direction, but they stop at recording consent rather than making it evaluable. Blockchain-backed architectures that execute and audit consents [26] and self-determined consent frameworks [32] add enforcement and tracking, yet they still act on the consent record rather than on an evaluation of the request.</w:t>
      </w:r>
    </w:p>
    <w:bookmarkEnd w:id="15"/>
    <w:bookmarkStart w:id="16" w:name="Xa885eda08813ad5fc0a2256dc7473e8c07c13b3"/>
    <w:p>
      <w:pPr>
        <w:pStyle w:val="Heading3"/>
      </w:pPr>
      <w:r>
        <w:t xml:space="preserve">2.2.2 Verifiable identity separated from authority (Req 2)</w:t>
      </w:r>
    </w:p>
    <w:p>
      <w:pPr>
        <w:pStyle w:val="FirstParagraph"/>
      </w:pPr>
      <w: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[6, 18], and the</w:t>
      </w:r>
      <w:r>
        <w:t xml:space="preserve"> </w:t>
      </w:r>
      <w:r>
        <w:rPr>
          <w:i/>
          <w:iCs/>
        </w:rPr>
        <w:t xml:space="preserve">Healthcare Identifiers Act 2010</w:t>
      </w:r>
      <w:r>
        <w:t xml:space="preserve"> </w:t>
      </w:r>
      <w:r>
        <w:t xml:space="preserve">already gives every provider and individual a persistent identifier [38]. The second step is frequently overlooked: a valid credential shows that a person is, for example, a registered practitioner or a legal guardian [31],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t xml:space="preserve">2.2.3 Multi-party threshold authorisation (Req 3)</w:t>
      </w:r>
    </w:p>
    <w:p>
      <w:pPr>
        <w:pStyle w:val="FirstParagraph"/>
      </w:pPr>
      <w:r>
        <w:t xml:space="preserve">In paediatric, aged-care and shared-guardianship settings the decision to release data does not belong to a single party. Guardians, the treating clinician and, where applicable, the institution each hold part of the authority [31].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[6], multi-party governance of data trusts [17] and threshold-based pre-authorisation of record access [27] provide building blocks, but none treats the approval threshold as a verifiable condition attached to the consent itself.</w:t>
      </w:r>
    </w:p>
    <w:bookmarkEnd w:id="17"/>
    <w:bookmarkStart w:id="18" w:name="purpose--and-scope-bound-access-req-4"/>
    <w:p>
      <w:pPr>
        <w:pStyle w:val="Heading3"/>
      </w:pPr>
      <w:r>
        <w:t xml:space="preserve">2.2.4 Purpose- and scope-bound access (Req 4)</w:t>
      </w:r>
    </w:p>
    <w:p>
      <w:pPr>
        <w:pStyle w:val="FirstParagraph"/>
      </w:pPr>
      <w:r>
        <w:t xml:space="preserve">Even when the requester is verified and the required approvals exist, the request must remain within the purpose and the data scope that the patient authorised. Attribute-based, risk-aware, usage-control and purpose-based models can express fine-grained restrictions [5, 11, 22, 28, 30, 33, 34], and the Australian Privacy Principles require that health information be used only for the primary purpose of collection or a directly related purpose [36].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t xml:space="preserve">2.2.5 Lifecycle validity and auditable evidence (Req 5)</w:t>
      </w:r>
    </w:p>
    <w:p>
      <w:pPr>
        <w:pStyle w:val="FirstParagraph"/>
      </w:pPr>
      <w: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[2, 23, 25, 30], and dynamic identity systems handle revocation at the identity level [35]; the fifth requirement is that the same properties hold for the consent object and for the authorisation decisions made on it.</w:t>
      </w:r>
    </w:p>
    <w:p>
      <w:pPr>
        <w:pStyle w:val="BodyText"/>
      </w:pPr>
      <w: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9"/>
    <w:bookmarkEnd w:id="20"/>
    <w:bookmarkStart w:id="33" w:name="Xc890dc5c16727df01c4dec67a5cc738423fdfed"/>
    <w:p>
      <w:pPr>
        <w:pStyle w:val="Heading2"/>
      </w:pPr>
      <w:r>
        <w:t xml:space="preserve"> </w:t>
      </w:r>
      <w:r>
        <w:t xml:space="preserve">2.3</w:t>
      </w:r>
      <w:r>
        <w:t xml:space="preserve"> </w:t>
      </w:r>
      <w:r>
        <w:t xml:space="preserve"> </w:t>
      </w:r>
      <w:r>
        <w:t xml:space="preserve">Process Adopted for Shortlisting the Papers for the SLR</w:t>
      </w:r>
    </w:p>
    <w:p>
      <w:pPr>
        <w:pStyle w:val="FirstParagraph"/>
      </w:pPr>
      <w:r>
        <w:t xml:space="preserve">This review followed the Preferred Reporting Items for Systematic Reviews and Meta-Analyses (PRISMA 2020) reporting guideline [39].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2.3.1–2.3.6, and the resulting study selection is summarised in Figure 2.2.Consistent with the four-step approach adopted in this research group, the process is reported as searching the literature (Step 1), applying inclusion and exclusion criteria (Step 2), evaluating quality (Step 3) and extracting and categorising the data (Step 4).</w:t>
      </w:r>
    </w:p>
    <w:bookmarkStart w:id="21" w:name="review-design-and-reporting-framework"/>
    <w:p>
      <w:pPr>
        <w:pStyle w:val="Heading3"/>
      </w:pPr>
      <w:r>
        <w:t xml:space="preserve"> </w:t>
      </w:r>
      <w:r>
        <w:t xml:space="preserve">2.3.1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2.3.5.</w:t>
      </w:r>
    </w:p>
    <w:bookmarkEnd w:id="21"/>
    <w:bookmarkStart w:id="22" w:name="questions-for-review"/>
    <w:p>
      <w:pPr>
        <w:pStyle w:val="Heading3"/>
      </w:pPr>
      <w:r>
        <w:t xml:space="preserve"> </w:t>
      </w:r>
      <w:r>
        <w:t xml:space="preserve">2.3.2 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6" w:name="X84813ed82bde8b681c1e93fab893fb6ffc8ce2b"/>
    <w:p>
      <w:pPr>
        <w:pStyle w:val="Heading3"/>
      </w:pPr>
      <w:r>
        <w:t xml:space="preserve"> </w:t>
      </w:r>
      <w:r>
        <w:t xml:space="preserve">2.3.3</w:t>
      </w:r>
      <w:r>
        <w:t xml:space="preserve"> </w:t>
      </w:r>
      <w:r>
        <w:t xml:space="preserve"> </w:t>
      </w:r>
      <w:r>
        <w:t xml:space="preserve">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2.1.</w:t>
      </w:r>
    </w:p>
    <w:p>
      <w:pPr>
        <w:pStyle w:val="CaptionedFigure"/>
      </w:pPr>
      <w:r>
        <w:drawing>
          <wp:inline>
            <wp:extent cx="5486400" cy="3383782"/>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b/>
          <w:bCs/>
        </w:rPr>
        <w:t xml:space="preserve">15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odyText"/>
      </w:pPr>
      <w:r>
        <w:rPr>
          <w:b/>
          <w:bCs/>
        </w:rPr>
        <w:t xml:space="preserve">Required information from the selected papers.</w:t>
      </w:r>
      <w:r>
        <w:t xml:space="preserve"> </w:t>
      </w:r>
      <w:r>
        <w:t xml:space="preserve">For each record, the title, abstract, keywords and full text were required, together with the publication venue, year and the digital object identifier used for duplicate detection.</w:t>
      </w:r>
    </w:p>
    <w:p>
      <w:pPr>
        <w:pStyle w:val="BodyText"/>
      </w:pPr>
      <w:r>
        <w:rPr>
          <w:b/>
          <w:bCs/>
        </w:rPr>
        <w:t xml:space="preserve">Publication time of the records.</w:t>
      </w:r>
      <w:r>
        <w:t xml:space="preserve"> </w:t>
      </w:r>
      <w:r>
        <w:t xml:space="preserve">Only studies published between 2022 and 2026 were considered, because decentralised identity standards and consent-aware access control developed rapidly over that period; one earlier policy statement [31] was retained as a foundational source, as explained in Section 2.3.4. The journals and conference proceedings in which the included studies were published are listed in Table 2.1.</w:t>
      </w:r>
    </w:p>
    <w:p>
      <w:pPr>
        <w:pStyle w:val="TableCaption"/>
      </w:pPr>
      <w: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720"/>
        <w:gridCol w:w="4464"/>
        <w:gridCol w:w="1152"/>
        <w:gridCol w:w="158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S/N</w:t>
            </w:r>
          </w:p>
        </w:tc>
        <w:tc>
          <w:tcPr>
            <w:tcBorders>
              <w:bottom w:val="single" w:sz="8" w:space="0" w:color="000000"/>
            </w:tcBorders>
            <w:shd w:val="clear" w:color="auto" w:fill="E7E6E6"/>
            <w:vAlign w:val="center"/>
          </w:tcPr>
          <w:p>
            <w:pPr>
              <w:pStyle w:val="Compact"/>
              <w:jc w:val="left"/>
            </w:pPr>
            <w:r>
              <w:rPr>
                <w:b/>
                <w:bCs/>
              </w:rPr>
              <w:t xml:space="preserve">Journal or conference proceedings</w:t>
            </w:r>
          </w:p>
        </w:tc>
        <w:tc>
          <w:tcPr>
            <w:tcBorders>
              <w:bottom w:val="single" w:sz="8" w:space="0" w:color="000000"/>
            </w:tcBorders>
            <w:shd w:val="clear" w:color="auto" w:fill="E7E6E6"/>
            <w:vAlign w:val="center"/>
          </w:tcPr>
          <w:p>
            <w:pPr>
              <w:pStyle w:val="Compact"/>
              <w:jc w:val="left"/>
            </w:pPr>
            <w:r>
              <w:rPr>
                <w:b/>
                <w:bCs/>
              </w:rPr>
              <w:t xml:space="preserve">Type</w:t>
            </w:r>
          </w:p>
        </w:tc>
        <w:tc>
          <w:tcPr>
            <w:tcBorders>
              <w:bottom w:val="single" w:sz="8" w:space="0" w:color="000000"/>
            </w:tcBorders>
            <w:shd w:val="clear" w:color="auto" w:fill="E7E6E6"/>
            <w:vAlign w:val="center"/>
          </w:tcPr>
          <w:p>
            <w:pPr>
              <w:pStyle w:val="Compact"/>
              <w:jc w:val="left"/>
            </w:pPr>
            <w:r>
              <w:rPr>
                <w:b/>
                <w:bCs/>
              </w:rPr>
              <w:t xml:space="preserve">Included studies</w:t>
            </w:r>
          </w:p>
        </w:tc>
      </w:tr>
      <w:tr>
        <w:trPr>
          <w:cantSplit/>
        </w:trPr>
        <w:tc>
          <w:tcPr/>
          <w:p>
            <w:pPr>
              <w:pStyle w:val="Compact"/>
              <w:jc w:val="left"/>
            </w:pPr>
            <w:r>
              <w:t xml:space="preserve">1</w:t>
            </w:r>
          </w:p>
        </w:tc>
        <w:tc>
          <w:tcPr/>
          <w:p>
            <w:pPr>
              <w:pStyle w:val="Compact"/>
              <w:jc w:val="left"/>
            </w:pPr>
            <w:r>
              <w:t xml:space="preserve">IEEE Access</w:t>
            </w:r>
          </w:p>
        </w:tc>
        <w:tc>
          <w:tcPr/>
          <w:p>
            <w:pPr>
              <w:pStyle w:val="Compact"/>
              <w:jc w:val="left"/>
            </w:pPr>
            <w:r>
              <w:t xml:space="preserve">Journal</w:t>
            </w:r>
          </w:p>
        </w:tc>
        <w:tc>
          <w:tcPr/>
          <w:p>
            <w:pPr>
              <w:pStyle w:val="Compact"/>
              <w:jc w:val="left"/>
            </w:pPr>
            <w:r>
              <w:t xml:space="preserve">S2, S8, S10, S30</w:t>
            </w:r>
          </w:p>
        </w:tc>
      </w:tr>
      <w:tr>
        <w:trPr>
          <w:cantSplit/>
        </w:trPr>
        <w:tc>
          <w:tcPr/>
          <w:p>
            <w:pPr>
              <w:pStyle w:val="Compact"/>
              <w:jc w:val="left"/>
            </w:pPr>
            <w:r>
              <w:t xml:space="preserve">2</w:t>
            </w:r>
          </w:p>
        </w:tc>
        <w:tc>
          <w:tcPr/>
          <w:p>
            <w:pPr>
              <w:pStyle w:val="Compact"/>
              <w:jc w:val="left"/>
            </w:pPr>
            <w:r>
              <w:t xml:space="preserve">IEEE Communications Surveys &amp; Tutorials</w:t>
            </w:r>
          </w:p>
        </w:tc>
        <w:tc>
          <w:tcPr/>
          <w:p>
            <w:pPr>
              <w:pStyle w:val="Compact"/>
              <w:jc w:val="left"/>
            </w:pPr>
            <w:r>
              <w:t xml:space="preserve">Journal</w:t>
            </w:r>
          </w:p>
        </w:tc>
        <w:tc>
          <w:tcPr/>
          <w:p>
            <w:pPr>
              <w:pStyle w:val="Compact"/>
              <w:jc w:val="left"/>
            </w:pPr>
            <w:r>
              <w:t xml:space="preserve">S12, S20</w:t>
            </w:r>
          </w:p>
        </w:tc>
      </w:tr>
      <w:tr>
        <w:trPr>
          <w:cantSplit/>
        </w:trPr>
        <w:tc>
          <w:tcPr/>
          <w:p>
            <w:pPr>
              <w:pStyle w:val="Compact"/>
              <w:jc w:val="left"/>
            </w:pPr>
            <w:r>
              <w:t xml:space="preserve">3</w:t>
            </w:r>
          </w:p>
        </w:tc>
        <w:tc>
          <w:tcPr/>
          <w:p>
            <w:pPr>
              <w:pStyle w:val="Compact"/>
              <w:jc w:val="left"/>
            </w:pPr>
            <w:r>
              <w:t xml:space="preserve">ACM Computing Surveys</w:t>
            </w:r>
          </w:p>
        </w:tc>
        <w:tc>
          <w:tcPr/>
          <w:p>
            <w:pPr>
              <w:pStyle w:val="Compact"/>
              <w:jc w:val="left"/>
            </w:pPr>
            <w:r>
              <w:t xml:space="preserve">Journal</w:t>
            </w:r>
          </w:p>
        </w:tc>
        <w:tc>
          <w:tcPr/>
          <w:p>
            <w:pPr>
              <w:pStyle w:val="Compact"/>
              <w:jc w:val="left"/>
            </w:pPr>
            <w:r>
              <w:t xml:space="preserve">S14</w:t>
            </w:r>
          </w:p>
        </w:tc>
      </w:tr>
      <w:tr>
        <w:trPr>
          <w:cantSplit/>
        </w:trPr>
        <w:tc>
          <w:tcPr/>
          <w:p>
            <w:pPr>
              <w:pStyle w:val="Compact"/>
              <w:jc w:val="left"/>
            </w:pPr>
            <w:r>
              <w:t xml:space="preserve">4</w:t>
            </w:r>
          </w:p>
        </w:tc>
        <w:tc>
          <w:tcPr/>
          <w:p>
            <w:pPr>
              <w:pStyle w:val="Compact"/>
              <w:jc w:val="left"/>
            </w:pPr>
            <w:r>
              <w:t xml:space="preserve">ACM Transactions on Management Information Systems</w:t>
            </w:r>
          </w:p>
        </w:tc>
        <w:tc>
          <w:tcPr/>
          <w:p>
            <w:pPr>
              <w:pStyle w:val="Compact"/>
              <w:jc w:val="left"/>
            </w:pPr>
            <w:r>
              <w:t xml:space="preserve">Journal</w:t>
            </w:r>
          </w:p>
        </w:tc>
        <w:tc>
          <w:tcPr/>
          <w:p>
            <w:pPr>
              <w:pStyle w:val="Compact"/>
              <w:jc w:val="left"/>
            </w:pPr>
            <w:r>
              <w:t xml:space="preserve">S21</w:t>
            </w:r>
          </w:p>
        </w:tc>
      </w:tr>
      <w:tr>
        <w:trPr>
          <w:cantSplit/>
        </w:trPr>
        <w:tc>
          <w:tcPr/>
          <w:p>
            <w:pPr>
              <w:pStyle w:val="Compact"/>
              <w:jc w:val="left"/>
            </w:pPr>
            <w:r>
              <w:t xml:space="preserve">5</w:t>
            </w:r>
          </w:p>
        </w:tc>
        <w:tc>
          <w:tcPr/>
          <w:p>
            <w:pPr>
              <w:pStyle w:val="Compact"/>
              <w:jc w:val="left"/>
            </w:pPr>
            <w:r>
              <w:t xml:space="preserve">IEEE Transactions on Computers</w:t>
            </w:r>
          </w:p>
        </w:tc>
        <w:tc>
          <w:tcPr/>
          <w:p>
            <w:pPr>
              <w:pStyle w:val="Compact"/>
              <w:jc w:val="left"/>
            </w:pPr>
            <w:r>
              <w:t xml:space="preserve">Journal</w:t>
            </w:r>
          </w:p>
        </w:tc>
        <w:tc>
          <w:tcPr/>
          <w:p>
            <w:pPr>
              <w:pStyle w:val="Compact"/>
              <w:jc w:val="left"/>
            </w:pPr>
            <w:r>
              <w:t xml:space="preserve">S16</w:t>
            </w:r>
          </w:p>
        </w:tc>
      </w:tr>
      <w:tr>
        <w:trPr>
          <w:cantSplit/>
        </w:trPr>
        <w:tc>
          <w:tcPr/>
          <w:p>
            <w:pPr>
              <w:pStyle w:val="Compact"/>
              <w:jc w:val="left"/>
            </w:pPr>
            <w:r>
              <w:t xml:space="preserve">6</w:t>
            </w:r>
          </w:p>
        </w:tc>
        <w:tc>
          <w:tcPr/>
          <w:p>
            <w:pPr>
              <w:pStyle w:val="Compact"/>
              <w:jc w:val="left"/>
            </w:pPr>
            <w:r>
              <w:t xml:space="preserve">IEEE Transactions on Information Forensics and Security</w:t>
            </w:r>
          </w:p>
        </w:tc>
        <w:tc>
          <w:tcPr/>
          <w:p>
            <w:pPr>
              <w:pStyle w:val="Compact"/>
              <w:jc w:val="left"/>
            </w:pPr>
            <w:r>
              <w:t xml:space="preserve">Journal</w:t>
            </w:r>
          </w:p>
        </w:tc>
        <w:tc>
          <w:tcPr/>
          <w:p>
            <w:pPr>
              <w:pStyle w:val="Compact"/>
              <w:jc w:val="left"/>
            </w:pPr>
            <w:r>
              <w:t xml:space="preserve">S22</w:t>
            </w:r>
          </w:p>
        </w:tc>
      </w:tr>
      <w:tr>
        <w:trPr>
          <w:cantSplit/>
        </w:trPr>
        <w:tc>
          <w:tcPr/>
          <w:p>
            <w:pPr>
              <w:pStyle w:val="Compact"/>
              <w:jc w:val="left"/>
            </w:pPr>
            <w:r>
              <w:t xml:space="preserve">7</w:t>
            </w:r>
          </w:p>
        </w:tc>
        <w:tc>
          <w:tcPr/>
          <w:p>
            <w:pPr>
              <w:pStyle w:val="Compact"/>
              <w:jc w:val="left"/>
            </w:pPr>
            <w:r>
              <w:t xml:space="preserve">Journal of Network and Computer Applications</w:t>
            </w:r>
          </w:p>
        </w:tc>
        <w:tc>
          <w:tcPr/>
          <w:p>
            <w:pPr>
              <w:pStyle w:val="Compact"/>
              <w:jc w:val="left"/>
            </w:pPr>
            <w:r>
              <w:t xml:space="preserve">Journal</w:t>
            </w:r>
          </w:p>
        </w:tc>
        <w:tc>
          <w:tcPr/>
          <w:p>
            <w:pPr>
              <w:pStyle w:val="Compact"/>
              <w:jc w:val="left"/>
            </w:pPr>
            <w:r>
              <w:t xml:space="preserve">S11</w:t>
            </w:r>
          </w:p>
        </w:tc>
      </w:tr>
      <w:tr>
        <w:trPr>
          <w:cantSplit/>
        </w:trPr>
        <w:tc>
          <w:tcPr/>
          <w:p>
            <w:pPr>
              <w:pStyle w:val="Compact"/>
              <w:jc w:val="left"/>
            </w:pPr>
            <w:r>
              <w:t xml:space="preserve">8</w:t>
            </w:r>
          </w:p>
        </w:tc>
        <w:tc>
          <w:tcPr/>
          <w:p>
            <w:pPr>
              <w:pStyle w:val="Compact"/>
              <w:jc w:val="left"/>
            </w:pPr>
            <w:r>
              <w:t xml:space="preserve">Journal of Systems Architecture</w:t>
            </w:r>
          </w:p>
        </w:tc>
        <w:tc>
          <w:tcPr/>
          <w:p>
            <w:pPr>
              <w:pStyle w:val="Compact"/>
              <w:jc w:val="left"/>
            </w:pPr>
            <w:r>
              <w:t xml:space="preserve">Journal</w:t>
            </w:r>
          </w:p>
        </w:tc>
        <w:tc>
          <w:tcPr/>
          <w:p>
            <w:pPr>
              <w:pStyle w:val="Compact"/>
              <w:jc w:val="left"/>
            </w:pPr>
            <w:r>
              <w:t xml:space="preserve">S29</w:t>
            </w:r>
          </w:p>
        </w:tc>
      </w:tr>
      <w:tr>
        <w:trPr>
          <w:cantSplit/>
        </w:trPr>
        <w:tc>
          <w:tcPr/>
          <w:p>
            <w:pPr>
              <w:pStyle w:val="Compact"/>
              <w:jc w:val="left"/>
            </w:pPr>
            <w:r>
              <w:t xml:space="preserve">9</w:t>
            </w:r>
          </w:p>
        </w:tc>
        <w:tc>
          <w:tcPr/>
          <w:p>
            <w:pPr>
              <w:pStyle w:val="Compact"/>
              <w:jc w:val="left"/>
            </w:pPr>
            <w:r>
              <w:t xml:space="preserve">Journal of Information Security and Applications</w:t>
            </w:r>
          </w:p>
        </w:tc>
        <w:tc>
          <w:tcPr/>
          <w:p>
            <w:pPr>
              <w:pStyle w:val="Compact"/>
              <w:jc w:val="left"/>
            </w:pPr>
            <w:r>
              <w:t xml:space="preserve">Journal</w:t>
            </w:r>
          </w:p>
        </w:tc>
        <w:tc>
          <w:tcPr/>
          <w:p>
            <w:pPr>
              <w:pStyle w:val="Compact"/>
              <w:jc w:val="left"/>
            </w:pPr>
            <w:r>
              <w:t xml:space="preserve">S17</w:t>
            </w:r>
          </w:p>
        </w:tc>
      </w:tr>
      <w:tr>
        <w:trPr>
          <w:cantSplit/>
        </w:trPr>
        <w:tc>
          <w:tcPr/>
          <w:p>
            <w:pPr>
              <w:pStyle w:val="Compact"/>
              <w:jc w:val="left"/>
            </w:pPr>
            <w:r>
              <w:t xml:space="preserve">10</w:t>
            </w:r>
          </w:p>
        </w:tc>
        <w:tc>
          <w:tcPr/>
          <w:p>
            <w:pPr>
              <w:pStyle w:val="Compact"/>
              <w:jc w:val="left"/>
            </w:pPr>
            <w:r>
              <w:t xml:space="preserve">Journal of Big Data</w:t>
            </w:r>
          </w:p>
        </w:tc>
        <w:tc>
          <w:tcPr/>
          <w:p>
            <w:pPr>
              <w:pStyle w:val="Compact"/>
              <w:jc w:val="left"/>
            </w:pPr>
            <w:r>
              <w:t xml:space="preserve">Journal</w:t>
            </w:r>
          </w:p>
        </w:tc>
        <w:tc>
          <w:tcPr/>
          <w:p>
            <w:pPr>
              <w:pStyle w:val="Compact"/>
              <w:jc w:val="left"/>
            </w:pPr>
            <w:r>
              <w:t xml:space="preserve">S26</w:t>
            </w:r>
          </w:p>
        </w:tc>
      </w:tr>
      <w:tr>
        <w:trPr>
          <w:cantSplit/>
        </w:trPr>
        <w:tc>
          <w:tcPr/>
          <w:p>
            <w:pPr>
              <w:pStyle w:val="Compact"/>
              <w:jc w:val="left"/>
            </w:pPr>
            <w:r>
              <w:t xml:space="preserve">11</w:t>
            </w:r>
          </w:p>
        </w:tc>
        <w:tc>
          <w:tcPr/>
          <w:p>
            <w:pPr>
              <w:pStyle w:val="Compact"/>
              <w:jc w:val="left"/>
            </w:pPr>
            <w:r>
              <w:t xml:space="preserve">Cluster Computing</w:t>
            </w:r>
          </w:p>
        </w:tc>
        <w:tc>
          <w:tcPr/>
          <w:p>
            <w:pPr>
              <w:pStyle w:val="Compact"/>
              <w:jc w:val="left"/>
            </w:pPr>
            <w:r>
              <w:t xml:space="preserve">Journal</w:t>
            </w:r>
          </w:p>
        </w:tc>
        <w:tc>
          <w:tcPr/>
          <w:p>
            <w:pPr>
              <w:pStyle w:val="Compact"/>
              <w:jc w:val="left"/>
            </w:pPr>
            <w:r>
              <w:t xml:space="preserve">S28</w:t>
            </w:r>
          </w:p>
        </w:tc>
      </w:tr>
      <w:tr>
        <w:trPr>
          <w:cantSplit/>
        </w:trPr>
        <w:tc>
          <w:tcPr/>
          <w:p>
            <w:pPr>
              <w:pStyle w:val="Compact"/>
              <w:jc w:val="left"/>
            </w:pPr>
            <w:r>
              <w:t xml:space="preserve">12</w:t>
            </w:r>
          </w:p>
        </w:tc>
        <w:tc>
          <w:tcPr/>
          <w:p>
            <w:pPr>
              <w:pStyle w:val="Compact"/>
              <w:jc w:val="left"/>
            </w:pPr>
            <w:r>
              <w:t xml:space="preserve">Engineering Reports</w:t>
            </w:r>
          </w:p>
        </w:tc>
        <w:tc>
          <w:tcPr/>
          <w:p>
            <w:pPr>
              <w:pStyle w:val="Compact"/>
              <w:jc w:val="left"/>
            </w:pPr>
            <w:r>
              <w:t xml:space="preserve">Journal</w:t>
            </w:r>
          </w:p>
        </w:tc>
        <w:tc>
          <w:tcPr/>
          <w:p>
            <w:pPr>
              <w:pStyle w:val="Compact"/>
              <w:jc w:val="left"/>
            </w:pPr>
            <w:r>
              <w:t xml:space="preserve">S27</w:t>
            </w:r>
          </w:p>
        </w:tc>
      </w:tr>
      <w:tr>
        <w:trPr>
          <w:cantSplit/>
        </w:trPr>
        <w:tc>
          <w:tcPr/>
          <w:p>
            <w:pPr>
              <w:pStyle w:val="Compact"/>
              <w:jc w:val="left"/>
            </w:pPr>
            <w:r>
              <w:t xml:space="preserve">13</w:t>
            </w:r>
          </w:p>
        </w:tc>
        <w:tc>
          <w:tcPr/>
          <w:p>
            <w:pPr>
              <w:pStyle w:val="Compact"/>
              <w:jc w:val="left"/>
            </w:pPr>
            <w:r>
              <w:t xml:space="preserve">International Journal of Information Management Data Insights</w:t>
            </w:r>
          </w:p>
        </w:tc>
        <w:tc>
          <w:tcPr/>
          <w:p>
            <w:pPr>
              <w:pStyle w:val="Compact"/>
              <w:jc w:val="left"/>
            </w:pPr>
            <w:r>
              <w:t xml:space="preserve">Journal</w:t>
            </w:r>
          </w:p>
        </w:tc>
        <w:tc>
          <w:tcPr/>
          <w:p>
            <w:pPr>
              <w:pStyle w:val="Compact"/>
              <w:jc w:val="left"/>
            </w:pPr>
            <w:r>
              <w:t xml:space="preserve">S24</w:t>
            </w:r>
          </w:p>
        </w:tc>
      </w:tr>
      <w:tr>
        <w:trPr>
          <w:cantSplit/>
        </w:trPr>
        <w:tc>
          <w:tcPr/>
          <w:p>
            <w:pPr>
              <w:pStyle w:val="Compact"/>
              <w:jc w:val="left"/>
            </w:pPr>
            <w:r>
              <w:t xml:space="preserve">14</w:t>
            </w:r>
          </w:p>
        </w:tc>
        <w:tc>
          <w:tcPr/>
          <w:p>
            <w:pPr>
              <w:pStyle w:val="Compact"/>
              <w:jc w:val="left"/>
            </w:pPr>
            <w:r>
              <w:t xml:space="preserve">Applied Sciences</w:t>
            </w:r>
          </w:p>
        </w:tc>
        <w:tc>
          <w:tcPr/>
          <w:p>
            <w:pPr>
              <w:pStyle w:val="Compact"/>
              <w:jc w:val="left"/>
            </w:pPr>
            <w:r>
              <w:t xml:space="preserve">Journal</w:t>
            </w:r>
          </w:p>
        </w:tc>
        <w:tc>
          <w:tcPr/>
          <w:p>
            <w:pPr>
              <w:pStyle w:val="Compact"/>
              <w:jc w:val="left"/>
            </w:pPr>
            <w:r>
              <w:t xml:space="preserve">S15</w:t>
            </w:r>
          </w:p>
        </w:tc>
      </w:tr>
      <w:tr>
        <w:trPr>
          <w:cantSplit/>
        </w:trPr>
        <w:tc>
          <w:tcPr/>
          <w:p>
            <w:pPr>
              <w:pStyle w:val="Compact"/>
              <w:jc w:val="left"/>
            </w:pPr>
            <w:r>
              <w:t xml:space="preserve">15</w:t>
            </w:r>
          </w:p>
        </w:tc>
        <w:tc>
          <w:tcPr/>
          <w:p>
            <w:pPr>
              <w:pStyle w:val="Compact"/>
              <w:jc w:val="left"/>
            </w:pPr>
            <w:r>
              <w:t xml:space="preserve">Electronics</w:t>
            </w:r>
          </w:p>
        </w:tc>
        <w:tc>
          <w:tcPr/>
          <w:p>
            <w:pPr>
              <w:pStyle w:val="Compact"/>
              <w:jc w:val="left"/>
            </w:pPr>
            <w:r>
              <w:t xml:space="preserve">Journal</w:t>
            </w:r>
          </w:p>
        </w:tc>
        <w:tc>
          <w:tcPr/>
          <w:p>
            <w:pPr>
              <w:pStyle w:val="Compact"/>
              <w:jc w:val="left"/>
            </w:pPr>
            <w:r>
              <w:t xml:space="preserve">S3</w:t>
            </w:r>
          </w:p>
        </w:tc>
      </w:tr>
      <w:tr>
        <w:trPr>
          <w:cantSplit/>
        </w:trPr>
        <w:tc>
          <w:tcPr/>
          <w:p>
            <w:pPr>
              <w:pStyle w:val="Compact"/>
              <w:jc w:val="left"/>
            </w:pPr>
            <w:r>
              <w:t xml:space="preserve">16</w:t>
            </w:r>
          </w:p>
        </w:tc>
        <w:tc>
          <w:tcPr/>
          <w:p>
            <w:pPr>
              <w:pStyle w:val="Compact"/>
              <w:jc w:val="left"/>
            </w:pPr>
            <w:r>
              <w:t xml:space="preserve">Systems</w:t>
            </w:r>
          </w:p>
        </w:tc>
        <w:tc>
          <w:tcPr/>
          <w:p>
            <w:pPr>
              <w:pStyle w:val="Compact"/>
              <w:jc w:val="left"/>
            </w:pPr>
            <w:r>
              <w:t xml:space="preserve">Journal</w:t>
            </w:r>
          </w:p>
        </w:tc>
        <w:tc>
          <w:tcPr/>
          <w:p>
            <w:pPr>
              <w:pStyle w:val="Compact"/>
              <w:jc w:val="left"/>
            </w:pPr>
            <w:r>
              <w:t xml:space="preserve">S13</w:t>
            </w:r>
          </w:p>
        </w:tc>
      </w:tr>
      <w:tr>
        <w:trPr>
          <w:cantSplit/>
        </w:trPr>
        <w:tc>
          <w:tcPr/>
          <w:p>
            <w:pPr>
              <w:pStyle w:val="Compact"/>
              <w:jc w:val="left"/>
            </w:pPr>
            <w:r>
              <w:t xml:space="preserve">17</w:t>
            </w:r>
          </w:p>
        </w:tc>
        <w:tc>
          <w:tcPr/>
          <w:p>
            <w:pPr>
              <w:pStyle w:val="Compact"/>
              <w:jc w:val="left"/>
            </w:pPr>
            <w:r>
              <w:t xml:space="preserve">Cryptography</w:t>
            </w:r>
          </w:p>
        </w:tc>
        <w:tc>
          <w:tcPr/>
          <w:p>
            <w:pPr>
              <w:pStyle w:val="Compact"/>
              <w:jc w:val="left"/>
            </w:pPr>
            <w:r>
              <w:t xml:space="preserve">Journal</w:t>
            </w:r>
          </w:p>
        </w:tc>
        <w:tc>
          <w:tcPr/>
          <w:p>
            <w:pPr>
              <w:pStyle w:val="Compact"/>
              <w:jc w:val="left"/>
            </w:pPr>
            <w:r>
              <w:t xml:space="preserve">S23</w:t>
            </w:r>
          </w:p>
        </w:tc>
      </w:tr>
      <w:tr>
        <w:trPr>
          <w:cantSplit/>
        </w:trPr>
        <w:tc>
          <w:tcPr/>
          <w:p>
            <w:pPr>
              <w:pStyle w:val="Compact"/>
              <w:jc w:val="left"/>
            </w:pPr>
            <w:r>
              <w:t xml:space="preserve">18</w:t>
            </w:r>
          </w:p>
        </w:tc>
        <w:tc>
          <w:tcPr/>
          <w:p>
            <w:pPr>
              <w:pStyle w:val="Compact"/>
              <w:jc w:val="left"/>
            </w:pPr>
            <w:r>
              <w:t xml:space="preserve">IoT</w:t>
            </w:r>
          </w:p>
        </w:tc>
        <w:tc>
          <w:tcPr/>
          <w:p>
            <w:pPr>
              <w:pStyle w:val="Compact"/>
              <w:jc w:val="left"/>
            </w:pPr>
            <w:r>
              <w:t xml:space="preserve">Journal</w:t>
            </w:r>
          </w:p>
        </w:tc>
        <w:tc>
          <w:tcPr/>
          <w:p>
            <w:pPr>
              <w:pStyle w:val="Compact"/>
              <w:jc w:val="left"/>
            </w:pPr>
            <w:r>
              <w:t xml:space="preserve">S18</w:t>
            </w:r>
          </w:p>
        </w:tc>
      </w:tr>
      <w:tr>
        <w:trPr>
          <w:cantSplit/>
        </w:trPr>
        <w:tc>
          <w:tcPr/>
          <w:p>
            <w:pPr>
              <w:pStyle w:val="Compact"/>
              <w:jc w:val="left"/>
            </w:pPr>
            <w:r>
              <w:t xml:space="preserve">19</w:t>
            </w:r>
          </w:p>
        </w:tc>
        <w:tc>
          <w:tcPr/>
          <w:p>
            <w:pPr>
              <w:pStyle w:val="Compact"/>
              <w:jc w:val="left"/>
            </w:pPr>
            <w:r>
              <w:t xml:space="preserve">Computer Networks and Communications</w:t>
            </w:r>
          </w:p>
        </w:tc>
        <w:tc>
          <w:tcPr/>
          <w:p>
            <w:pPr>
              <w:pStyle w:val="Compact"/>
              <w:jc w:val="left"/>
            </w:pPr>
            <w:r>
              <w:t xml:space="preserve">Journal</w:t>
            </w:r>
          </w:p>
        </w:tc>
        <w:tc>
          <w:tcPr/>
          <w:p>
            <w:pPr>
              <w:pStyle w:val="Compact"/>
              <w:jc w:val="left"/>
            </w:pPr>
            <w:r>
              <w:t xml:space="preserve">S19</w:t>
            </w:r>
          </w:p>
        </w:tc>
      </w:tr>
      <w:tr>
        <w:trPr>
          <w:cantSplit/>
        </w:trPr>
        <w:tc>
          <w:tcPr/>
          <w:p>
            <w:pPr>
              <w:pStyle w:val="Compact"/>
              <w:jc w:val="left"/>
            </w:pPr>
            <w:r>
              <w:t xml:space="preserve">20</w:t>
            </w:r>
          </w:p>
        </w:tc>
        <w:tc>
          <w:tcPr/>
          <w:p>
            <w:pPr>
              <w:pStyle w:val="Compact"/>
              <w:jc w:val="left"/>
            </w:pPr>
            <w:r>
              <w:t xml:space="preserve">BMC Nursing</w:t>
            </w:r>
          </w:p>
        </w:tc>
        <w:tc>
          <w:tcPr/>
          <w:p>
            <w:pPr>
              <w:pStyle w:val="Compact"/>
              <w:jc w:val="left"/>
            </w:pPr>
            <w:r>
              <w:t xml:space="preserve">Journal</w:t>
            </w:r>
          </w:p>
        </w:tc>
        <w:tc>
          <w:tcPr/>
          <w:p>
            <w:pPr>
              <w:pStyle w:val="Compact"/>
              <w:jc w:val="left"/>
            </w:pPr>
            <w:r>
              <w:t xml:space="preserve">S1</w:t>
            </w:r>
          </w:p>
        </w:tc>
      </w:tr>
      <w:tr>
        <w:trPr>
          <w:cantSplit/>
        </w:trPr>
        <w:tc>
          <w:tcPr/>
          <w:p>
            <w:pPr>
              <w:pStyle w:val="Compact"/>
              <w:jc w:val="left"/>
            </w:pPr>
            <w:r>
              <w:t xml:space="preserve">21</w:t>
            </w:r>
          </w:p>
        </w:tc>
        <w:tc>
          <w:tcPr/>
          <w:p>
            <w:pPr>
              <w:pStyle w:val="Compact"/>
              <w:jc w:val="left"/>
            </w:pPr>
            <w:r>
              <w:t xml:space="preserve">Journal of Digital Health</w:t>
            </w:r>
          </w:p>
        </w:tc>
        <w:tc>
          <w:tcPr/>
          <w:p>
            <w:pPr>
              <w:pStyle w:val="Compact"/>
              <w:jc w:val="left"/>
            </w:pPr>
            <w:r>
              <w:t xml:space="preserve">Journal</w:t>
            </w:r>
          </w:p>
        </w:tc>
        <w:tc>
          <w:tcPr/>
          <w:p>
            <w:pPr>
              <w:pStyle w:val="Compact"/>
              <w:jc w:val="left"/>
            </w:pPr>
            <w:r>
              <w:t xml:space="preserve">S5</w:t>
            </w:r>
          </w:p>
        </w:tc>
      </w:tr>
      <w:tr>
        <w:trPr>
          <w:cantSplit/>
        </w:trPr>
        <w:tc>
          <w:tcPr/>
          <w:p>
            <w:pPr>
              <w:pStyle w:val="Compact"/>
              <w:jc w:val="left"/>
            </w:pPr>
            <w:r>
              <w:t xml:space="preserve">22</w:t>
            </w:r>
          </w:p>
        </w:tc>
        <w:tc>
          <w:tcPr/>
          <w:p>
            <w:pPr>
              <w:pStyle w:val="Compact"/>
              <w:jc w:val="left"/>
            </w:pPr>
            <w:r>
              <w:t xml:space="preserve">JMIR Medical Informatics</w:t>
            </w:r>
          </w:p>
        </w:tc>
        <w:tc>
          <w:tcPr/>
          <w:p>
            <w:pPr>
              <w:pStyle w:val="Compact"/>
              <w:jc w:val="left"/>
            </w:pPr>
            <w:r>
              <w:t xml:space="preserve">Journal</w:t>
            </w:r>
          </w:p>
        </w:tc>
        <w:tc>
          <w:tcPr/>
          <w:p>
            <w:pPr>
              <w:pStyle w:val="Compact"/>
              <w:jc w:val="left"/>
            </w:pPr>
            <w:r>
              <w:t xml:space="preserve">S7</w:t>
            </w:r>
          </w:p>
        </w:tc>
      </w:tr>
      <w:tr>
        <w:trPr>
          <w:cantSplit/>
        </w:trPr>
        <w:tc>
          <w:tcPr/>
          <w:p>
            <w:pPr>
              <w:pStyle w:val="Compact"/>
              <w:jc w:val="left"/>
            </w:pPr>
            <w:r>
              <w:t xml:space="preserve">23</w:t>
            </w:r>
          </w:p>
        </w:tc>
        <w:tc>
          <w:tcPr/>
          <w:p>
            <w:pPr>
              <w:pStyle w:val="Compact"/>
              <w:jc w:val="left"/>
            </w:pPr>
            <w:r>
              <w:t xml:space="preserve">European Journal of Health Law</w:t>
            </w:r>
          </w:p>
        </w:tc>
        <w:tc>
          <w:tcPr/>
          <w:p>
            <w:pPr>
              <w:pStyle w:val="Compact"/>
              <w:jc w:val="left"/>
            </w:pPr>
            <w:r>
              <w:t xml:space="preserve">Journal</w:t>
            </w:r>
          </w:p>
        </w:tc>
        <w:tc>
          <w:tcPr/>
          <w:p>
            <w:pPr>
              <w:pStyle w:val="Compact"/>
              <w:jc w:val="left"/>
            </w:pPr>
            <w:r>
              <w:t xml:space="preserve">S4</w:t>
            </w:r>
          </w:p>
        </w:tc>
      </w:tr>
      <w:tr>
        <w:trPr>
          <w:cantSplit/>
        </w:trPr>
        <w:tc>
          <w:tcPr/>
          <w:p>
            <w:pPr>
              <w:pStyle w:val="Compact"/>
              <w:jc w:val="left"/>
            </w:pPr>
            <w:r>
              <w:t xml:space="preserve">24</w:t>
            </w:r>
          </w:p>
        </w:tc>
        <w:tc>
          <w:tcPr/>
          <w:p>
            <w:pPr>
              <w:pStyle w:val="Compact"/>
              <w:jc w:val="left"/>
            </w:pPr>
            <w:r>
              <w:t xml:space="preserve">Pediatrics</w:t>
            </w:r>
          </w:p>
        </w:tc>
        <w:tc>
          <w:tcPr/>
          <w:p>
            <w:pPr>
              <w:pStyle w:val="Compact"/>
              <w:jc w:val="left"/>
            </w:pPr>
            <w:r>
              <w:t xml:space="preserve">Journal</w:t>
            </w:r>
          </w:p>
        </w:tc>
        <w:tc>
          <w:tcPr/>
          <w:p>
            <w:pPr>
              <w:pStyle w:val="Compact"/>
              <w:jc w:val="left"/>
            </w:pPr>
            <w:r>
              <w:t xml:space="preserve">S6</w:t>
            </w:r>
          </w:p>
        </w:tc>
      </w:tr>
      <w:tr>
        <w:trPr>
          <w:cantSplit/>
        </w:trPr>
        <w:tc>
          <w:tcPr/>
          <w:p>
            <w:pPr>
              <w:pStyle w:val="Compact"/>
              <w:jc w:val="left"/>
            </w:pPr>
            <w:r>
              <w:t xml:space="preserve">25</w:t>
            </w:r>
          </w:p>
        </w:tc>
        <w:tc>
          <w:tcPr/>
          <w:p>
            <w:pPr>
              <w:pStyle w:val="Compact"/>
              <w:jc w:val="left"/>
            </w:pPr>
            <w:r>
              <w:t xml:space="preserve">npj Digital Medicine</w:t>
            </w:r>
          </w:p>
        </w:tc>
        <w:tc>
          <w:tcPr/>
          <w:p>
            <w:pPr>
              <w:pStyle w:val="Compact"/>
              <w:jc w:val="left"/>
            </w:pPr>
            <w:r>
              <w:t xml:space="preserve">Journal</w:t>
            </w:r>
          </w:p>
        </w:tc>
        <w:tc>
          <w:tcPr/>
          <w:p>
            <w:pPr>
              <w:pStyle w:val="Compact"/>
              <w:jc w:val="left"/>
            </w:pPr>
            <w:r>
              <w:t xml:space="preserve">S9</w:t>
            </w:r>
          </w:p>
        </w:tc>
      </w:tr>
      <w:tr>
        <w:trPr>
          <w:cantSplit/>
        </w:trPr>
        <w:tc>
          <w:tcPr/>
          <w:p>
            <w:pPr>
              <w:pStyle w:val="Compact"/>
              <w:jc w:val="left"/>
            </w:pPr>
            <w:r>
              <w:t xml:space="preserve">26</w:t>
            </w:r>
          </w:p>
        </w:tc>
        <w:tc>
          <w:tcPr/>
          <w:p>
            <w:pPr>
              <w:pStyle w:val="Compact"/>
              <w:jc w:val="left"/>
            </w:pPr>
            <w:r>
              <w:t xml:space="preserve">Heliyon</w:t>
            </w:r>
          </w:p>
        </w:tc>
        <w:tc>
          <w:tcPr/>
          <w:p>
            <w:pPr>
              <w:pStyle w:val="Compact"/>
              <w:jc w:val="left"/>
            </w:pPr>
            <w:r>
              <w:t xml:space="preserve">Journal</w:t>
            </w:r>
          </w:p>
        </w:tc>
        <w:tc>
          <w:tcPr/>
          <w:p>
            <w:pPr>
              <w:pStyle w:val="Compact"/>
              <w:jc w:val="left"/>
            </w:pPr>
            <w:r>
              <w:t xml:space="preserve">S31</w:t>
            </w:r>
          </w:p>
        </w:tc>
      </w:tr>
      <w:tr>
        <w:trPr>
          <w:cantSplit/>
        </w:trPr>
        <w:tc>
          <w:tcPr/>
          <w:p>
            <w:pPr>
              <w:pStyle w:val="Compact"/>
              <w:jc w:val="left"/>
            </w:pPr>
            <w:r>
              <w:t xml:space="preserve">27</w:t>
            </w:r>
          </w:p>
        </w:tc>
        <w:tc>
          <w:tcPr/>
          <w:p>
            <w:pPr>
              <w:pStyle w:val="Compact"/>
              <w:jc w:val="left"/>
            </w:pPr>
            <w:r>
              <w:t xml:space="preserve">PeerJ Computer Science</w:t>
            </w:r>
          </w:p>
        </w:tc>
        <w:tc>
          <w:tcPr/>
          <w:p>
            <w:pPr>
              <w:pStyle w:val="Compact"/>
              <w:jc w:val="left"/>
            </w:pPr>
            <w:r>
              <w:t xml:space="preserve">Journal</w:t>
            </w:r>
          </w:p>
        </w:tc>
        <w:tc>
          <w:tcPr/>
          <w:p>
            <w:pPr>
              <w:pStyle w:val="Compact"/>
              <w:jc w:val="left"/>
            </w:pPr>
            <w:r>
              <w:t xml:space="preserve">S32</w:t>
            </w:r>
          </w:p>
        </w:tc>
      </w:tr>
      <w:tr>
        <w:trPr>
          <w:cantSplit/>
        </w:trPr>
        <w:tc>
          <w:tcPr/>
          <w:p>
            <w:pPr>
              <w:pStyle w:val="Compact"/>
              <w:jc w:val="left"/>
            </w:pPr>
            <w:r>
              <w:t xml:space="preserve">28</w:t>
            </w:r>
          </w:p>
        </w:tc>
        <w:tc>
          <w:tcPr/>
          <w:p>
            <w:pPr>
              <w:pStyle w:val="Compact"/>
              <w:jc w:val="left"/>
            </w:pPr>
            <w:r>
              <w:t xml:space="preserve">Wireless Networks</w:t>
            </w:r>
          </w:p>
        </w:tc>
        <w:tc>
          <w:tcPr/>
          <w:p>
            <w:pPr>
              <w:pStyle w:val="Compact"/>
              <w:jc w:val="left"/>
            </w:pPr>
            <w:r>
              <w:t xml:space="preserve">Journal</w:t>
            </w:r>
          </w:p>
        </w:tc>
        <w:tc>
          <w:tcPr/>
          <w:p>
            <w:pPr>
              <w:pStyle w:val="Compact"/>
              <w:jc w:val="left"/>
            </w:pPr>
            <w:r>
              <w:t xml:space="preserve">S25</w:t>
            </w:r>
          </w:p>
        </w:tc>
      </w:tr>
      <w:tr>
        <w:trPr>
          <w:cantSplit/>
        </w:trPr>
        <w:tc>
          <w:tcPr/>
          <w:p>
            <w:pPr>
              <w:pStyle w:val="Compact"/>
              <w:jc w:val="left"/>
            </w:pPr>
            <w:r>
              <w:t xml:space="preserve">29</w:t>
            </w:r>
          </w:p>
        </w:tc>
        <w:tc>
          <w:tcPr/>
          <w:p>
            <w:pPr>
              <w:pStyle w:val="Compact"/>
              <w:jc w:val="left"/>
            </w:pPr>
            <w:r>
              <w:t xml:space="preserve">IFIP International Conference on Distributed Applications and Interoperable Systems (DAIS)</w:t>
            </w:r>
          </w:p>
        </w:tc>
        <w:tc>
          <w:tcPr/>
          <w:p>
            <w:pPr>
              <w:pStyle w:val="Compact"/>
              <w:jc w:val="left"/>
            </w:pPr>
            <w:r>
              <w:t xml:space="preserve">Conference</w:t>
            </w:r>
          </w:p>
        </w:tc>
        <w:tc>
          <w:tcPr/>
          <w:p>
            <w:pPr>
              <w:pStyle w:val="Compact"/>
              <w:jc w:val="left"/>
            </w:pPr>
            <w:r>
              <w:t xml:space="preserve">S33</w:t>
            </w:r>
          </w:p>
        </w:tc>
      </w:tr>
    </w:tbl>
    <w:bookmarkEnd w:id="26"/>
    <w:bookmarkStart w:id="27" w:name="X87f2157b1356acc42089dadf522cb794d6b8b71"/>
    <w:p>
      <w:pPr>
        <w:pStyle w:val="Heading3"/>
      </w:pPr>
      <w:r>
        <w:t xml:space="preserve"> </w:t>
      </w:r>
      <w:r>
        <w:t xml:space="preserve">2.3.4</w:t>
      </w:r>
      <w:r>
        <w:t xml:space="preserve"> </w:t>
      </w:r>
      <w:r>
        <w:t xml:space="preserve"> </w:t>
      </w:r>
      <w:r>
        <w:t xml:space="preserve">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 four studies from outside the healthcare domain were retained because the mechanism they contribute transfers directly to healthcare authorisation: decentralised trust in multi-stakeholder data sharing [1], DID/VC-based privacy-preserving authentication [24], and decentralised identity and access control for constrained devices [15, 16]. Studies whose subject matter lies outside healthcare data sharing, consent, identity or access control were excluded at the full-text stage as scope mismatches (Figure 2.2). Two survey studies of stakeholder attitudes and intentions towards health-data sharing [12, 14] are cited as background in Chapter 1 but were not retained in the review set, because they do not propose, implement or evaluate an approach (inclusion criterion 3). 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 as permitted in Section 2.3.3.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odyText"/>
      </w:pPr>
      <w:r>
        <w:t xml:space="preserve">The stages of evaluating and selecting the relevant papers for the SLR are summarised in Table 2.2.</w:t>
      </w:r>
    </w:p>
    <w:p>
      <w:pPr>
        <w:pStyle w:val="TableCaption"/>
      </w:pPr>
      <w: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371"/>
        <w:gridCol w:w="2598"/>
        <w:gridCol w:w="3836"/>
        <w:gridCol w:w="111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Method</w:t>
            </w:r>
          </w:p>
        </w:tc>
        <w:tc>
          <w:tcPr>
            <w:tcBorders>
              <w:bottom w:val="single" w:sz="8" w:space="0" w:color="000000"/>
            </w:tcBorders>
            <w:shd w:val="clear" w:color="auto" w:fill="E7E6E6"/>
            <w:vAlign w:val="center"/>
          </w:tcPr>
          <w:p>
            <w:pPr>
              <w:pStyle w:val="Compact"/>
              <w:jc w:val="left"/>
            </w:pPr>
            <w:r>
              <w:rPr>
                <w:b/>
                <w:bCs/>
              </w:rPr>
              <w:t xml:space="preserve">Assessment criterion</w:t>
            </w:r>
          </w:p>
        </w:tc>
        <w:tc>
          <w:tcPr>
            <w:tcBorders>
              <w:bottom w:val="single" w:sz="8" w:space="0" w:color="000000"/>
            </w:tcBorders>
            <w:shd w:val="clear" w:color="auto" w:fill="E7E6E6"/>
            <w:vAlign w:val="center"/>
          </w:tcPr>
          <w:p>
            <w:pPr>
              <w:pStyle w:val="Compact"/>
              <w:jc w:val="left"/>
            </w:pPr>
            <w:r>
              <w:rPr>
                <w:b/>
                <w:bCs/>
              </w:rPr>
              <w:t xml:space="preserve">Records</w:t>
            </w:r>
          </w:p>
        </w:tc>
      </w:tr>
      <w:tr>
        <w:trPr>
          <w:cantSplit/>
        </w:trPr>
        <w:tc>
          <w:tcPr/>
          <w:p>
            <w:pPr>
              <w:pStyle w:val="Compact"/>
              <w:jc w:val="left"/>
            </w:pPr>
            <w:r>
              <w:t xml:space="preserve">1st</w:t>
            </w:r>
          </w:p>
        </w:tc>
        <w:tc>
          <w:tcPr/>
          <w:p>
            <w:pPr>
              <w:pStyle w:val="Compact"/>
              <w:jc w:val="left"/>
            </w:pPr>
            <w:r>
              <w:t xml:space="preserve">Identify the related records in the seven databases</w:t>
            </w:r>
          </w:p>
        </w:tc>
        <w:tc>
          <w:tcPr/>
          <w:p>
            <w:pPr>
              <w:pStyle w:val="Compact"/>
              <w:jc w:val="left"/>
            </w:pPr>
            <w:r>
              <w:t xml:space="preserve">Search string of Figure 2.1; publication year 2022–2026; English</w:t>
            </w:r>
          </w:p>
        </w:tc>
        <w:tc>
          <w:tcPr/>
          <w:p>
            <w:pPr>
              <w:pStyle w:val="Compact"/>
              <w:jc w:val="left"/>
            </w:pPr>
            <w:r>
              <w:t xml:space="preserve">125 identified</w:t>
            </w:r>
          </w:p>
        </w:tc>
      </w:tr>
      <w:tr>
        <w:trPr>
          <w:cantSplit/>
        </w:trPr>
        <w:tc>
          <w:tcPr/>
          <w:p>
            <w:pPr>
              <w:pStyle w:val="Compact"/>
              <w:jc w:val="left"/>
            </w:pPr>
            <w:r>
              <w:t xml:space="preserve">2nd</w:t>
            </w:r>
          </w:p>
        </w:tc>
        <w:tc>
          <w:tcPr/>
          <w:p>
            <w:pPr>
              <w:pStyle w:val="Compact"/>
              <w:jc w:val="left"/>
            </w:pPr>
            <w:r>
              <w:t xml:space="preserve">Remove duplicates and records flagged by automation tools</w:t>
            </w:r>
          </w:p>
        </w:tc>
        <w:tc>
          <w:tcPr/>
          <w:p>
            <w:pPr>
              <w:pStyle w:val="Compact"/>
              <w:jc w:val="left"/>
            </w:pPr>
            <w:r>
              <w:t xml:space="preserve">Same DOI, title and authors; automation tools mark the record ineligible</w:t>
            </w:r>
          </w:p>
        </w:tc>
        <w:tc>
          <w:tcPr/>
          <w:p>
            <w:pPr>
              <w:pStyle w:val="Compact"/>
              <w:jc w:val="left"/>
            </w:pPr>
            <w:r>
              <w:t xml:space="preserve">42 removed; 83 screened</w:t>
            </w:r>
          </w:p>
        </w:tc>
      </w:tr>
      <w:tr>
        <w:trPr>
          <w:cantSplit/>
        </w:trPr>
        <w:tc>
          <w:tcPr/>
          <w:p>
            <w:pPr>
              <w:pStyle w:val="Compact"/>
              <w:jc w:val="left"/>
            </w:pPr>
            <w:r>
              <w:t xml:space="preserve">3rd</w:t>
            </w:r>
          </w:p>
        </w:tc>
        <w:tc>
          <w:tcPr/>
          <w:p>
            <w:pPr>
              <w:pStyle w:val="Compact"/>
              <w:jc w:val="left"/>
            </w:pPr>
            <w:r>
              <w:t xml:space="preserve">Screen titles and abstracts</w:t>
            </w:r>
          </w:p>
        </w:tc>
        <w:tc>
          <w:tcPr/>
          <w:p>
            <w:pPr>
              <w:pStyle w:val="Compact"/>
              <w:jc w:val="left"/>
            </w:pPr>
            <w:r>
              <w:t xml:space="preserve">Exclude if unrelated to healthcare data sharing, consent, identity or access control</w:t>
            </w:r>
          </w:p>
        </w:tc>
        <w:tc>
          <w:tcPr/>
          <w:p>
            <w:pPr>
              <w:pStyle w:val="Compact"/>
              <w:jc w:val="left"/>
            </w:pPr>
            <w:r>
              <w:t xml:space="preserve">40 excluded; 43 sought</w:t>
            </w:r>
          </w:p>
        </w:tc>
      </w:tr>
      <w:tr>
        <w:trPr>
          <w:cantSplit/>
        </w:trPr>
        <w:tc>
          <w:tcPr/>
          <w:p>
            <w:pPr>
              <w:pStyle w:val="Compact"/>
              <w:jc w:val="left"/>
            </w:pPr>
            <w:r>
              <w:t xml:space="preserve">4th</w:t>
            </w:r>
          </w:p>
        </w:tc>
        <w:tc>
          <w:tcPr/>
          <w:p>
            <w:pPr>
              <w:pStyle w:val="Compact"/>
              <w:jc w:val="left"/>
            </w:pPr>
            <w:r>
              <w:t xml:space="preserve">Retrieve the full text</w:t>
            </w:r>
          </w:p>
        </w:tc>
        <w:tc>
          <w:tcPr/>
          <w:p>
            <w:pPr>
              <w:pStyle w:val="Compact"/>
              <w:jc w:val="left"/>
            </w:pPr>
            <w:r>
              <w:t xml:space="preserve">Exclude if the full text is inaccessible</w:t>
            </w:r>
          </w:p>
        </w:tc>
        <w:tc>
          <w:tcPr/>
          <w:p>
            <w:pPr>
              <w:pStyle w:val="Compact"/>
              <w:jc w:val="left"/>
            </w:pPr>
            <w:r>
              <w:t xml:space="preserve">3 not retrieved; 40 assessed</w:t>
            </w:r>
          </w:p>
        </w:tc>
      </w:tr>
      <w:tr>
        <w:trPr>
          <w:cantSplit/>
        </w:trPr>
        <w:tc>
          <w:tcPr/>
          <w:p>
            <w:pPr>
              <w:pStyle w:val="Compact"/>
              <w:jc w:val="left"/>
            </w:pPr>
            <w:r>
              <w:t xml:space="preserve">5th</w:t>
            </w:r>
          </w:p>
        </w:tc>
        <w:tc>
          <w:tcPr/>
          <w:p>
            <w:pPr>
              <w:pStyle w:val="Compact"/>
              <w:jc w:val="left"/>
            </w:pPr>
            <w:r>
              <w:t xml:space="preserve">Assess the full text against the inclusion and exclusion criteria and the quality criteria QA1–QA5</w:t>
            </w:r>
          </w:p>
        </w:tc>
        <w:tc>
          <w:tcPr/>
          <w:p>
            <w:pPr>
              <w:pStyle w:val="Compact"/>
              <w:jc w:val="left"/>
            </w:pPr>
            <w:r>
              <w:t xml:space="preserve">Exclude if technical or architectural detail is insufficient (score below 2.5), or if the subject matter is outside the review scope</w:t>
            </w:r>
          </w:p>
        </w:tc>
        <w:tc>
          <w:tcPr/>
          <w:p>
            <w:pPr>
              <w:pStyle w:val="Compact"/>
              <w:jc w:val="left"/>
            </w:pPr>
            <w:r>
              <w:t xml:space="preserve">7 excluded; 33 included</w:t>
            </w:r>
          </w:p>
        </w:tc>
      </w:tr>
    </w:tbl>
    <w:bookmarkEnd w:id="27"/>
    <w:bookmarkStart w:id="31" w:name="Xd7a82ff4baa7a69a0bd33db9f9a267ef3c07ad5"/>
    <w:p>
      <w:pPr>
        <w:pStyle w:val="Heading3"/>
      </w:pPr>
      <w:r>
        <w:t xml:space="preserve"> </w:t>
      </w:r>
      <w:r>
        <w:t xml:space="preserve">2.3.5</w:t>
      </w:r>
      <w:r>
        <w:t xml:space="preserve"> </w:t>
      </w:r>
      <w:r>
        <w:t xml:space="preserve"> </w:t>
      </w:r>
      <w:r>
        <w:t xml:space="preserve">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32144"/>
            <wp:effectExtent b="0" l="0" r="0" t="0"/>
            <wp:docPr descr="Figure 2.2: PRISMA study selection summary" title="" id="29" name="Picture"/>
            <a:graphic>
              <a:graphicData uri="http://schemas.openxmlformats.org/drawingml/2006/picture">
                <pic:pic>
                  <pic:nvPicPr>
                    <pic:cNvPr descr="media_col/fig02.png" id="30" name="Picture"/>
                    <pic:cNvPicPr>
                      <a:picLocks noChangeArrowheads="1" noChangeAspect="1"/>
                    </pic:cNvPicPr>
                  </pic:nvPicPr>
                  <pic:blipFill>
                    <a:blip r:embed="rId28"/>
                    <a:stretch>
                      <a:fillRect/>
                    </a:stretch>
                  </pic:blipFill>
                  <pic:spPr bwMode="auto">
                    <a:xfrm>
                      <a:off x="0" y="0"/>
                      <a:ext cx="5486400" cy="2932144"/>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t xml:space="preserve">Figure 2.2 presents the PRISMA flow diagram for this review, prepared following PRISMA 2020 [39], which summarises the identification, screening, eligibility, and inclusion stages of the SLR. The final number of included studies (n = 33) was derived after completing the screening, eligibility and quality assessment across the identified literature base.</w:t>
      </w:r>
    </w:p>
    <w:p>
      <w:pPr>
        <w:pStyle w:val="BodyText"/>
      </w:pPr>
      <w:r>
        <w:rPr>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2.2). The 125 records identified comprised IEEE Xplore (n = 31), ACM Digital Library (n = 14), ScienceDirect (n = 23), SpringerLink (n = 18), PubMed (n = 12), Scopus (n = 17) and Web of Science (n = 10).</w:t>
      </w:r>
    </w:p>
    <w:bookmarkEnd w:id="31"/>
    <w:bookmarkStart w:id="32" w:name="X25280fe26ef60600cfdb60dc4ea4fc7d14be763"/>
    <w:p>
      <w:pPr>
        <w:pStyle w:val="Heading3"/>
      </w:pPr>
      <w:r>
        <w:t xml:space="preserve"> </w:t>
      </w:r>
      <w:r>
        <w:t xml:space="preserve">2.3.6</w:t>
      </w:r>
      <w:r>
        <w:t xml:space="preserve"> </w:t>
      </w:r>
      <w:r>
        <w:t xml:space="preserve"> </w:t>
      </w:r>
      <w:r>
        <w:t xml:space="preserve">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BodyText"/>
      </w:pPr>
      <w: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766"/>
        <w:gridCol w:w="1660"/>
        <w:gridCol w:w="3704"/>
        <w:gridCol w:w="178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Author(s), year</w:t>
            </w:r>
          </w:p>
        </w:tc>
        <w:tc>
          <w:tcPr>
            <w:tcBorders>
              <w:bottom w:val="single" w:sz="8" w:space="0" w:color="000000"/>
            </w:tcBorders>
            <w:shd w:val="clear" w:color="auto" w:fill="E7E6E6"/>
            <w:vAlign w:val="center"/>
          </w:tcPr>
          <w:p>
            <w:pPr>
              <w:pStyle w:val="Compact"/>
              <w:jc w:val="left"/>
            </w:pPr>
            <w:r>
              <w:rPr>
                <w:b/>
                <w:bCs/>
              </w:rPr>
              <w:t xml:space="preserve">Topic</w:t>
            </w:r>
          </w:p>
        </w:tc>
        <w:tc>
          <w:tcPr>
            <w:tcBorders>
              <w:bottom w:val="single" w:sz="8" w:space="0" w:color="000000"/>
            </w:tcBorders>
            <w:shd w:val="clear" w:color="auto" w:fill="E7E6E6"/>
            <w:vAlign w:val="center"/>
          </w:tcPr>
          <w:p>
            <w:pPr>
              <w:pStyle w:val="Compact"/>
              <w:jc w:val="left"/>
            </w:pPr>
            <w:r>
              <w:rPr>
                <w:b/>
                <w:bCs/>
              </w:rPr>
              <w:t xml:space="preserve">Category</w:t>
            </w:r>
          </w:p>
        </w:tc>
      </w:tr>
      <w:tr>
        <w:trPr>
          <w:cantSplit/>
        </w:trPr>
        <w:tc>
          <w:tcPr/>
          <w:p>
            <w:pPr>
              <w:pStyle w:val="Compact"/>
              <w:jc w:val="left"/>
            </w:pPr>
            <w:r>
              <w:t xml:space="preserve">S1</w:t>
            </w:r>
          </w:p>
        </w:tc>
        <w:tc>
          <w:tcPr/>
          <w:p>
            <w:pPr>
              <w:pStyle w:val="Compact"/>
              <w:jc w:val="left"/>
            </w:pPr>
            <w:r>
              <w:t xml:space="preserve">Ibrahim et al., 2024 [9]</w:t>
            </w:r>
          </w:p>
        </w:tc>
        <w:tc>
          <w:tcPr/>
          <w:p>
            <w:pPr>
              <w:pStyle w:val="Compact"/>
              <w:jc w:val="left"/>
            </w:pPr>
            <w:r>
              <w:t xml:space="preserve">Balancing confidentiality and care coordination: challenges in patient privacy</w:t>
            </w:r>
          </w:p>
        </w:tc>
        <w:tc>
          <w:tcPr/>
          <w:p>
            <w:pPr>
              <w:pStyle w:val="Compact"/>
              <w:jc w:val="left"/>
            </w:pPr>
            <w:r>
              <w:t xml:space="preserve">Healthcare consent and privacy governance</w:t>
            </w:r>
          </w:p>
        </w:tc>
      </w:tr>
      <w:tr>
        <w:trPr>
          <w:cantSplit/>
        </w:trPr>
        <w:tc>
          <w:tcPr/>
          <w:p>
            <w:pPr>
              <w:pStyle w:val="Compact"/>
              <w:jc w:val="left"/>
            </w:pPr>
            <w:r>
              <w:t xml:space="preserve">S2</w:t>
            </w:r>
          </w:p>
        </w:tc>
        <w:tc>
          <w:tcPr/>
          <w:p>
            <w:pPr>
              <w:pStyle w:val="Compact"/>
              <w:jc w:val="left"/>
            </w:pPr>
            <w:r>
              <w:t xml:space="preserve">Jesus and Pandit, 2022 [10]</w:t>
            </w:r>
          </w:p>
        </w:tc>
        <w:tc>
          <w:tcPr/>
          <w:p>
            <w:pPr>
              <w:pStyle w:val="Compact"/>
              <w:jc w:val="left"/>
            </w:pPr>
            <w:r>
              <w:t xml:space="preserve">Consent receipts for a usable and auditable web of personal data</w:t>
            </w:r>
          </w:p>
        </w:tc>
        <w:tc>
          <w:tcPr/>
          <w:p>
            <w:pPr>
              <w:pStyle w:val="Compact"/>
              <w:jc w:val="left"/>
            </w:pPr>
            <w:r>
              <w:t xml:space="preserve">Healthcare consent and privacy governance</w:t>
            </w:r>
          </w:p>
        </w:tc>
      </w:tr>
      <w:tr>
        <w:trPr>
          <w:cantSplit/>
        </w:trPr>
        <w:tc>
          <w:tcPr/>
          <w:p>
            <w:pPr>
              <w:pStyle w:val="Compact"/>
              <w:jc w:val="left"/>
            </w:pPr>
            <w:r>
              <w:t xml:space="preserve">S3</w:t>
            </w:r>
          </w:p>
        </w:tc>
        <w:tc>
          <w:tcPr/>
          <w:p>
            <w:pPr>
              <w:pStyle w:val="Compact"/>
              <w:jc w:val="left"/>
            </w:pPr>
            <w:r>
              <w:t xml:space="preserve">Khalid et al., 2023 [13]</w:t>
            </w:r>
          </w:p>
        </w:tc>
        <w:tc>
          <w:tcPr/>
          <w:p>
            <w:pPr>
              <w:pStyle w:val="Compact"/>
              <w:jc w:val="left"/>
            </w:pPr>
            <w:r>
              <w:t xml:space="preserve">Privacy-first paradigm for dynamic consent management systems</w:t>
            </w:r>
          </w:p>
        </w:tc>
        <w:tc>
          <w:tcPr/>
          <w:p>
            <w:pPr>
              <w:pStyle w:val="Compact"/>
              <w:jc w:val="left"/>
            </w:pPr>
            <w:r>
              <w:t xml:space="preserve">Healthcare consent and privacy governance</w:t>
            </w:r>
          </w:p>
        </w:tc>
      </w:tr>
      <w:tr>
        <w:trPr>
          <w:cantSplit/>
        </w:trPr>
        <w:tc>
          <w:tcPr/>
          <w:p>
            <w:pPr>
              <w:pStyle w:val="Compact"/>
              <w:jc w:val="left"/>
            </w:pPr>
            <w:r>
              <w:t xml:space="preserve">S4</w:t>
            </w:r>
          </w:p>
        </w:tc>
        <w:tc>
          <w:tcPr/>
          <w:p>
            <w:pPr>
              <w:pStyle w:val="Compact"/>
              <w:jc w:val="left"/>
            </w:pPr>
            <w:r>
              <w:t xml:space="preserve">McClelland and Harper, 2022 [19]</w:t>
            </w:r>
          </w:p>
        </w:tc>
        <w:tc>
          <w:tcPr/>
          <w:p>
            <w:pPr>
              <w:pStyle w:val="Compact"/>
              <w:jc w:val="left"/>
            </w:pPr>
            <w:r>
              <w:t xml:space="preserve">Information privacy in healthcare – the vital role of informed consent</w:t>
            </w:r>
          </w:p>
        </w:tc>
        <w:tc>
          <w:tcPr/>
          <w:p>
            <w:pPr>
              <w:pStyle w:val="Compact"/>
              <w:jc w:val="left"/>
            </w:pPr>
            <w:r>
              <w:t xml:space="preserve">Healthcare consent and privacy governance</w:t>
            </w:r>
          </w:p>
        </w:tc>
      </w:tr>
      <w:tr>
        <w:trPr>
          <w:cantSplit/>
        </w:trPr>
        <w:tc>
          <w:tcPr/>
          <w:p>
            <w:pPr>
              <w:pStyle w:val="Compact"/>
              <w:jc w:val="left"/>
            </w:pPr>
            <w:r>
              <w:t xml:space="preserve">S5</w:t>
            </w:r>
          </w:p>
        </w:tc>
        <w:tc>
          <w:tcPr/>
          <w:p>
            <w:pPr>
              <w:pStyle w:val="Compact"/>
              <w:jc w:val="left"/>
            </w:pPr>
            <w:r>
              <w:t xml:space="preserve">Narkhede et al., 2025 [21]</w:t>
            </w:r>
          </w:p>
        </w:tc>
        <w:tc>
          <w:tcPr/>
          <w:p>
            <w:pPr>
              <w:pStyle w:val="Compact"/>
              <w:jc w:val="left"/>
            </w:pPr>
            <w:r>
              <w:t xml:space="preserve">Enhancing patient autonomy in data ownership: privacy models and consent frameworks</w:t>
            </w:r>
          </w:p>
        </w:tc>
        <w:tc>
          <w:tcPr/>
          <w:p>
            <w:pPr>
              <w:pStyle w:val="Compact"/>
              <w:jc w:val="left"/>
            </w:pPr>
            <w:r>
              <w:t xml:space="preserve">Healthcare consent and privacy governance</w:t>
            </w:r>
          </w:p>
        </w:tc>
      </w:tr>
      <w:tr>
        <w:trPr>
          <w:cantSplit/>
        </w:trPr>
        <w:tc>
          <w:tcPr/>
          <w:p>
            <w:pPr>
              <w:pStyle w:val="Compact"/>
              <w:jc w:val="left"/>
            </w:pPr>
            <w:r>
              <w:t xml:space="preserve">S6</w:t>
            </w:r>
          </w:p>
        </w:tc>
        <w:tc>
          <w:tcPr/>
          <w:p>
            <w:pPr>
              <w:pStyle w:val="Compact"/>
              <w:jc w:val="left"/>
            </w:pPr>
            <w:r>
              <w:t xml:space="preserve">Webber et al., 2019 [31]</w:t>
            </w:r>
          </w:p>
        </w:tc>
        <w:tc>
          <w:tcPr/>
          <w:p>
            <w:pPr>
              <w:pStyle w:val="Compact"/>
              <w:jc w:val="left"/>
            </w:pPr>
            <w:r>
              <w:t xml:space="preserve">Electronic communication of the health record with paediatric patients and their guardians</w:t>
            </w:r>
          </w:p>
        </w:tc>
        <w:tc>
          <w:tcPr/>
          <w:p>
            <w:pPr>
              <w:pStyle w:val="Compact"/>
              <w:jc w:val="left"/>
            </w:pPr>
            <w:r>
              <w:t xml:space="preserve">Healthcare consent and privacy governance</w:t>
            </w:r>
          </w:p>
        </w:tc>
      </w:tr>
      <w:tr>
        <w:trPr>
          <w:cantSplit/>
        </w:trPr>
        <w:tc>
          <w:tcPr/>
          <w:p>
            <w:pPr>
              <w:pStyle w:val="Compact"/>
              <w:jc w:val="left"/>
            </w:pPr>
            <w:r>
              <w:t xml:space="preserve">S7</w:t>
            </w:r>
          </w:p>
        </w:tc>
        <w:tc>
          <w:tcPr/>
          <w:p>
            <w:pPr>
              <w:pStyle w:val="Compact"/>
              <w:jc w:val="left"/>
            </w:pPr>
            <w:r>
              <w:t xml:space="preserve">Phuyal et al., 2026 [25]</w:t>
            </w:r>
          </w:p>
        </w:tc>
        <w:tc>
          <w:tcPr/>
          <w:p>
            <w:pPr>
              <w:pStyle w:val="Compact"/>
              <w:jc w:val="left"/>
            </w:pPr>
            <w:r>
              <w:t xml:space="preserve">Blockchain-based dynamic and revocable consent for secondary health data use: systematic review</w:t>
            </w:r>
          </w:p>
        </w:tc>
        <w:tc>
          <w:tcPr/>
          <w:p>
            <w:pPr>
              <w:pStyle w:val="Compact"/>
              <w:jc w:val="left"/>
            </w:pPr>
            <w:r>
              <w:t xml:space="preserve">Healthcare consent and privacy governance</w:t>
            </w:r>
          </w:p>
        </w:tc>
      </w:tr>
      <w:tr>
        <w:trPr>
          <w:cantSplit/>
        </w:trPr>
        <w:tc>
          <w:tcPr/>
          <w:p>
            <w:pPr>
              <w:pStyle w:val="Compact"/>
              <w:jc w:val="left"/>
            </w:pPr>
            <w:r>
              <w:t xml:space="preserve">S8</w:t>
            </w:r>
          </w:p>
        </w:tc>
        <w:tc>
          <w:tcPr/>
          <w:p>
            <w:pPr>
              <w:pStyle w:val="Compact"/>
              <w:jc w:val="left"/>
            </w:pPr>
            <w:r>
              <w:t xml:space="preserve">Román et al., 2023 [26]</w:t>
            </w:r>
          </w:p>
        </w:tc>
        <w:tc>
          <w:tcPr/>
          <w:p>
            <w:pPr>
              <w:pStyle w:val="Compact"/>
              <w:jc w:val="left"/>
            </w:pPr>
            <w:r>
              <w:t xml:space="preserve">Blockchain-based service-oriented architecture for consent management, access control, and auditing</w:t>
            </w:r>
          </w:p>
        </w:tc>
        <w:tc>
          <w:tcPr/>
          <w:p>
            <w:pPr>
              <w:pStyle w:val="Compact"/>
              <w:jc w:val="left"/>
            </w:pPr>
            <w:r>
              <w:t xml:space="preserve">Healthcare consent and privacy governance</w:t>
            </w:r>
          </w:p>
        </w:tc>
      </w:tr>
      <w:tr>
        <w:trPr>
          <w:cantSplit/>
        </w:trPr>
        <w:tc>
          <w:tcPr/>
          <w:p>
            <w:pPr>
              <w:pStyle w:val="Compact"/>
              <w:jc w:val="left"/>
            </w:pPr>
            <w:r>
              <w:t xml:space="preserve">S9</w:t>
            </w:r>
          </w:p>
        </w:tc>
        <w:tc>
          <w:tcPr/>
          <w:p>
            <w:pPr>
              <w:pStyle w:val="Compact"/>
              <w:jc w:val="left"/>
            </w:pPr>
            <w:r>
              <w:t xml:space="preserve">Welzel et al., 2025 [32]</w:t>
            </w:r>
          </w:p>
        </w:tc>
        <w:tc>
          <w:tcPr/>
          <w:p>
            <w:pPr>
              <w:pStyle w:val="Compact"/>
              <w:jc w:val="left"/>
            </w:pPr>
            <w:r>
              <w:t xml:space="preserve">Enabling secure and self-determined health data sharing and consent management</w:t>
            </w:r>
          </w:p>
        </w:tc>
        <w:tc>
          <w:tcPr/>
          <w:p>
            <w:pPr>
              <w:pStyle w:val="Compact"/>
              <w:jc w:val="left"/>
            </w:pPr>
            <w:r>
              <w:t xml:space="preserve">Healthcare consent and privacy governance</w:t>
            </w:r>
          </w:p>
        </w:tc>
      </w:tr>
      <w:tr>
        <w:trPr>
          <w:cantSplit/>
        </w:trPr>
        <w:tc>
          <w:tcPr/>
          <w:p>
            <w:pPr>
              <w:pStyle w:val="Compact"/>
              <w:jc w:val="left"/>
            </w:pPr>
            <w:r>
              <w:t xml:space="preserve">S10</w:t>
            </w:r>
          </w:p>
        </w:tc>
        <w:tc>
          <w:tcPr/>
          <w:p>
            <w:pPr>
              <w:pStyle w:val="Compact"/>
              <w:jc w:val="left"/>
            </w:pPr>
            <w:r>
              <w:t xml:space="preserve">Al Mamun et al., 2022 [2]</w:t>
            </w:r>
          </w:p>
        </w:tc>
        <w:tc>
          <w:tcPr/>
          <w:p>
            <w:pPr>
              <w:pStyle w:val="Compact"/>
              <w:jc w:val="left"/>
            </w:pPr>
            <w:r>
              <w:t xml:space="preserve">Blockchain-based electronic health records management: a comprehensive review</w:t>
            </w:r>
          </w:p>
        </w:tc>
        <w:tc>
          <w:tcPr/>
          <w:p>
            <w:pPr>
              <w:pStyle w:val="Compact"/>
              <w:jc w:val="left"/>
            </w:pPr>
            <w:r>
              <w:t xml:space="preserve">Blockchain-based healthcare data governance</w:t>
            </w:r>
          </w:p>
        </w:tc>
      </w:tr>
      <w:tr>
        <w:trPr>
          <w:cantSplit/>
        </w:trPr>
        <w:tc>
          <w:tcPr/>
          <w:p>
            <w:pPr>
              <w:pStyle w:val="Compact"/>
              <w:jc w:val="left"/>
            </w:pPr>
            <w:r>
              <w:t xml:space="preserve">S11</w:t>
            </w:r>
          </w:p>
        </w:tc>
        <w:tc>
          <w:tcPr/>
          <w:p>
            <w:pPr>
              <w:pStyle w:val="Compact"/>
              <w:jc w:val="left"/>
            </w:pPr>
            <w:r>
              <w:t xml:space="preserve">Andrew et al., 2023 [3]</w:t>
            </w:r>
          </w:p>
        </w:tc>
        <w:tc>
          <w:tcPr/>
          <w:p>
            <w:pPr>
              <w:pStyle w:val="Compact"/>
              <w:jc w:val="left"/>
            </w:pPr>
            <w:r>
              <w:t xml:space="preserve">Blockchain for healthcare systems: architecture, security challenges, trends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S12</w:t>
            </w:r>
          </w:p>
        </w:tc>
        <w:tc>
          <w:tcPr/>
          <w:p>
            <w:pPr>
              <w:pStyle w:val="Compact"/>
              <w:jc w:val="left"/>
            </w:pPr>
            <w:r>
              <w:t xml:space="preserve">Arbabi et al., 2023 [4]</w:t>
            </w:r>
          </w:p>
        </w:tc>
        <w:tc>
          <w:tcPr/>
          <w:p>
            <w:pPr>
              <w:pStyle w:val="Compact"/>
              <w:jc w:val="left"/>
            </w:pPr>
            <w:r>
              <w:t xml:space="preserve">A survey on blockchain for healthcare: challenges, benefits,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S13</w:t>
            </w:r>
          </w:p>
        </w:tc>
        <w:tc>
          <w:tcPr/>
          <w:p>
            <w:pPr>
              <w:pStyle w:val="Compact"/>
              <w:jc w:val="left"/>
            </w:pPr>
            <w:r>
              <w:t xml:space="preserve">Ghosh et al., 2023 [8]</w:t>
            </w:r>
          </w:p>
        </w:tc>
        <w:tc>
          <w:tcPr/>
          <w:p>
            <w:pPr>
              <w:pStyle w:val="Compact"/>
              <w:jc w:val="left"/>
            </w:pPr>
            <w:r>
              <w:t xml:space="preserve">Blockchain application in healthcare systems: a review</w:t>
            </w:r>
          </w:p>
        </w:tc>
        <w:tc>
          <w:tcPr/>
          <w:p>
            <w:pPr>
              <w:pStyle w:val="Compact"/>
              <w:jc w:val="left"/>
            </w:pPr>
            <w:r>
              <w:t xml:space="preserve">Blockchain-based healthcare data governance</w:t>
            </w:r>
          </w:p>
        </w:tc>
      </w:tr>
      <w:tr>
        <w:trPr>
          <w:cantSplit/>
        </w:trPr>
        <w:tc>
          <w:tcPr/>
          <w:p>
            <w:pPr>
              <w:pStyle w:val="Compact"/>
              <w:jc w:val="left"/>
            </w:pPr>
            <w:r>
              <w:t xml:space="preserve">S14</w:t>
            </w:r>
          </w:p>
        </w:tc>
        <w:tc>
          <w:tcPr/>
          <w:p>
            <w:pPr>
              <w:pStyle w:val="Compact"/>
              <w:jc w:val="left"/>
            </w:pPr>
            <w:r>
              <w:t xml:space="preserve">Nguyen et al., 2025 [23]</w:t>
            </w:r>
          </w:p>
        </w:tc>
        <w:tc>
          <w:tcPr/>
          <w:p>
            <w:pPr>
              <w:pStyle w:val="Compact"/>
              <w:jc w:val="left"/>
            </w:pPr>
            <w:r>
              <w:t xml:space="preserve">Blockchain-empowered trustworthy data sharing: fundamentals, applications, and challenges</w:t>
            </w:r>
          </w:p>
        </w:tc>
        <w:tc>
          <w:tcPr/>
          <w:p>
            <w:pPr>
              <w:pStyle w:val="Compact"/>
              <w:jc w:val="left"/>
            </w:pPr>
            <w:r>
              <w:t xml:space="preserve">Blockchain-based healthcare data governance</w:t>
            </w:r>
          </w:p>
        </w:tc>
      </w:tr>
      <w:tr>
        <w:trPr>
          <w:cantSplit/>
        </w:trPr>
        <w:tc>
          <w:tcPr/>
          <w:p>
            <w:pPr>
              <w:pStyle w:val="Compact"/>
              <w:jc w:val="left"/>
            </w:pPr>
            <w:r>
              <w:t xml:space="preserve">S15</w:t>
            </w:r>
          </w:p>
        </w:tc>
        <w:tc>
          <w:tcPr/>
          <w:p>
            <w:pPr>
              <w:pStyle w:val="Compact"/>
              <w:jc w:val="left"/>
            </w:pPr>
            <w:r>
              <w:t xml:space="preserve">Theodorakopoulos et al., 2024 [29]</w:t>
            </w:r>
          </w:p>
        </w:tc>
        <w:tc>
          <w:tcPr/>
          <w:p>
            <w:pPr>
              <w:pStyle w:val="Compact"/>
              <w:jc w:val="left"/>
            </w:pPr>
            <w:r>
              <w:t xml:space="preserve">Enhancing decentralised decision-making with big data and blockchain technology</w:t>
            </w:r>
          </w:p>
        </w:tc>
        <w:tc>
          <w:tcPr/>
          <w:p>
            <w:pPr>
              <w:pStyle w:val="Compact"/>
              <w:jc w:val="left"/>
            </w:pPr>
            <w:r>
              <w:t xml:space="preserve">Blockchain-based healthcare data governance</w:t>
            </w:r>
          </w:p>
        </w:tc>
      </w:tr>
      <w:tr>
        <w:trPr>
          <w:cantSplit/>
        </w:trPr>
        <w:tc>
          <w:tcPr/>
          <w:p>
            <w:pPr>
              <w:pStyle w:val="Compact"/>
              <w:jc w:val="left"/>
            </w:pPr>
            <w:r>
              <w:t xml:space="preserve">S16</w:t>
            </w:r>
          </w:p>
        </w:tc>
        <w:tc>
          <w:tcPr/>
          <w:p>
            <w:pPr>
              <w:pStyle w:val="Compact"/>
              <w:jc w:val="left"/>
            </w:pPr>
            <w:r>
              <w:t xml:space="preserve">Deng et al., 2024 [6]</w:t>
            </w:r>
          </w:p>
        </w:tc>
        <w:tc>
          <w:tcPr/>
          <w:p>
            <w:pPr>
              <w:pStyle w:val="Compact"/>
              <w:jc w:val="left"/>
            </w:pPr>
            <w:r>
              <w:t xml:space="preserve">FutureDID: a fully decentralised identity system with multi-party verification</w:t>
            </w:r>
          </w:p>
        </w:tc>
        <w:tc>
          <w:tcPr/>
          <w:p>
            <w:pPr>
              <w:pStyle w:val="Compact"/>
              <w:jc w:val="left"/>
            </w:pPr>
            <w:r>
              <w:t xml:space="preserve">Decentralised identity and verifiable credentials</w:t>
            </w:r>
          </w:p>
        </w:tc>
      </w:tr>
      <w:tr>
        <w:trPr>
          <w:cantSplit/>
        </w:trPr>
        <w:tc>
          <w:tcPr/>
          <w:p>
            <w:pPr>
              <w:pStyle w:val="Compact"/>
              <w:jc w:val="left"/>
            </w:pPr>
            <w:r>
              <w:t xml:space="preserve">S17</w:t>
            </w:r>
          </w:p>
        </w:tc>
        <w:tc>
          <w:tcPr/>
          <w:p>
            <w:pPr>
              <w:pStyle w:val="Compact"/>
              <w:jc w:val="left"/>
            </w:pPr>
            <w:r>
              <w:t xml:space="preserve">Flamini et al., 2024 [7]</w:t>
            </w:r>
          </w:p>
        </w:tc>
        <w:tc>
          <w:tcPr/>
          <w:p>
            <w:pPr>
              <w:pStyle w:val="Compact"/>
              <w:jc w:val="left"/>
            </w:pPr>
            <w:r>
              <w:t xml:space="preserve">On cryptographic mechanisms for the selective disclosure of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S18</w:t>
            </w:r>
          </w:p>
        </w:tc>
        <w:tc>
          <w:tcPr/>
          <w:p>
            <w:pPr>
              <w:pStyle w:val="Compact"/>
              <w:jc w:val="left"/>
            </w:pPr>
            <w:r>
              <w:t xml:space="preserve">Khayer et al., 2025 [15]</w:t>
            </w:r>
          </w:p>
        </w:tc>
        <w:tc>
          <w:tcPr/>
          <w:p>
            <w:pPr>
              <w:pStyle w:val="Compact"/>
              <w:jc w:val="left"/>
            </w:pPr>
            <w:r>
              <w:t xml:space="preserve">Blockchain for secure IoT: identity management, access control, and trust mechanisms</w:t>
            </w:r>
          </w:p>
        </w:tc>
        <w:tc>
          <w:tcPr/>
          <w:p>
            <w:pPr>
              <w:pStyle w:val="Compact"/>
              <w:jc w:val="left"/>
            </w:pPr>
            <w:r>
              <w:t xml:space="preserve">Decentralised identity and verifiable credentials</w:t>
            </w:r>
          </w:p>
        </w:tc>
      </w:tr>
      <w:tr>
        <w:trPr>
          <w:cantSplit/>
        </w:trPr>
        <w:tc>
          <w:tcPr/>
          <w:p>
            <w:pPr>
              <w:pStyle w:val="Compact"/>
              <w:jc w:val="left"/>
            </w:pPr>
            <w:r>
              <w:t xml:space="preserve">S19</w:t>
            </w:r>
          </w:p>
        </w:tc>
        <w:tc>
          <w:tcPr/>
          <w:p>
            <w:pPr>
              <w:pStyle w:val="Compact"/>
              <w:jc w:val="left"/>
            </w:pPr>
            <w:r>
              <w:t xml:space="preserve">Kyriakidou et al., 2023 [16]</w:t>
            </w:r>
          </w:p>
        </w:tc>
        <w:tc>
          <w:tcPr/>
          <w:p>
            <w:pPr>
              <w:pStyle w:val="Compact"/>
              <w:jc w:val="left"/>
            </w:pPr>
            <w:r>
              <w:t xml:space="preserve">Decentralised identity with applications to security and privacy for the Internet of Things</w:t>
            </w:r>
          </w:p>
        </w:tc>
        <w:tc>
          <w:tcPr/>
          <w:p>
            <w:pPr>
              <w:pStyle w:val="Compact"/>
              <w:jc w:val="left"/>
            </w:pPr>
            <w:r>
              <w:t xml:space="preserve">Decentralised identity and verifiable credentials</w:t>
            </w:r>
          </w:p>
        </w:tc>
      </w:tr>
      <w:tr>
        <w:trPr>
          <w:cantSplit/>
        </w:trPr>
        <w:tc>
          <w:tcPr/>
          <w:p>
            <w:pPr>
              <w:pStyle w:val="Compact"/>
              <w:jc w:val="left"/>
            </w:pPr>
            <w:r>
              <w:t xml:space="preserve">S20</w:t>
            </w:r>
          </w:p>
        </w:tc>
        <w:tc>
          <w:tcPr/>
          <w:p>
            <w:pPr>
              <w:pStyle w:val="Compact"/>
              <w:jc w:val="left"/>
            </w:pPr>
            <w:r>
              <w:t xml:space="preserve">Mazzocca et al., 2025 [18]</w:t>
            </w:r>
          </w:p>
        </w:tc>
        <w:tc>
          <w:tcPr/>
          <w:p>
            <w:pPr>
              <w:pStyle w:val="Compact"/>
              <w:jc w:val="left"/>
            </w:pPr>
            <w:r>
              <w:t xml:space="preserve">A survey on decentralised identifiers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S21</w:t>
            </w:r>
          </w:p>
        </w:tc>
        <w:tc>
          <w:tcPr/>
          <w:p>
            <w:pPr>
              <w:pStyle w:val="Compact"/>
              <w:jc w:val="left"/>
            </w:pPr>
            <w:r>
              <w:t xml:space="preserve">Parameswarath et al., 2022 [24]</w:t>
            </w:r>
          </w:p>
        </w:tc>
        <w:tc>
          <w:tcPr/>
          <w:p>
            <w:pPr>
              <w:pStyle w:val="Compact"/>
              <w:jc w:val="left"/>
            </w:pPr>
            <w:r>
              <w:t xml:space="preserve">User-empowered privacy-preserving authentication based on decentralised identity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S22</w:t>
            </w:r>
          </w:p>
        </w:tc>
        <w:tc>
          <w:tcPr/>
          <w:p>
            <w:pPr>
              <w:pStyle w:val="Compact"/>
              <w:jc w:val="left"/>
            </w:pPr>
            <w:r>
              <w:t xml:space="preserve">Yin et al., 2025 [35]</w:t>
            </w:r>
          </w:p>
        </w:tc>
        <w:tc>
          <w:tcPr/>
          <w:p>
            <w:pPr>
              <w:pStyle w:val="Compact"/>
              <w:jc w:val="left"/>
            </w:pPr>
            <w:r>
              <w:t xml:space="preserve">DP-DID: a dynamic and proactive decentralised identity system</w:t>
            </w:r>
          </w:p>
        </w:tc>
        <w:tc>
          <w:tcPr/>
          <w:p>
            <w:pPr>
              <w:pStyle w:val="Compact"/>
              <w:jc w:val="left"/>
            </w:pPr>
            <w:r>
              <w:t xml:space="preserve">Decentralised identity and verifiable credentials</w:t>
            </w:r>
          </w:p>
        </w:tc>
      </w:tr>
      <w:tr>
        <w:trPr>
          <w:cantSplit/>
        </w:trPr>
        <w:tc>
          <w:tcPr/>
          <w:p>
            <w:pPr>
              <w:pStyle w:val="Compact"/>
              <w:jc w:val="left"/>
            </w:pPr>
            <w:r>
              <w:t xml:space="preserve">S23</w:t>
            </w:r>
          </w:p>
        </w:tc>
        <w:tc>
          <w:tcPr/>
          <w:p>
            <w:pPr>
              <w:pStyle w:val="Compact"/>
              <w:jc w:val="left"/>
            </w:pPr>
            <w:r>
              <w:t xml:space="preserve">Ghafoor Abbasi et al., 2025 [1]</w:t>
            </w:r>
          </w:p>
        </w:tc>
        <w:tc>
          <w:tcPr/>
          <w:p>
            <w:pPr>
              <w:pStyle w:val="Compact"/>
              <w:jc w:val="left"/>
            </w:pPr>
            <w:r>
              <w:t xml:space="preserve">Towards empowering stakeholders through decentralised trust and secure livestock data sharing</w:t>
            </w:r>
          </w:p>
        </w:tc>
        <w:tc>
          <w:tcPr/>
          <w:p>
            <w:pPr>
              <w:pStyle w:val="Compact"/>
              <w:jc w:val="left"/>
            </w:pPr>
            <w:r>
              <w:t xml:space="preserve">Multi-party and decentralised governance</w:t>
            </w:r>
          </w:p>
        </w:tc>
      </w:tr>
      <w:tr>
        <w:trPr>
          <w:cantSplit/>
        </w:trPr>
        <w:tc>
          <w:tcPr/>
          <w:p>
            <w:pPr>
              <w:pStyle w:val="Compact"/>
              <w:jc w:val="left"/>
            </w:pPr>
            <w:r>
              <w:t xml:space="preserve">S24</w:t>
            </w:r>
          </w:p>
        </w:tc>
        <w:tc>
          <w:tcPr/>
          <w:p>
            <w:pPr>
              <w:pStyle w:val="Compact"/>
              <w:jc w:val="left"/>
            </w:pPr>
            <w:r>
              <w:t xml:space="preserve">Lomotey et al., 2022 [17]</w:t>
            </w:r>
          </w:p>
        </w:tc>
        <w:tc>
          <w:tcPr/>
          <w:p>
            <w:pPr>
              <w:pStyle w:val="Compact"/>
              <w:jc w:val="left"/>
            </w:pPr>
            <w:r>
              <w:t xml:space="preserve">Data trusts as a service: a platform for multi-party data sharing</w:t>
            </w:r>
          </w:p>
        </w:tc>
        <w:tc>
          <w:tcPr/>
          <w:p>
            <w:pPr>
              <w:pStyle w:val="Compact"/>
              <w:jc w:val="left"/>
            </w:pPr>
            <w:r>
              <w:t xml:space="preserve">Multi-party and decentralised governance</w:t>
            </w:r>
          </w:p>
        </w:tc>
      </w:tr>
      <w:tr>
        <w:trPr>
          <w:cantSplit/>
        </w:trPr>
        <w:tc>
          <w:tcPr/>
          <w:p>
            <w:pPr>
              <w:pStyle w:val="Compact"/>
              <w:jc w:val="left"/>
            </w:pPr>
            <w:r>
              <w:t xml:space="preserve">S25</w:t>
            </w:r>
          </w:p>
        </w:tc>
        <w:tc>
          <w:tcPr/>
          <w:p>
            <w:pPr>
              <w:pStyle w:val="Compact"/>
              <w:jc w:val="left"/>
            </w:pPr>
            <w:r>
              <w:t xml:space="preserve">Tan et al., 2024 [27]</w:t>
            </w:r>
          </w:p>
        </w:tc>
        <w:tc>
          <w:tcPr/>
          <w:p>
            <w:pPr>
              <w:pStyle w:val="Compact"/>
              <w:jc w:val="left"/>
            </w:pPr>
            <w:r>
              <w:t xml:space="preserve">Secure and privacy-preserving sharing of personal health records with multi-party pre-authorisation verification</w:t>
            </w:r>
          </w:p>
        </w:tc>
        <w:tc>
          <w:tcPr/>
          <w:p>
            <w:pPr>
              <w:pStyle w:val="Compact"/>
              <w:jc w:val="left"/>
            </w:pPr>
            <w:r>
              <w:t xml:space="preserve">Multi-party and decentralised governance</w:t>
            </w:r>
          </w:p>
        </w:tc>
      </w:tr>
      <w:tr>
        <w:trPr>
          <w:cantSplit/>
        </w:trPr>
        <w:tc>
          <w:tcPr/>
          <w:p>
            <w:pPr>
              <w:pStyle w:val="Compact"/>
              <w:jc w:val="left"/>
            </w:pPr>
            <w:r>
              <w:t xml:space="preserve">S26</w:t>
            </w:r>
          </w:p>
        </w:tc>
        <w:tc>
          <w:tcPr/>
          <w:p>
            <w:pPr>
              <w:pStyle w:val="Compact"/>
              <w:jc w:val="left"/>
            </w:pPr>
            <w:r>
              <w:t xml:space="preserve">Jiang et al., 2023 [11]</w:t>
            </w:r>
          </w:p>
        </w:tc>
        <w:tc>
          <w:tcPr/>
          <w:p>
            <w:pPr>
              <w:pStyle w:val="Compact"/>
              <w:jc w:val="left"/>
            </w:pPr>
            <w:r>
              <w:t xml:space="preserve">Risk and UCON-based access control model for healthcare big data</w:t>
            </w:r>
          </w:p>
        </w:tc>
        <w:tc>
          <w:tcPr/>
          <w:p>
            <w:pPr>
              <w:pStyle w:val="Compact"/>
              <w:jc w:val="left"/>
            </w:pPr>
            <w:r>
              <w:t xml:space="preserve">Policy-based and healthcare access control</w:t>
            </w:r>
          </w:p>
        </w:tc>
      </w:tr>
      <w:tr>
        <w:trPr>
          <w:cantSplit/>
        </w:trPr>
        <w:tc>
          <w:tcPr/>
          <w:p>
            <w:pPr>
              <w:pStyle w:val="Compact"/>
              <w:jc w:val="left"/>
            </w:pPr>
            <w:r>
              <w:t xml:space="preserve">S27</w:t>
            </w:r>
          </w:p>
        </w:tc>
        <w:tc>
          <w:tcPr/>
          <w:p>
            <w:pPr>
              <w:pStyle w:val="Compact"/>
              <w:jc w:val="left"/>
            </w:pPr>
            <w:r>
              <w:t xml:space="preserve">Nazir et al., 2026 [22]</w:t>
            </w:r>
          </w:p>
        </w:tc>
        <w:tc>
          <w:tcPr/>
          <w:p>
            <w:pPr>
              <w:pStyle w:val="Compact"/>
              <w:jc w:val="left"/>
            </w:pPr>
            <w:r>
              <w:t xml:space="preserve">Access control in healthcare IoT: a comprehensive survey</w:t>
            </w:r>
          </w:p>
        </w:tc>
        <w:tc>
          <w:tcPr/>
          <w:p>
            <w:pPr>
              <w:pStyle w:val="Compact"/>
              <w:jc w:val="left"/>
            </w:pPr>
            <w:r>
              <w:t xml:space="preserve">Policy-based and healthcare access control</w:t>
            </w:r>
          </w:p>
        </w:tc>
      </w:tr>
      <w:tr>
        <w:trPr>
          <w:cantSplit/>
        </w:trPr>
        <w:tc>
          <w:tcPr/>
          <w:p>
            <w:pPr>
              <w:pStyle w:val="Compact"/>
              <w:jc w:val="left"/>
            </w:pPr>
            <w:r>
              <w:t xml:space="preserve">S28</w:t>
            </w:r>
          </w:p>
        </w:tc>
        <w:tc>
          <w:tcPr/>
          <w:p>
            <w:pPr>
              <w:pStyle w:val="Compact"/>
              <w:jc w:val="left"/>
            </w:pPr>
            <w:r>
              <w:t xml:space="preserve">Tawfik et al., 2025 [28]</w:t>
            </w:r>
          </w:p>
        </w:tc>
        <w:tc>
          <w:tcPr/>
          <w:p>
            <w:pPr>
              <w:pStyle w:val="Compact"/>
              <w:jc w:val="left"/>
            </w:pPr>
            <w:r>
              <w:t xml:space="preserve">Blockchain-based access control and privacy preservation in healthcare: a comprehensive survey</w:t>
            </w:r>
          </w:p>
        </w:tc>
        <w:tc>
          <w:tcPr/>
          <w:p>
            <w:pPr>
              <w:pStyle w:val="Compact"/>
              <w:jc w:val="left"/>
            </w:pPr>
            <w:r>
              <w:t xml:space="preserve">Policy-based and healthcare access control</w:t>
            </w:r>
          </w:p>
        </w:tc>
      </w:tr>
      <w:tr>
        <w:trPr>
          <w:cantSplit/>
        </w:trPr>
        <w:tc>
          <w:tcPr/>
          <w:p>
            <w:pPr>
              <w:pStyle w:val="Compact"/>
              <w:jc w:val="left"/>
            </w:pPr>
            <w:r>
              <w:t xml:space="preserve">S29</w:t>
            </w:r>
          </w:p>
        </w:tc>
        <w:tc>
          <w:tcPr/>
          <w:p>
            <w:pPr>
              <w:pStyle w:val="Compact"/>
              <w:jc w:val="left"/>
            </w:pPr>
            <w:r>
              <w:t xml:space="preserve">Yin et al., 2024 [34]</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Policy-based and healthcare access control</w:t>
            </w:r>
          </w:p>
        </w:tc>
      </w:tr>
      <w:tr>
        <w:trPr>
          <w:cantSplit/>
        </w:trPr>
        <w:tc>
          <w:tcPr/>
          <w:p>
            <w:pPr>
              <w:pStyle w:val="Compact"/>
              <w:jc w:val="left"/>
            </w:pPr>
            <w:r>
              <w:t xml:space="preserve">S30</w:t>
            </w:r>
          </w:p>
        </w:tc>
        <w:tc>
          <w:tcPr/>
          <w:p>
            <w:pPr>
              <w:pStyle w:val="Compact"/>
              <w:jc w:val="left"/>
            </w:pPr>
            <w:r>
              <w:t xml:space="preserve">de Oliveira et al., 2022 [5]</w:t>
            </w:r>
          </w:p>
        </w:tc>
        <w:tc>
          <w:tcPr/>
          <w:p>
            <w:pPr>
              <w:pStyle w:val="Compact"/>
              <w:jc w:val="left"/>
            </w:pPr>
            <w:r>
              <w:t xml:space="preserve">SmartAccess: attribute-based access control system for medical records based on smart contracts</w:t>
            </w:r>
          </w:p>
        </w:tc>
        <w:tc>
          <w:tcPr/>
          <w:p>
            <w:pPr>
              <w:pStyle w:val="Compact"/>
              <w:jc w:val="left"/>
            </w:pPr>
            <w:r>
              <w:t xml:space="preserve">Policy-based and healthcare access control</w:t>
            </w:r>
          </w:p>
        </w:tc>
      </w:tr>
      <w:tr>
        <w:trPr>
          <w:cantSplit/>
        </w:trPr>
        <w:tc>
          <w:tcPr/>
          <w:p>
            <w:pPr>
              <w:pStyle w:val="Compact"/>
              <w:jc w:val="left"/>
            </w:pPr>
            <w:r>
              <w:t xml:space="preserve">S31</w:t>
            </w:r>
          </w:p>
        </w:tc>
        <w:tc>
          <w:tcPr/>
          <w:p>
            <w:pPr>
              <w:pStyle w:val="Compact"/>
              <w:jc w:val="left"/>
            </w:pPr>
            <w:r>
              <w:t xml:space="preserve">Ullah et al., 2024 [30]</w:t>
            </w:r>
          </w:p>
        </w:tc>
        <w:tc>
          <w:tcPr/>
          <w:p>
            <w:pPr>
              <w:pStyle w:val="Compact"/>
              <w:jc w:val="left"/>
            </w:pPr>
            <w:r>
              <w:t xml:space="preserve">Blockchain-enabled EHR access auditing: enhancing healthcare data security</w:t>
            </w:r>
          </w:p>
        </w:tc>
        <w:tc>
          <w:tcPr/>
          <w:p>
            <w:pPr>
              <w:pStyle w:val="Compact"/>
              <w:jc w:val="left"/>
            </w:pPr>
            <w:r>
              <w:t xml:space="preserve">Policy-based and healthcare access control</w:t>
            </w:r>
          </w:p>
        </w:tc>
      </w:tr>
      <w:tr>
        <w:trPr>
          <w:cantSplit/>
        </w:trPr>
        <w:tc>
          <w:tcPr/>
          <w:p>
            <w:pPr>
              <w:pStyle w:val="Compact"/>
              <w:jc w:val="left"/>
            </w:pPr>
            <w:r>
              <w:t xml:space="preserve">S32</w:t>
            </w:r>
          </w:p>
        </w:tc>
        <w:tc>
          <w:tcPr/>
          <w:p>
            <w:pPr>
              <w:pStyle w:val="Compact"/>
              <w:jc w:val="left"/>
            </w:pPr>
            <w:r>
              <w:t xml:space="preserve">Yaqub et al., 2025 [33]</w:t>
            </w:r>
          </w:p>
        </w:tc>
        <w:tc>
          <w:tcPr/>
          <w:p>
            <w:pPr>
              <w:pStyle w:val="Compact"/>
              <w:jc w:val="left"/>
            </w:pPr>
            <w:r>
              <w:t xml:space="preserve">Blockchain-enabled policy-based access control mechanism to restrict unauthorised access to electronic health records</w:t>
            </w:r>
          </w:p>
        </w:tc>
        <w:tc>
          <w:tcPr/>
          <w:p>
            <w:pPr>
              <w:pStyle w:val="Compact"/>
              <w:jc w:val="left"/>
            </w:pPr>
            <w:r>
              <w:t xml:space="preserve">Policy-based and healthcare access control</w:t>
            </w:r>
          </w:p>
        </w:tc>
      </w:tr>
      <w:tr>
        <w:trPr>
          <w:cantSplit/>
        </w:trPr>
        <w:tc>
          <w:tcPr/>
          <w:p>
            <w:pPr>
              <w:pStyle w:val="Compact"/>
              <w:jc w:val="left"/>
            </w:pPr>
            <w:r>
              <w:t xml:space="preserve">S33</w:t>
            </w:r>
          </w:p>
        </w:tc>
        <w:tc>
          <w:tcPr/>
          <w:p>
            <w:pPr>
              <w:pStyle w:val="Compact"/>
              <w:jc w:val="left"/>
            </w:pPr>
            <w:r>
              <w:t xml:space="preserve">Ménétrey et al., 2022 [20]</w:t>
            </w:r>
          </w:p>
        </w:tc>
        <w:tc>
          <w:tcPr/>
          <w:p>
            <w:pPr>
              <w:pStyle w:val="Compact"/>
              <w:jc w:val="left"/>
            </w:pPr>
            <w:r>
              <w:t xml:space="preserve">Attestation mechanisms for trusted execution environments demystified</w:t>
            </w:r>
          </w:p>
        </w:tc>
        <w:tc>
          <w:tcPr/>
          <w:p>
            <w:pPr>
              <w:pStyle w:val="Compact"/>
              <w:jc w:val="left"/>
            </w:pPr>
            <w:r>
              <w:t xml:space="preserve">Trusted Computing and secure execution</w:t>
            </w:r>
          </w:p>
        </w:tc>
      </w:tr>
    </w:tbl>
    <w:bookmarkEnd w:id="32"/>
    <w:bookmarkEnd w:id="33"/>
    <w:bookmarkStart w:id="41" w:name="X47a7c0cd3439350f5b2bab0a0c72b8d78bf1bcb"/>
    <w:p>
      <w:pPr>
        <w:pStyle w:val="Heading2"/>
      </w:pPr>
      <w:r>
        <w:t xml:space="preserve"> </w:t>
      </w:r>
      <w:r>
        <w:t xml:space="preserve">2.4</w:t>
      </w:r>
      <w:r>
        <w:t xml:space="preserve"> </w:t>
      </w:r>
      <w:r>
        <w:t xml:space="preserve"> </w:t>
      </w:r>
      <w:r>
        <w:t xml:space="preserve">Summary of Papers Shortlisted in the SLR</w:t>
      </w:r>
    </w:p>
    <w:p>
      <w:pPr>
        <w:pStyle w:val="FirstParagraph"/>
      </w:pPr>
      <w: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4" w:name="X3643e3a96c176827f6f89acdc5119d36405fe44"/>
    <w:p>
      <w:pPr>
        <w:pStyle w:val="Heading3"/>
      </w:pPr>
      <w:r>
        <w:t xml:space="preserve"> </w:t>
      </w:r>
      <w:r>
        <w:t xml:space="preserve">2.4.1</w:t>
      </w:r>
      <w:r>
        <w:t xml:space="preserve"> </w:t>
      </w:r>
      <w:r>
        <w:t xml:space="preserve"> </w:t>
      </w:r>
      <w:r>
        <w:t xml:space="preserve">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[19, 31].</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[21]. At the same time, privacy-preserving interoperability remains difficult because healthcare systems must balance individual autonomy with the operational requirements of clinical care, coordination, and legitimate secondary data use [9].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odyText"/>
      </w:pPr>
      <w:r>
        <w:t xml:space="preserve">More recent architectures go a step further. A blockchain-backed service-oriented architecture stores consents immutably, enforces access to health data according to them and exposes audit tasks to supervisory authorities and to patients themselves [26], and a self-determined consent framework combines blockchain, self-sovereign identity and de-identified tokens so that consent and data use can be tracked across clinical, app and wearable data [32]. Both act on the consent record; neither evaluates the requester’s authority or a collective approval before the record is applied. A recent systematic review of 55 blockchain-based consent frameworks confirms that smart contracts, decentralised identifiers and verifiable credentials have become the common building blocks of programmable consent, while reporting that revocation propagation, interoperability and usability remain unresolved [25].</w:t>
      </w:r>
    </w:p>
    <w:p>
      <w:pPr>
        <w:pStyle w:val="BodyText"/>
      </w:pPr>
      <w:r>
        <w:t xml:space="preserve">Table 2.4 presents a summary of the studies that fall under the healthcare consent and privacy governance category and their coverage of the key requirements.</w:t>
      </w:r>
    </w:p>
    <w:p>
      <w:pPr>
        <w:pStyle w:val="TableCaption"/>
      </w:pPr>
      <w: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 [9]</w:t>
            </w:r>
          </w:p>
        </w:tc>
        <w:tc>
          <w:tcPr/>
          <w:p>
            <w:pPr>
              <w:pStyle w:val="Compact"/>
              <w:jc w:val="left"/>
            </w:pPr>
            <w: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t xml:space="preserve">Studies organisational practice; consent is treated as a compliance matter and no authorisation mechanism is proposed.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 [10]</w:t>
            </w:r>
          </w:p>
        </w:tc>
        <w:tc>
          <w:tcPr/>
          <w:p>
            <w:pPr>
              <w:pStyle w:val="Compact"/>
              <w:jc w:val="left"/>
            </w:pPr>
            <w: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t xml:space="preserve">A receipt proves that consent was given; it does not evaluate whether a later request satisfies identity, authority, approval or scope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 [13]</w:t>
            </w:r>
          </w:p>
        </w:tc>
        <w:tc>
          <w:tcPr/>
          <w:p>
            <w:pPr>
              <w:pStyle w:val="Compact"/>
              <w:jc w:val="left"/>
            </w:pPr>
            <w:r>
              <w:t xml:space="preserve">Privacy-first model for blockchain-based dynamic consent management in which subject data and consent are kept encrypted on-chain and the data-controller role is decentralised.</w:t>
            </w:r>
          </w:p>
        </w:tc>
        <w:tc>
          <w:tcPr/>
          <w:p>
            <w:pPr>
              <w:pStyle w:val="Compact"/>
              <w:jc w:val="left"/>
            </w:pPr>
            <w:r>
              <w:t xml:space="preserve">Consent is stored and shared securely, but a request is not evaluated against the requester’s authority or a multi-party approval threshold.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S4 [19]</w:t>
            </w:r>
          </w:p>
        </w:tc>
        <w:tc>
          <w:tcPr/>
          <w:p>
            <w:pPr>
              <w:pStyle w:val="Compact"/>
              <w:jc w:val="left"/>
            </w:pPr>
            <w:r>
              <w:t xml:space="preserve">Legal analysis of informed consent for the use and disclosure of patient information under the GDPR, the common law and professional ethics.</w:t>
            </w:r>
          </w:p>
        </w:tc>
        <w:tc>
          <w:tcPr/>
          <w:p>
            <w:pPr>
              <w:pStyle w:val="Compact"/>
              <w:jc w:val="left"/>
            </w:pPr>
            <w:r>
              <w:t xml:space="preserve">Defines the legal conditions of a valid consent but not an executable authorisation object.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S5 [21]</w:t>
            </w:r>
          </w:p>
        </w:tc>
        <w:tc>
          <w:tcPr/>
          <w:p>
            <w:pPr>
              <w:pStyle w:val="Compact"/>
              <w:jc w:val="left"/>
            </w:pPr>
            <w:r>
              <w:t xml:space="preserve">Review of privacy models and consent frameworks (dynamic and granular consent, blockchain, My Health Record, Estonian e-Health) for patient data ownership.</w:t>
            </w:r>
          </w:p>
        </w:tc>
        <w:tc>
          <w:tcPr/>
          <w:p>
            <w:pPr>
              <w:pStyle w:val="Compact"/>
              <w:jc w:val="left"/>
            </w:pPr>
            <w:r>
              <w:t xml:space="preserve">Descriptive review; the consent frameworks are not connected to identity verification or scope enforcement.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S6 [31]</w:t>
            </w:r>
          </w:p>
        </w:tc>
        <w:tc>
          <w:tcPr/>
          <w:p>
            <w:pPr>
              <w:pStyle w:val="Compact"/>
              <w:jc w:val="left"/>
            </w:pPr>
            <w:r>
              <w:t xml:space="preserve">Policy statement on electronic access to the health record by paediatric patients and their guardians, including proxy access and record segmentation.</w:t>
            </w:r>
          </w:p>
        </w:tc>
        <w:tc>
          <w:tcPr/>
          <w:p>
            <w:pPr>
              <w:pStyle w:val="Compact"/>
              <w:jc w:val="left"/>
            </w:pPr>
            <w:r>
              <w:t xml:space="preserve">Identifies guardian and proxy roles but gives no mechanism for verifying authority or for joint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S7 [25]</w:t>
            </w:r>
          </w:p>
        </w:tc>
        <w:tc>
          <w:tcPr/>
          <w:p>
            <w:pPr>
              <w:pStyle w:val="Compact"/>
              <w:jc w:val="left"/>
            </w:pPr>
            <w:r>
              <w:t xml:space="preserve">Systematic review (PRISMA, 55 studies, 2020–2025) of blockchain-based frameworks for dynamic, auditable and revocable consent for the secondary use of health data, analysed by consent lifecycle, auditability, usability and legal alignment.</w:t>
            </w:r>
          </w:p>
        </w:tc>
        <w:tc>
          <w:tcPr/>
          <w:p>
            <w:pPr>
              <w:pStyle w:val="Compact"/>
              <w:jc w:val="left"/>
            </w:pPr>
            <w:r>
              <w:t xml:space="preserve">Confirms that lifecycle automation and auditability are achievable, but reports that revocation propagation, interoperability and usability remain open; consent is evaluated as a record rather than against the requester.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S8 [26]</w:t>
            </w:r>
          </w:p>
        </w:tc>
        <w:tc>
          <w:tcPr/>
          <w:p>
            <w:pPr>
              <w:pStyle w:val="Compact"/>
              <w:jc w:val="left"/>
            </w:pPr>
            <w: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t xml:space="preserve">Consent is stored and executed, but the requester’s authority and any multi-party approval are outside the model; enforcement follows the record rather than an evaluated decision.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S9 [32]</w:t>
            </w:r>
          </w:p>
        </w:tc>
        <w:tc>
          <w:tcPr/>
          <w:p>
            <w:pPr>
              <w:pStyle w:val="Compact"/>
              <w:jc w:val="left"/>
            </w:pPr>
            <w: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t xml:space="preserve">Early-stage conceptual framework; identity and consent components are listed rather than combined into an authorisation decision.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4"/>
    <w:bookmarkStart w:id="35" w:name="X2b887499669ea90de256e63d16984e9c6f7f03a"/>
    <w:p>
      <w:pPr>
        <w:pStyle w:val="Heading3"/>
      </w:pPr>
      <w:r>
        <w:t xml:space="preserve"> </w:t>
      </w:r>
      <w:r>
        <w:t xml:space="preserve">2.4.2</w:t>
      </w:r>
      <w:r>
        <w:t xml:space="preserve"> </w:t>
      </w:r>
      <w:r>
        <w:t xml:space="preserve"> </w:t>
      </w:r>
      <w:r>
        <w:t xml:space="preserve">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[2, 3, 4, 8]. More generally, blockchain has been studied as an infrastructure for trustworthy data sharing and decentralised decision-making across organisational boundaries [23, 29].</w:t>
      </w:r>
    </w:p>
    <w:p>
      <w:pPr>
        <w:pStyle w:val="BodyText"/>
      </w:pPr>
      <w:r>
        <w:t xml:space="preserve">A major contribution of blockchain is its ability to preserve tamper-resistant evidence of transactions and state changes. This characteristic strengthens auditability and provides evidence that recorded information has not been modified without detection [2, 23].</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[3, 4, 8, 28].</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odyText"/>
      </w:pPr>
      <w:r>
        <w:t xml:space="preserve">Table 2.5 summarises the blockchain-based studies and their coverage of the key requirements.</w:t>
      </w:r>
    </w:p>
    <w:p>
      <w:pPr>
        <w:pStyle w:val="TableCaption"/>
      </w:pPr>
      <w: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S10 [2]</w:t>
            </w:r>
          </w:p>
        </w:tc>
        <w:tc>
          <w:tcPr/>
          <w:p>
            <w:pPr>
              <w:pStyle w:val="Compact"/>
              <w:jc w:val="left"/>
            </w:pPr>
            <w:r>
              <w:t xml:space="preserve">Systematic review of 99 blockchain-based EHR proposals analysed by privacy, security, scalability, accessibility, cost, consensus and blockchain type.</w:t>
            </w:r>
          </w:p>
        </w:tc>
        <w:tc>
          <w:tcPr/>
          <w:p>
            <w:pPr>
              <w:pStyle w:val="Compact"/>
              <w:jc w:val="left"/>
            </w:pPr>
            <w:r>
              <w:t xml:space="preserve">Blockchain is evaluated as a storage and audit substrate; participant authority and consent scope are not modelled.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S11 [3]</w:t>
            </w:r>
          </w:p>
        </w:tc>
        <w:tc>
          <w:tcPr/>
          <w:p>
            <w:pPr>
              <w:pStyle w:val="Compact"/>
              <w:jc w:val="left"/>
            </w:pPr>
            <w:r>
              <w:t xml:space="preserve">Survey of blockchain architectures for healthcare systems, their security challenges, trends and future directions.</w:t>
            </w:r>
          </w:p>
        </w:tc>
        <w:tc>
          <w:tcPr/>
          <w:p>
            <w:pPr>
              <w:pStyle w:val="Compact"/>
              <w:jc w:val="left"/>
            </w:pPr>
            <w:r>
              <w:t xml:space="preserve">Architecture-level survey; the access decision itself is left to the individual systems reviewed.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S12 [4]</w:t>
            </w:r>
          </w:p>
        </w:tc>
        <w:tc>
          <w:tcPr/>
          <w:p>
            <w:pPr>
              <w:pStyle w:val="Compact"/>
              <w:jc w:val="left"/>
            </w:pPr>
            <w:r>
              <w:t xml:space="preserve">Survey classifying more than 40 blockchain healthcare systems by entity interactions, functional components, challenges and benefits, with a discussion of GDPR and HIPAA compliance.</w:t>
            </w:r>
          </w:p>
        </w:tc>
        <w:tc>
          <w:tcPr/>
          <w:p>
            <w:pPr>
              <w:pStyle w:val="Compact"/>
              <w:jc w:val="left"/>
            </w:pPr>
            <w:r>
              <w:t xml:space="preserve">Treats consent as a regulatory requirement rather than an evaluable object; authority verification is not addressed.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S13 [8]</w:t>
            </w:r>
          </w:p>
        </w:tc>
        <w:tc>
          <w:tcPr/>
          <w:p>
            <w:pPr>
              <w:pStyle w:val="Compact"/>
              <w:jc w:val="left"/>
            </w:pPr>
            <w:r>
              <w:t xml:space="preserve">Review of 144 articles on blockchain applications in healthcare, their application areas, limitations and research directions.</w:t>
            </w:r>
          </w:p>
        </w:tc>
        <w:tc>
          <w:tcPr/>
          <w:p>
            <w:pPr>
              <w:pStyle w:val="Compact"/>
              <w:jc w:val="left"/>
            </w:pPr>
            <w:r>
              <w:t xml:space="preserve">Confirms the auditability benefit; multi-party approval and authority verification are not treated.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S14 [23]</w:t>
            </w:r>
          </w:p>
        </w:tc>
        <w:tc>
          <w:tcPr/>
          <w:p>
            <w:pPr>
              <w:pStyle w:val="Compact"/>
              <w:jc w:val="left"/>
            </w:pPr>
            <w:r>
              <w:t xml:space="preserve">Survey and reference architecture for blockchain-based data sharing covering provenance, privacy, consent management and incentives across healthcare and other sectors.</w:t>
            </w:r>
          </w:p>
        </w:tc>
        <w:tc>
          <w:tcPr/>
          <w:p>
            <w:pPr>
              <w:pStyle w:val="Compact"/>
              <w:jc w:val="left"/>
            </w:pPr>
            <w:r>
              <w:t xml:space="preserve">Consent management is named as a challenge; the architecture does not specify how a request is evaluated against identity, approval and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S15 [29]</w:t>
            </w:r>
          </w:p>
        </w:tc>
        <w:tc>
          <w:tcPr/>
          <w:p>
            <w:pPr>
              <w:pStyle w:val="Compact"/>
              <w:jc w:val="left"/>
            </w:pPr>
            <w:r>
              <w:t xml:space="preserve">Review of decentralised decision-making with big data and blockchain, including DAO governance and the Estonian healthcare case.</w:t>
            </w:r>
          </w:p>
        </w:tc>
        <w:tc>
          <w:tcPr/>
          <w:p>
            <w:pPr>
              <w:pStyle w:val="Compact"/>
              <w:jc w:val="left"/>
            </w:pPr>
            <w:r>
              <w:t xml:space="preserve">Collective decision-making is discussed at governance level, not as a verifiable condition inside a consent object.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5"/>
    <w:bookmarkStart w:id="36" w:name="Xce8374abd25737680a0ea224e7b0673254898a7"/>
    <w:p>
      <w:pPr>
        <w:pStyle w:val="Heading3"/>
      </w:pPr>
      <w:r>
        <w:t xml:space="preserve"> </w:t>
      </w:r>
      <w:r>
        <w:t xml:space="preserve">2.4.3 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[6, 16, 18, 35].</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[6, 35]. Other studies have examined privacy-preserving authentication and selective disclosure, allowing participants to prove selected attributes without unnecessarily revealing additional information [7, 24].</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attributes.Reviews of blockchain-based identity management for the Internet of Things reach the same conclusion for constrained devices [15, 16].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odyText"/>
      </w:pPr>
      <w:r>
        <w:t xml:space="preserve">Table 2.6 summarises the decentralised identity studies and their coverage of the key requirements.</w:t>
      </w:r>
    </w:p>
    <w:p>
      <w:pPr>
        <w:pStyle w:val="TableCaption"/>
      </w:pPr>
      <w: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S16 [6]</w:t>
            </w:r>
          </w:p>
        </w:tc>
        <w:tc>
          <w:tcPr/>
          <w:p>
            <w:pPr>
              <w:pStyle w:val="Compact"/>
              <w:jc w:val="left"/>
            </w:pPr>
            <w:r>
              <w:t xml:space="preserve">FutureDID: a fully decentralised identity system in which identity claims are verified by multiple parties.</w:t>
            </w:r>
          </w:p>
        </w:tc>
        <w:tc>
          <w:tcPr/>
          <w:p>
            <w:pPr>
              <w:pStyle w:val="Compact"/>
              <w:jc w:val="left"/>
            </w:pPr>
            <w:r>
              <w:t xml:space="preserve">Multi-party verification applies to the identity claim, not to the authorisation of data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S17 [7]</w:t>
            </w:r>
          </w:p>
        </w:tc>
        <w:tc>
          <w:tcPr/>
          <w:p>
            <w:pPr>
              <w:pStyle w:val="Compact"/>
              <w:jc w:val="left"/>
            </w:pPr>
            <w:r>
              <w:t xml:space="preserve">Analysis of the cryptographic mechanisms available for the selective disclosure of verifiable credentials.</w:t>
            </w:r>
          </w:p>
        </w:tc>
        <w:tc>
          <w:tcPr/>
          <w:p>
            <w:pPr>
              <w:pStyle w:val="Compact"/>
              <w:jc w:val="left"/>
            </w:pPr>
            <w:r>
              <w:t xml:space="preserve">Concerns what a holder reveals, not whether the holder is authorised for a particular patient’s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S18 [15]</w:t>
            </w:r>
          </w:p>
        </w:tc>
        <w:tc>
          <w:tcPr/>
          <w:p>
            <w:pPr>
              <w:pStyle w:val="Compact"/>
              <w:jc w:val="left"/>
            </w:pPr>
            <w:r>
              <w:t xml:space="preserve">Review of blockchain-based identity management, access control and trust mechanisms for the IoT.</w:t>
            </w:r>
          </w:p>
        </w:tc>
        <w:tc>
          <w:tcPr/>
          <w:p>
            <w:pPr>
              <w:pStyle w:val="Compact"/>
              <w:jc w:val="left"/>
            </w:pPr>
            <w:r>
              <w:t xml:space="preserve">IoT-oriented; consent and multi-party approval are outside its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S19 [16]</w:t>
            </w:r>
          </w:p>
        </w:tc>
        <w:tc>
          <w:tcPr/>
          <w:p>
            <w:pPr>
              <w:pStyle w:val="Compact"/>
              <w:jc w:val="left"/>
            </w:pPr>
            <w:r>
              <w:t xml:space="preserve">Overview of decentralised and self-sovereign identity for IoT authentication, authorisation and access control.</w:t>
            </w:r>
          </w:p>
        </w:tc>
        <w:tc>
          <w:tcPr/>
          <w:p>
            <w:pPr>
              <w:pStyle w:val="Compact"/>
              <w:jc w:val="left"/>
            </w:pPr>
            <w:r>
              <w:t xml:space="preserve">Establishes DIDs and VCs as the identity pillars; authorisation is derived from the credential 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S20 [18]</w:t>
            </w:r>
          </w:p>
        </w:tc>
        <w:tc>
          <w:tcPr/>
          <w:p>
            <w:pPr>
              <w:pStyle w:val="Compact"/>
              <w:jc w:val="left"/>
            </w:pPr>
            <w:r>
              <w:t xml:space="preserve">Comprehensive survey of decentralised identifiers and verifiable credentials, their standards, architectures and open issues.</w:t>
            </w:r>
          </w:p>
        </w:tc>
        <w:tc>
          <w:tcPr/>
          <w:p>
            <w:pPr>
              <w:pStyle w:val="Compact"/>
              <w:jc w:val="left"/>
            </w:pPr>
            <w:r>
              <w:t xml:space="preserve">Identity and credential validity are the end point; there is no link to consent-defined authority.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S21 [24]</w:t>
            </w:r>
          </w:p>
        </w:tc>
        <w:tc>
          <w:tcPr/>
          <w:p>
            <w:pPr>
              <w:pStyle w:val="Compact"/>
              <w:jc w:val="left"/>
            </w:pPr>
            <w:r>
              <w:t xml:space="preserve">DID/VC-based privacy-preserving authentication protocol with zero-knowledge proofs for electric-vehicle charging.</w:t>
            </w:r>
          </w:p>
        </w:tc>
        <w:tc>
          <w:tcPr/>
          <w:p>
            <w:pPr>
              <w:pStyle w:val="Compact"/>
              <w:jc w:val="left"/>
            </w:pPr>
            <w:r>
              <w:t xml:space="preserve">Shows DID/VC authentication in another domain; no consent or scope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S22 [35]</w:t>
            </w:r>
          </w:p>
        </w:tc>
        <w:tc>
          <w:tcPr/>
          <w:p>
            <w:pPr>
              <w:pStyle w:val="Compact"/>
              <w:jc w:val="left"/>
            </w:pPr>
            <w:r>
              <w:t xml:space="preserve">DP-DID: a dynamic and proactive decentralised identity system that supports identity updates and revocation.</w:t>
            </w:r>
          </w:p>
        </w:tc>
        <w:tc>
          <w:tcPr/>
          <w:p>
            <w:pPr>
              <w:pStyle w:val="Compact"/>
              <w:jc w:val="left"/>
            </w:pPr>
            <w:r>
              <w:t xml:space="preserve">Lifecycle handling applies to the identity, not to the consent that authorises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6"/>
    <w:bookmarkStart w:id="37" w:name="X836fdb855249812e1f666cb0298115c8e62a77c"/>
    <w:p>
      <w:pPr>
        <w:pStyle w:val="Heading3"/>
      </w:pPr>
      <w:r>
        <w:t xml:space="preserve"> </w:t>
      </w:r>
      <w:r>
        <w:t xml:space="preserve">2.4.4</w:t>
      </w:r>
      <w:r>
        <w:t xml:space="preserve"> </w:t>
      </w:r>
      <w:r>
        <w:t xml:space="preserve"> </w:t>
      </w:r>
      <w:r>
        <w:t xml:space="preserve">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[9, 31].</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[17].A decentralised trust framework for multi-stakeholder livestock data sharing shows that controlled exposure to authorised entities can be achieved without a central authority [1]. Decentralised decision-making has also been investigated in combination with blockchain and large-scale data systems [29]. FutureDID further demonstrates that multi-party verification can be incorporated into decentralised identity processes [6].</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odyText"/>
      </w:pPr>
      <w:r>
        <w:t xml:space="preserve">The closest existing approach to threshold-based authorisation is the multi-party pre-authorisation protocol of Tan et al. [27],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odyText"/>
      </w:pPr>
      <w:r>
        <w:t xml:space="preserve">Table 2.7 summarises the multi-party governance studies and their coverage of the key requirements.</w:t>
      </w:r>
    </w:p>
    <w:p>
      <w:pPr>
        <w:pStyle w:val="TableCaption"/>
      </w:pPr>
      <w: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S23 [1]</w:t>
            </w:r>
          </w:p>
        </w:tc>
        <w:tc>
          <w:tcPr/>
          <w:p>
            <w:pPr>
              <w:pStyle w:val="Compact"/>
              <w:jc w:val="left"/>
            </w:pPr>
            <w:r>
              <w:t xml:space="preserve">FLEX framework for decentralised trust and secure data sharing among livestock supply-chain stakeholders, with STRIDE threat modelling and an open-source implementation.</w:t>
            </w:r>
          </w:p>
        </w:tc>
        <w:tc>
          <w:tcPr/>
          <w:p>
            <w:pPr>
              <w:pStyle w:val="Compact"/>
              <w:jc w:val="left"/>
            </w:pPr>
            <w:r>
              <w:t xml:space="preserve">Controlled exposure to authorised entities is supported, but approvals are not aggregated to a threshold and consent is not modelled.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S24 [17]</w:t>
            </w:r>
          </w:p>
        </w:tc>
        <w:tc>
          <w:tcPr/>
          <w:p>
            <w:pPr>
              <w:pStyle w:val="Compact"/>
              <w:jc w:val="left"/>
            </w:pPr>
            <w:r>
              <w:t xml:space="preserve">Data Trusts as a Service: a platform through which multiple parties take part in data-sharing arrangements and their governance.</w:t>
            </w:r>
          </w:p>
        </w:tc>
        <w:tc>
          <w:tcPr/>
          <w:p>
            <w:pPr>
              <w:pStyle w:val="Compact"/>
              <w:jc w:val="left"/>
            </w:pPr>
            <w:r>
              <w:t xml:space="preserve">Governance is collective, but the individual access decision is not bound to identity verification or consent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S25 [27]</w:t>
            </w:r>
          </w:p>
        </w:tc>
        <w:tc>
          <w:tcPr/>
          <w:p>
            <w:pPr>
              <w:pStyle w:val="Compact"/>
              <w:jc w:val="left"/>
            </w:pPr>
            <w: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t xml:space="preserve">The threshold applies to cryptographic shares held by parties fixed in advance; the approval is not evaluated against the requester’s authority or the purpose and scope of the request.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7"/>
    <w:bookmarkStart w:id="38" w:name="X65ac327857ae873d38ffe426701abf3e34d1162"/>
    <w:p>
      <w:pPr>
        <w:pStyle w:val="Heading3"/>
      </w:pPr>
      <w:r>
        <w:t xml:space="preserve"> </w:t>
      </w:r>
      <w:r>
        <w:t xml:space="preserve">2.4.5</w:t>
      </w:r>
      <w:r>
        <w:t xml:space="preserve"> </w:t>
      </w:r>
      <w:r>
        <w:t xml:space="preserve"> </w:t>
      </w:r>
      <w:r>
        <w:t xml:space="preserve">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[34].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[22, 28].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odyText"/>
      </w:pPr>
      <w:r>
        <w:t xml:space="preserve">Purpose-based access control has also been combined with blockchain audit trails so that every access is recorded together with its declared purpose [30], and policy-based access control governed by smart contracts allows the subject, controller and requester roles of the GDPR to grant, revoke and inspect access rights [33]. In both cases the purpose is checked against a policy rather than against the purpose the patient consented to. SmartAccess goes further by letting the organisations involved agree jointly on attribute-based access policies enforced by smart contracts [5]; the agreement is between organisations, however, rather than between the patient and the parties who must approve access.</w:t>
      </w:r>
    </w:p>
    <w:p>
      <w:pPr>
        <w:pStyle w:val="BodyText"/>
      </w:pPr>
      <w:r>
        <w:t xml:space="preserve">Table 2.8 summarises the access-control studies and their coverage of the key requirements.</w:t>
      </w:r>
    </w:p>
    <w:p>
      <w:pPr>
        <w:pStyle w:val="TableCaption"/>
      </w:pPr>
      <w: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S26 [11]</w:t>
            </w:r>
          </w:p>
        </w:tc>
        <w:tc>
          <w:tcPr/>
          <w:p>
            <w:pPr>
              <w:pStyle w:val="Compact"/>
              <w:jc w:val="left"/>
            </w:pPr>
            <w:r>
              <w:t xml:space="preserve">RQ-UCON: a usage-control model for healthcare big data that quantifies physician risk from visit history and adjusts access rights in real time.</w:t>
            </w:r>
          </w:p>
        </w:tc>
        <w:tc>
          <w:tcPr/>
          <w:p>
            <w:pPr>
              <w:pStyle w:val="Compact"/>
              <w:jc w:val="left"/>
            </w:pPr>
            <w:r>
              <w:t xml:space="preserve">Access is conditioned on risk and usage, not on patient consent or multi-party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S27 [22]</w:t>
            </w:r>
          </w:p>
        </w:tc>
        <w:tc>
          <w:tcPr/>
          <w:p>
            <w:pPr>
              <w:pStyle w:val="Compact"/>
              <w:jc w:val="left"/>
            </w:pPr>
            <w:r>
              <w:t xml:space="preserve">Survey of access control in healthcare IoT (RBAC, ABAC, CapBAC, CAAC), emergency access, privacy compliance and DID/VC-based authorisation.</w:t>
            </w:r>
          </w:p>
        </w:tc>
        <w:tc>
          <w:tcPr/>
          <w:p>
            <w:pPr>
              <w:pStyle w:val="Compact"/>
              <w:jc w:val="left"/>
            </w:pPr>
            <w:r>
              <w:t xml:space="preserve">Surveys the models in isolation; the integration of consent, identity and collective approval is identified as a gap, not solved.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S28 [28]</w:t>
            </w:r>
          </w:p>
        </w:tc>
        <w:tc>
          <w:tcPr/>
          <w:p>
            <w:pPr>
              <w:pStyle w:val="Compact"/>
              <w:jc w:val="left"/>
            </w:pPr>
            <w:r>
              <w:t xml:space="preserve">Survey of 45 blockchain-based access-control and privacy-preservation frameworks for EHRs, including smart-contract authentication and cryptographic techniques.</w:t>
            </w:r>
          </w:p>
        </w:tc>
        <w:tc>
          <w:tcPr/>
          <w:p>
            <w:pPr>
              <w:pStyle w:val="Compact"/>
              <w:jc w:val="left"/>
            </w:pPr>
            <w:r>
              <w:t xml:space="preserve">Smart contracts enforce rules, but the surveyed frameworks do not evaluate multi-party consent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S29 [34]</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Cryptographic enforcement of attribute policies; authority and consent approval are assumed rather than verified.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S30 [5]</w:t>
            </w:r>
          </w:p>
        </w:tc>
        <w:tc>
          <w:tcPr/>
          <w:p>
            <w:pPr>
              <w:pStyle w:val="Compact"/>
              <w:jc w:val="left"/>
            </w:pPr>
            <w:r>
              <w:t xml:space="preserve">SmartAccess: attribute-based access control for cross-organisation medical-record sharing implemented as smart contracts on a permissioned blockchain, with joint agreement over access policies, a threat model and a performance evaluation.</w:t>
            </w:r>
          </w:p>
        </w:tc>
        <w:tc>
          <w:tcPr/>
          <w:p>
            <w:pPr>
              <w:pStyle w:val="Compact"/>
              <w:jc w:val="left"/>
            </w:pPr>
            <w:r>
              <w:t xml:space="preserve">Policies are agreed jointly by organisations, not by the patient and guardians; the decision follows attributes rather than the purpose and scope of a consent.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S31 [30]</w:t>
            </w:r>
          </w:p>
        </w:tc>
        <w:tc>
          <w:tcPr/>
          <w:p>
            <w:pPr>
              <w:pStyle w:val="Compact"/>
              <w:jc w:val="left"/>
            </w:pPr>
            <w:r>
              <w:t xml:space="preserve">Blockchain-based EHR access auditing that records who accessed which record, when and for what purpose, combined with purpose-based access control enforced by smart contracts.</w:t>
            </w:r>
          </w:p>
        </w:tc>
        <w:tc>
          <w:tcPr/>
          <w:p>
            <w:pPr>
              <w:pStyle w:val="Compact"/>
              <w:jc w:val="left"/>
            </w:pPr>
            <w:r>
              <w:t xml:space="preserve">Purpose is checked against a policy, not against the purpose the patient consented to; no identity verification or collective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S32 [33]</w:t>
            </w:r>
          </w:p>
        </w:tc>
        <w:tc>
          <w:tcPr/>
          <w:p>
            <w:pPr>
              <w:pStyle w:val="Compact"/>
              <w:jc w:val="left"/>
            </w:pPr>
            <w:r>
              <w:t xml:space="preserve">Policy-based access control for EHRs governed by smart contracts, in which the subject, controller and requester roles of the GDPR can grant, revoke and inspect access rights.</w:t>
            </w:r>
          </w:p>
        </w:tc>
        <w:tc>
          <w:tcPr/>
          <w:p>
            <w:pPr>
              <w:pStyle w:val="Compact"/>
              <w:jc w:val="left"/>
            </w:pPr>
            <w:r>
              <w:t xml:space="preserve">Policies are role-based; consent is implicit in the subject’s grant and no threshold of approvals is required.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8"/>
    <w:bookmarkStart w:id="39" w:name="X70697d1bf80033494359f9b6207e02cd31d6057"/>
    <w:p>
      <w:pPr>
        <w:pStyle w:val="Heading3"/>
      </w:pPr>
      <w:r>
        <w:t xml:space="preserve"> </w:t>
      </w:r>
      <w:r>
        <w:t xml:space="preserve">2.4.6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[20].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odyText"/>
      </w:pPr>
      <w:r>
        <w:t xml:space="preserve">Table 2.9 summarises the Trusted Computing study and its coverage of the key requirements.</w:t>
      </w:r>
    </w:p>
    <w:p>
      <w:pPr>
        <w:pStyle w:val="TableCaption"/>
      </w:pPr>
      <w: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S33 [20]</w:t>
            </w:r>
          </w:p>
        </w:tc>
        <w:tc>
          <w:tcPr/>
          <w:p>
            <w:pPr>
              <w:pStyle w:val="Compact"/>
              <w:jc w:val="left"/>
            </w:pPr>
            <w:r>
              <w:t xml:space="preserve">Systematic explanation of remote-attestation mechanisms for trusted execution environments.</w:t>
            </w:r>
          </w:p>
        </w:tc>
        <w:tc>
          <w:tcPr/>
          <w:p>
            <w:pPr>
              <w:pStyle w:val="Compact"/>
              <w:jc w:val="left"/>
            </w:pPr>
            <w:r>
              <w:t xml:space="preserve">Protects the execution; it says nothing about whether the authorisation policy being executed is correct.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9"/>
    <w:bookmarkStart w:id="40" w:name="X825064b2f9c6a59f6907e485e5a8e31c4a70bee"/>
    <w:p>
      <w:pPr>
        <w:pStyle w:val="Heading3"/>
      </w:pPr>
      <w:r>
        <w:t xml:space="preserve"> </w:t>
      </w:r>
      <w:r>
        <w:t xml:space="preserve">2.4.7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2.10 summarises the principal focus and limitations of the major research streams and positions the proposed framework relative to the existing literature.</w:t>
      </w:r>
    </w:p>
    <w:p>
      <w:pPr>
        <w:pStyle w:val="TableCaption"/>
      </w:pPr>
      <w:r>
        <w:t xml:space="preserve">Table 2.10: Comparison of the existing research streams and the proposed framework</w:t>
      </w:r>
    </w:p>
    <w:tbl>
      <w:tblPr>
        <w:tblStyle w:val="Table"/>
        <w:tblW w:type="pct" w:w="4965"/>
        <w:tblLayout w:type="fixed"/>
        <w:tblLook w:firstRow="1" w:lastRow="0" w:firstColumn="0" w:lastColumn="0" w:noHBand="0" w:noVBand="0" w:val="0020"/>
        <w:tblCaption w:val="Table 2.10: Comparison of the existing research streams and the proposed framework"/>
      </w:tblPr>
      <w:tblGrid>
        <w:gridCol w:w="1445"/>
        <w:gridCol w:w="2806"/>
        <w:gridCol w:w="2695"/>
        <w:gridCol w:w="91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13, 19, 21, 25, 26, 31, 32]</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[2, 3, 4, 8, 23, 29]</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[6, 7, 16, 18, 24, 35]</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[1, 6, 9, 17, 27, 31]</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[5, 11, 22, 28, 30, 33, 34]</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[20]</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0"/>
    <w:bookmarkEnd w:id="41"/>
    <w:bookmarkStart w:id="42" w:name="X8f0d5a13a2d56d21e1bec7d2ebd521767d7b0f3"/>
    <w:p>
      <w:pPr>
        <w:pStyle w:val="Heading2"/>
      </w:pPr>
      <w:r>
        <w:t xml:space="preserve"> </w:t>
      </w:r>
      <w:r>
        <w:t xml:space="preserve">2.5</w:t>
      </w:r>
      <w:r>
        <w:t xml:space="preserve"> </w:t>
      </w:r>
      <w:r>
        <w:t xml:space="preserve"> </w:t>
      </w:r>
      <w:r>
        <w:t xml:space="preserve">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From the perspective of the five key requirements defined in Section 2.2, the shortlisted studies (Tables 2.4–2.9) show the following gaps:</w:t>
      </w:r>
    </w:p>
    <w:p>
      <w:pPr>
        <w:numPr>
          <w:ilvl w:val="0"/>
          <w:numId w:val="1004"/>
        </w:numPr>
      </w:pPr>
      <w:r>
        <w:rPr>
          <w:b/>
          <w:bCs/>
        </w:rPr>
        <w:t xml:space="preserve">Consent as an evaluable authorisation object (Req 1).</w:t>
      </w:r>
      <w:r>
        <w:t xml:space="preserve"> </w:t>
      </w:r>
      <w:r>
        <w:t xml:space="preserve">Only S2, S3, S4, S5, S7, S8, S9, S14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numPr>
          <w:ilvl w:val="0"/>
          <w:numId w:val="1004"/>
        </w:numPr>
      </w:pPr>
      <w:r>
        <w:rPr>
          <w:b/>
          <w:bCs/>
        </w:rPr>
        <w:t xml:space="preserve">Verifiable identity separated from authority (Req 2).</w:t>
      </w:r>
      <w:r>
        <w:t xml:space="preserve"> </w:t>
      </w:r>
      <w:r>
        <w:t xml:space="preserve">The decentralised identity studies (S16, S17, S18, S19, S20, S21, S22), the multi-party and access-control studies S23, S25, S27 and the guardian-access policy statement S8 establish who a participant is, but in every case the credential is treated as the end of the decision. No study models the authority required by a particular consent as a condition that is verified separately from identity.</w:t>
      </w:r>
    </w:p>
    <w:p>
      <w:pPr>
        <w:numPr>
          <w:ilvl w:val="0"/>
          <w:numId w:val="1004"/>
        </w:numPr>
      </w:pPr>
      <w:r>
        <w:rPr>
          <w:b/>
          <w:bCs/>
        </w:rPr>
        <w:t xml:space="preserve">Multi-party threshold authorisation (Req 3).</w:t>
      </w:r>
      <w:r>
        <w:t xml:space="preserve"> </w:t>
      </w:r>
      <w:r>
        <w:t xml:space="preserve">Multi-party mechanisms appear in S15, S16, S24, S25: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numPr>
          <w:ilvl w:val="0"/>
          <w:numId w:val="1004"/>
        </w:numPr>
      </w:pPr>
      <w:r>
        <w:rPr>
          <w:b/>
          <w:bCs/>
        </w:rPr>
        <w:t xml:space="preserve">Purpose- and scope-bound access (Req 4).</w:t>
      </w:r>
      <w:r>
        <w:t xml:space="preserve"> </w:t>
      </w:r>
      <w:r>
        <w:t xml:space="preserve">Policy-based enforcement is well covered (S8, S10, S11, S12, S13, S18, S19, S23, S24, S26,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numPr>
          <w:ilvl w:val="0"/>
          <w:numId w:val="1004"/>
        </w:numPr>
      </w:pPr>
      <w:r>
        <w:rPr>
          <w:b/>
          <w:bCs/>
        </w:rPr>
        <w:t xml:space="preserve">Lifecycle validity and auditable evidence (Req 5).</w:t>
      </w:r>
      <w:r>
        <w:t xml:space="preserve"> </w:t>
      </w:r>
      <w:r>
        <w:t xml:space="preserve">Audit trails and revocation are provided by S2, S3, S7, S8, S9, S10, S11, S12, S13, S14, S15, S22, S23, S26, S28, S30, S31, S32, but expiry, revocation and state transitions of the consent itself are not evaluated at the time of the request, and the recorded evidence describes transactions rather than the trust conditions under which each decision was made.</w:t>
      </w:r>
    </w:p>
    <w:p>
      <w:pPr>
        <w:pStyle w:val="FirstParagraph"/>
      </w:pPr>
      <w:r>
        <w:t xml:space="preserve">These gaps are addressed in the following order by the research objectives of Chapter 3: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2"/>
    <w:bookmarkStart w:id="43" w:name="conclusion"/>
    <w:p>
      <w:pPr>
        <w:pStyle w:val="Heading2"/>
      </w:pPr>
      <w:r>
        <w:t xml:space="preserve">2.6 Conclusion</w:t>
      </w:r>
    </w:p>
    <w:p>
      <w:pPr>
        <w:pStyle w:val="FirstParagraph"/>
      </w:pPr>
      <w: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odyText"/>
      </w:pPr>
      <w:r>
        <w:t xml:space="preserve">These findings motivate the research questions and objectives presented in the next chapter and the trust-oriented consent authorisation framework proposed in Chapters 5 and 6, in which decentralised identifiers, verifiable credentials, threshold-based approval and policy evaluation contribute to one explainable decision.</w:t>
      </w:r>
    </w:p>
    <w:bookmarkEnd w:id="43"/>
    <w:bookmarkEnd w:id="44"/>
    <w:bookmarkStart w:id="55" w:name="research-gaps-and-questions"/>
    <w:p>
      <w:pPr>
        <w:pStyle w:val="Heading1"/>
      </w:pPr>
      <w:r>
        <w:t xml:space="preserve">3 Research Gaps and Questions</w:t>
      </w:r>
    </w:p>
    <w:bookmarkStart w:id="45"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In particular, the review defined five key requirements for a trust-oriented consent authorisation framework (Section 2.2) and assessed each of the 28 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45"/>
    <w:bookmarkStart w:id="46"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6"/>
    <w:bookmarkStart w:id="53"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7"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7"/>
    <w:bookmarkStart w:id="48"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8"/>
    <w:bookmarkStart w:id="49"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49"/>
    <w:bookmarkStart w:id="50"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0"/>
    <w:bookmarkStart w:id="51"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1"/>
    <w:bookmarkStart w:id="52"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[40]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2"/>
    <w:bookmarkEnd w:id="53"/>
    <w:bookmarkStart w:id="54"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54"/>
    <w:bookmarkEnd w:id="55"/>
    <w:bookmarkStart w:id="63"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w:t>
      </w:r>
    </w:p>
    <w:bookmarkStart w:id="56"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6"/>
    <w:bookmarkStart w:id="57"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7"/>
    <w:bookmarkStart w:id="58"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8"/>
    <w:bookmarkStart w:id="59"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59"/>
    <w:bookmarkStart w:id="60"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 It will investigate how temporal and lifecycle conditions can be incorporated into the authorisation decision without weakening the trust relationships established by the current stage mechanisms.</w:t>
      </w:r>
    </w:p>
    <w:bookmarkEnd w:id="60"/>
    <w:bookmarkStart w:id="61"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1"/>
    <w:bookmarkStart w:id="62"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Each objective also responds to one of the key requirements identified in the literature review: RO1 to Req 1, RO2 to Req 2, RO3 to Req 3, RO4 to Req 4 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 RQ4 current stage; RQ5–RQ6 CA3)</w:t>
      </w:r>
    </w:p>
    <w:tbl>
      <w:tblPr>
        <w:tblStyle w:val="Table"/>
        <w:tblW w:type="pct" w:w="5000"/>
        <w:tblLayout w:type="fixed"/>
        <w:tblLook w:firstRow="1" w:lastRow="0" w:firstColumn="0" w:lastColumn="0" w:noHBand="0" w:noVBand="0" w:val="0020"/>
        <w:tblCaption w:val="Table 4.2: Research Questions, Research Objectives, and Thesis Chapters (continued: RQ4 current stage; RQ5–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p>
    <w:p>
      <w:pPr>
        <w:pStyle w:val="BodyText"/>
      </w:pP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62"/>
    <w:bookmarkEnd w:id="63"/>
    <w:bookmarkStart w:id="91"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77"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04289"/>
            <wp:effectExtent b="0" l="0" r="0" t="0"/>
            <wp:docPr descr="Figure 5.1: Layered MVC Architecture and Component Decomposition of the HALAH Framework" title="" id="65" name="Picture"/>
            <a:graphic>
              <a:graphicData uri="http://schemas.openxmlformats.org/drawingml/2006/picture">
                <pic:pic>
                  <pic:nvPicPr>
                    <pic:cNvPr descr="media_col/fig03.png" id="66" name="Picture"/>
                    <pic:cNvPicPr>
                      <a:picLocks noChangeArrowheads="1" noChangeAspect="1"/>
                    </pic:cNvPicPr>
                  </pic:nvPicPr>
                  <pic:blipFill>
                    <a:blip r:embed="rId64"/>
                    <a:stretch>
                      <a:fillRect/>
                    </a:stretch>
                  </pic:blipFill>
                  <pic:spPr bwMode="auto">
                    <a:xfrm>
                      <a:off x="0" y="0"/>
                      <a:ext cx="5486400" cy="560428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0"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68" name="Picture"/>
            <a:graphic>
              <a:graphicData uri="http://schemas.openxmlformats.org/drawingml/2006/picture">
                <pic:pic>
                  <pic:nvPicPr>
                    <pic:cNvPr descr="media_col/fig04.png" id="69" name="Picture"/>
                    <pic:cNvPicPr>
                      <a:picLocks noChangeArrowheads="1" noChangeAspect="1"/>
                    </pic:cNvPicPr>
                  </pic:nvPicPr>
                  <pic:blipFill>
                    <a:blip r:embed="rId67"/>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0"/>
    <w:bookmarkStart w:id="74"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2" name="Picture"/>
            <a:graphic>
              <a:graphicData uri="http://schemas.openxmlformats.org/drawingml/2006/picture">
                <pic:pic>
                  <pic:nvPicPr>
                    <pic:cNvPr descr="media_col/fig05.png" id="73" name="Picture"/>
                    <pic:cNvPicPr>
                      <a:picLocks noChangeArrowheads="1" noChangeAspect="1"/>
                    </pic:cNvPicPr>
                  </pic:nvPicPr>
                  <pic:blipFill>
                    <a:blip r:embed="rId71"/>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74"/>
    <w:bookmarkStart w:id="75"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75"/>
    <w:bookmarkStart w:id="76"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6"/>
    <w:bookmarkEnd w:id="77"/>
    <w:bookmarkStart w:id="81"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2194560" cy="7674568"/>
            <wp:effectExtent b="0" l="0" r="0" t="0"/>
            <wp:docPr descr="Figure 5.4: End-to-End Workflow of Trust-Oriented Consent Authorisation Framework" title="" id="79" name="Picture"/>
            <a:graphic>
              <a:graphicData uri="http://schemas.openxmlformats.org/drawingml/2006/picture">
                <pic:pic>
                  <pic:nvPicPr>
                    <pic:cNvPr descr="media_col/fig06.png" id="80" name="Picture"/>
                    <pic:cNvPicPr>
                      <a:picLocks noChangeArrowheads="1" noChangeAspect="1"/>
                    </pic:cNvPicPr>
                  </pic:nvPicPr>
                  <pic:blipFill>
                    <a:blip r:embed="rId78"/>
                    <a:stretch>
                      <a:fillRect/>
                    </a:stretch>
                  </pic:blipFill>
                  <pic:spPr bwMode="auto">
                    <a:xfrm>
                      <a:off x="0" y="0"/>
                      <a:ext cx="2194560" cy="7674568"/>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1"/>
    <w:bookmarkStart w:id="82"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2"/>
    <w:bookmarkStart w:id="83"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3"/>
    <w:bookmarkStart w:id="84"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p>
    <w:p>
      <w:pPr>
        <w:pStyle w:val="BodyText"/>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84"/>
    <w:bookmarkStart w:id="85"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85"/>
    <w:bookmarkStart w:id="86"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6"/>
    <w:bookmarkStart w:id="87"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7"/>
    <w:bookmarkStart w:id="88"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5.1.</w:t>
      </w:r>
    </w:p>
    <w:bookmarkEnd w:id="88"/>
    <w:bookmarkStart w:id="89"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5.2,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89"/>
    <w:bookmarkStart w:id="90"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0"/>
    <w:bookmarkEnd w:id="91"/>
    <w:bookmarkStart w:id="135" w:name="proposed-solution"/>
    <w:p>
      <w:pPr>
        <w:pStyle w:val="Heading1"/>
      </w:pPr>
      <w:r>
        <w:t xml:space="preserve">6 Proposed Solution</w:t>
      </w:r>
    </w:p>
    <w:bookmarkStart w:id="98"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95" w:name="ro1-consent-creation-workflow"/>
    <w:p>
      <w:pPr>
        <w:pStyle w:val="Heading3"/>
      </w:pPr>
      <w:r>
        <w:t xml:space="preserve">6.1.1 RO1 Consent Creation Workflow</w:t>
      </w:r>
    </w:p>
    <w:p>
      <w:pPr>
        <w:pStyle w:val="FirstParagraph"/>
      </w:pPr>
      <w:r>
        <w:t xml:space="preserve">The following workflow(Figure 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593592" cy="7675998"/>
            <wp:effectExtent b="0" l="0" r="0" t="0"/>
            <wp:docPr descr="Figure 6.1: RO1 workflow for trust-centric consent creation" title="" id="93" name="Picture"/>
            <a:graphic>
              <a:graphicData uri="http://schemas.openxmlformats.org/drawingml/2006/picture">
                <pic:pic>
                  <pic:nvPicPr>
                    <pic:cNvPr descr="media_col/fig07.png" id="94" name="Picture"/>
                    <pic:cNvPicPr>
                      <a:picLocks noChangeArrowheads="1" noChangeAspect="1"/>
                    </pic:cNvPicPr>
                  </pic:nvPicPr>
                  <pic:blipFill>
                    <a:blip r:embed="rId92"/>
                    <a:stretch>
                      <a:fillRect/>
                    </a:stretch>
                  </pic:blipFill>
                  <pic:spPr bwMode="auto">
                    <a:xfrm>
                      <a:off x="0" y="0"/>
                      <a:ext cx="3593592" cy="7675998"/>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95"/>
    <w:bookmarkStart w:id="96"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96"/>
    <w:bookmarkStart w:id="97"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7"/>
    <w:bookmarkEnd w:id="98"/>
    <w:bookmarkStart w:id="105"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p>
    <w:p>
      <w:pPr>
        <w:pStyle w:val="BodyText"/>
      </w:pP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2"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3008376" cy="7679143"/>
            <wp:effectExtent b="0" l="0" r="0" t="0"/>
            <wp:docPr descr="Figure 6.2: RO2 workflow for decentralised identity and authority verification" title="" id="100" name="Picture"/>
            <a:graphic>
              <a:graphicData uri="http://schemas.openxmlformats.org/drawingml/2006/picture">
                <pic:pic>
                  <pic:nvPicPr>
                    <pic:cNvPr descr="media_col/fig08.png" id="101" name="Picture"/>
                    <pic:cNvPicPr>
                      <a:picLocks noChangeArrowheads="1" noChangeAspect="1"/>
                    </pic:cNvPicPr>
                  </pic:nvPicPr>
                  <pic:blipFill>
                    <a:blip r:embed="rId99"/>
                    <a:stretch>
                      <a:fillRect/>
                    </a:stretch>
                  </pic:blipFill>
                  <pic:spPr bwMode="auto">
                    <a:xfrm>
                      <a:off x="0" y="0"/>
                      <a:ext cx="3008376" cy="7679143"/>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[41]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[43, 44],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2"/>
    <w:bookmarkStart w:id="103"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3"/>
    <w:bookmarkStart w:id="104"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04"/>
    <w:bookmarkEnd w:id="105"/>
    <w:bookmarkStart w:id="112"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09"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3584448" cy="7671816"/>
            <wp:effectExtent b="0" l="0" r="0" t="0"/>
            <wp:docPr descr="Figure 6.3: RO3 workflow for threshold-based multi-party authorisation" title="" id="107" name="Picture"/>
            <a:graphic>
              <a:graphicData uri="http://schemas.openxmlformats.org/drawingml/2006/picture">
                <pic:pic>
                  <pic:nvPicPr>
                    <pic:cNvPr descr="media_col/fig09.png" id="108" name="Picture"/>
                    <pic:cNvPicPr>
                      <a:picLocks noChangeArrowheads="1" noChangeAspect="1"/>
                    </pic:cNvPicPr>
                  </pic:nvPicPr>
                  <pic:blipFill>
                    <a:blip r:embed="rId106"/>
                    <a:stretch>
                      <a:fillRect/>
                    </a:stretch>
                  </pic:blipFill>
                  <pic:spPr bwMode="auto">
                    <a:xfrm>
                      <a:off x="0" y="0"/>
                      <a:ext cx="3584448" cy="7671816"/>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 Guardian 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[42].</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09"/>
    <w:bookmarkStart w:id="110"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oMath>
      <w:r>
        <w:t xml:space="preserve"> </w:t>
      </w:r>
      <w:r>
        <w:t xml:space="preserve">(all designated guardians must approve); configurable k-of-n thresholds are Stage 2 work.</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0"/>
    <w:bookmarkStart w:id="111"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1"/>
    <w:bookmarkEnd w:id="112"/>
    <w:bookmarkStart w:id="119"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16"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 The system retrieves the relevant consent object and verifies the requesting participant.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14" name="Picture"/>
            <a:graphic>
              <a:graphicData uri="http://schemas.openxmlformats.org/drawingml/2006/picture">
                <pic:pic>
                  <pic:nvPicPr>
                    <pic:cNvPr descr="media_col/fig10.png" id="115" name="Picture"/>
                    <pic:cNvPicPr>
                      <a:picLocks noChangeArrowheads="1" noChangeAspect="1"/>
                    </pic:cNvPicPr>
                  </pic:nvPicPr>
                  <pic:blipFill>
                    <a:blip r:embed="rId113"/>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(6).</w:t>
      </w:r>
    </w:p>
    <w:bookmarkEnd w:id="116"/>
    <w:bookmarkStart w:id="117"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where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7"/>
    <w:bookmarkStart w:id="118"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8"/>
    <w:bookmarkEnd w:id="119"/>
    <w:bookmarkStart w:id="126"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3"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2907792" cy="7687670"/>
            <wp:effectExtent b="0" l="0" r="0" t="0"/>
            <wp:docPr descr="Figure 6.5: RO5 planned workflow for temporal and consent lifecycle trust" title="" id="121" name="Picture"/>
            <a:graphic>
              <a:graphicData uri="http://schemas.openxmlformats.org/drawingml/2006/picture">
                <pic:pic>
                  <pic:nvPicPr>
                    <pic:cNvPr descr="media_col/fig11.png" id="122" name="Picture"/>
                    <pic:cNvPicPr>
                      <a:picLocks noChangeArrowheads="1" noChangeAspect="1"/>
                    </pic:cNvPicPr>
                  </pic:nvPicPr>
                  <pic:blipFill>
                    <a:blip r:embed="rId120"/>
                    <a:stretch>
                      <a:fillRect/>
                    </a:stretch>
                  </pic:blipFill>
                  <pic:spPr bwMode="auto">
                    <a:xfrm>
                      <a:off x="0" y="0"/>
                      <a:ext cx="2907792" cy="7687670"/>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3"/>
    <w:bookmarkStart w:id="124"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24"/>
    <w:bookmarkStart w:id="125"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25"/>
    <w:bookmarkEnd w:id="126"/>
    <w:bookmarkStart w:id="133"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0"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4572000" cy="7676734"/>
            <wp:effectExtent b="0" l="0" r="0" t="0"/>
            <wp:docPr descr="Figure 6.6: RO6 planned workflow for formal security assurance and empirical validation" title="" id="128" name="Picture"/>
            <a:graphic>
              <a:graphicData uri="http://schemas.openxmlformats.org/drawingml/2006/picture">
                <pic:pic>
                  <pic:nvPicPr>
                    <pic:cNvPr descr="media_col/fig12.png" id="129" name="Picture"/>
                    <pic:cNvPicPr>
                      <a:picLocks noChangeArrowheads="1" noChangeAspect="1"/>
                    </pic:cNvPicPr>
                  </pic:nvPicPr>
                  <pic:blipFill>
                    <a:blip r:embed="rId127"/>
                    <a:stretch>
                      <a:fillRect/>
                    </a:stretch>
                  </pic:blipFill>
                  <pic:spPr bwMode="auto">
                    <a:xfrm>
                      <a:off x="0" y="0"/>
                      <a:ext cx="4572000" cy="7676734"/>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0"/>
    <w:bookmarkStart w:id="131"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31"/>
    <w:bookmarkStart w:id="132"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2"/>
    <w:bookmarkEnd w:id="133"/>
    <w:bookmarkStart w:id="134"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 stage implementation, 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34"/>
    <w:bookmarkEnd w:id="135"/>
    <w:bookmarkStart w:id="167"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implemented by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36"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36"/>
    <w:bookmarkStart w:id="140"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65445" cy="2746127"/>
            <wp:effectExtent b="0" l="0" r="0" t="0"/>
            <wp:docPr descr="Figure 7.1: HALAH patient subsystem – Create Smart Consent Contract" title="" id="138" name="Picture"/>
            <a:graphic>
              <a:graphicData uri="http://schemas.openxmlformats.org/drawingml/2006/picture">
                <pic:pic>
                  <pic:nvPicPr>
                    <pic:cNvPr descr="halah_media/media/image1.png" id="139" name="Picture"/>
                    <pic:cNvPicPr>
                      <a:picLocks noChangeArrowheads="1" noChangeAspect="1"/>
                    </pic:cNvPicPr>
                  </pic:nvPicPr>
                  <pic:blipFill>
                    <a:blip r:embed="rId137"/>
                    <a:stretch>
                      <a:fillRect/>
                    </a:stretch>
                  </pic:blipFill>
                  <pic:spPr bwMode="auto">
                    <a:xfrm>
                      <a:off x="0" y="0"/>
                      <a:ext cx="5465445" cy="274612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0"/>
    <w:bookmarkStart w:id="144"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operationalises the multi-party authorisation component of the proposed framework.</w:t>
      </w:r>
    </w:p>
    <w:p>
      <w:pPr>
        <w:pStyle w:val="CaptionedFigure"/>
      </w:pPr>
      <w:r>
        <w:drawing>
          <wp:inline>
            <wp:extent cx="5465445" cy="2225799"/>
            <wp:effectExtent b="0" l="0" r="0" t="0"/>
            <wp:docPr descr="Figure 7.2: HALAH guardian subsystem – Guardian Cryptographic Approval" title="" id="142" name="Picture"/>
            <a:graphic>
              <a:graphicData uri="http://schemas.openxmlformats.org/drawingml/2006/picture">
                <pic:pic>
                  <pic:nvPicPr>
                    <pic:cNvPr descr="halah_media/media/image2.png" id="143" name="Picture"/>
                    <pic:cNvPicPr>
                      <a:picLocks noChangeArrowheads="1" noChangeAspect="1"/>
                    </pic:cNvPicPr>
                  </pic:nvPicPr>
                  <pic:blipFill>
                    <a:blip r:embed="rId141"/>
                    <a:stretch>
                      <a:fillRect/>
                    </a:stretch>
                  </pic:blipFill>
                  <pic:spPr bwMode="auto">
                    <a:xfrm>
                      <a:off x="0" y="0"/>
                      <a:ext cx="5465445" cy="2225799"/>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44"/>
    <w:bookmarkStart w:id="151"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5465445" cy="3388081"/>
            <wp:effectExtent b="0" l="0" r="0" t="0"/>
            <wp:docPr descr="Figure 7.3: HALAH doctor subsystem – consent information, state and authorised data scope" title="" id="146" name="Picture"/>
            <a:graphic>
              <a:graphicData uri="http://schemas.openxmlformats.org/drawingml/2006/picture">
                <pic:pic>
                  <pic:nvPicPr>
                    <pic:cNvPr descr="halah_media/media/image3.png" id="147" name="Picture"/>
                    <pic:cNvPicPr>
                      <a:picLocks noChangeArrowheads="1" noChangeAspect="1"/>
                    </pic:cNvPicPr>
                  </pic:nvPicPr>
                  <pic:blipFill>
                    <a:blip r:embed="rId145"/>
                    <a:stretch>
                      <a:fillRect/>
                    </a:stretch>
                  </pic:blipFill>
                  <pic:spPr bwMode="auto">
                    <a:xfrm>
                      <a:off x="0" y="0"/>
                      <a:ext cx="5465445" cy="3388081"/>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p>
    <w:p>
      <w:pPr>
        <w:pStyle w:val="BodyText"/>
      </w:pPr>
      <w:r>
        <w:t xml:space="preserve">The message shows Cryptographic Verification Successful — Access Granted.</w:t>
      </w:r>
    </w:p>
    <w:p>
      <w:pPr>
        <w:pStyle w:val="BodyText"/>
      </w:pPr>
      <w:r>
        <w:t xml:space="preserve">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65445" cy="3048937"/>
            <wp:effectExtent b="0" l="0" r="0" t="0"/>
            <wp:docPr descr="Figure 7.4: HALAH doctor subsystem – requested modules, access decision and authorised medical records" title="" id="149" name="Picture"/>
            <a:graphic>
              <a:graphicData uri="http://schemas.openxmlformats.org/drawingml/2006/picture">
                <pic:pic>
                  <pic:nvPicPr>
                    <pic:cNvPr descr="halah_media/media/image4.png" id="150" name="Picture"/>
                    <pic:cNvPicPr>
                      <a:picLocks noChangeArrowheads="1" noChangeAspect="1"/>
                    </pic:cNvPicPr>
                  </pic:nvPicPr>
                  <pic:blipFill>
                    <a:blip r:embed="rId148"/>
                    <a:stretch>
                      <a:fillRect/>
                    </a:stretch>
                  </pic:blipFill>
                  <pic:spPr bwMode="auto">
                    <a:xfrm>
                      <a:off x="0" y="0"/>
                      <a:ext cx="5465445" cy="3048937"/>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 it goes the flow 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1"/>
    <w:bookmarkStart w:id="155"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65445" cy="2905354"/>
            <wp:effectExtent b="0" l="0" r="0" t="0"/>
            <wp:docPr descr="Figure 7.5: HALAH auditor subsystem – Blockchain Audit &amp; Consent Lifecycle" title="" id="153" name="Picture"/>
            <a:graphic>
              <a:graphicData uri="http://schemas.openxmlformats.org/drawingml/2006/picture">
                <pic:pic>
                  <pic:nvPicPr>
                    <pic:cNvPr descr="halah_media/media/image5.png" id="154" name="Picture"/>
                    <pic:cNvPicPr>
                      <a:picLocks noChangeArrowheads="1" noChangeAspect="1"/>
                    </pic:cNvPicPr>
                  </pic:nvPicPr>
                  <pic:blipFill>
                    <a:blip r:embed="rId152"/>
                    <a:stretch>
                      <a:fillRect/>
                    </a:stretch>
                  </pic:blipFill>
                  <pic:spPr bwMode="auto">
                    <a:xfrm>
                      <a:off x="0" y="0"/>
                      <a:ext cx="5465445" cy="2905354"/>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displayed records include:</w:t>
      </w:r>
      <w:r>
        <w:t xml:space="preserve"> </w:t>
      </w:r>
      <m:oMath>
        <m:r>
          <m:t>C</m:t>
        </m:r>
        <m:r>
          <m:t>R</m:t>
        </m:r>
        <m:r>
          <m:t>E</m:t>
        </m:r>
        <m:r>
          <m:t>A</m:t>
        </m:r>
        <m:r>
          <m:t>T</m:t>
        </m:r>
        <m:r>
          <m:t>E</m:t>
        </m:r>
        <m:r>
          <m:rPr>
            <m:nor/>
          </m:rPr>
          <m:t>_</m:t>
        </m:r>
        <m:r>
          <m:t>C</m:t>
        </m:r>
        <m:r>
          <m:t>O</m:t>
        </m:r>
        <m:r>
          <m:t>N</m:t>
        </m:r>
        <m:r>
          <m:t>S</m:t>
        </m:r>
        <m:r>
          <m:t>E</m:t>
        </m:r>
        <m:r>
          <m:t>N</m:t>
        </m:r>
        <m:r>
          <m:t>T</m:t>
        </m:r>
      </m:oMath>
    </w:p>
    <w:p>
      <w:pPr>
        <w:pStyle w:val="BodyText"/>
      </w:pPr>
      <w:r>
        <w:t xml:space="preserve">performed by the patient, followed by:</w:t>
      </w:r>
      <w:r>
        <w:t xml:space="preserve"> </w:t>
      </w:r>
      <m:oMath>
        <m:r>
          <m:t>S</m:t>
        </m:r>
        <m:r>
          <m:t>I</m:t>
        </m:r>
        <m:r>
          <m:t>G</m:t>
        </m:r>
        <m:r>
          <m:t>N</m:t>
        </m:r>
        <m:r>
          <m:rPr>
            <m:nor/>
          </m:rPr>
          <m:t>_</m:t>
        </m:r>
        <m:r>
          <m:t>C</m:t>
        </m:r>
        <m:r>
          <m:t>O</m:t>
        </m:r>
        <m:r>
          <m:t>N</m:t>
        </m:r>
        <m:r>
          <m:t>S</m:t>
        </m:r>
        <m:r>
          <m:t>E</m:t>
        </m:r>
        <m:r>
          <m:t>N</m:t>
        </m:r>
        <m:r>
          <m:t>T</m:t>
        </m:r>
      </m:oMath>
    </w:p>
    <w:p>
      <w:pPr>
        <w:pStyle w:val="BodyText"/>
      </w:pPr>
      <w:r>
        <w:t xml:space="preserve">performed by the guardians, followed by:</w:t>
      </w:r>
      <w:r>
        <w:t xml:space="preserve"> </w:t>
      </w:r>
      <m:oMath>
        <m:r>
          <m:t>M</m:t>
        </m:r>
        <m:r>
          <m:t>I</m:t>
        </m:r>
        <m:r>
          <m:t>N</m:t>
        </m:r>
        <m:r>
          <m:t>T</m:t>
        </m:r>
        <m:r>
          <m:rPr>
            <m:nor/>
          </m:rPr>
          <m:t>_</m:t>
        </m:r>
        <m:r>
          <m:t>S</m:t>
        </m:r>
        <m:r>
          <m:t>B</m:t>
        </m:r>
        <m:r>
          <m:t>T</m:t>
        </m:r>
      </m:oMath>
    </w:p>
    <w:p>
      <w:pPr>
        <w:pStyle w:val="BodyText"/>
      </w:pPr>
      <w:r>
        <w:t xml:space="preserve">performed by the smart contract.</w:t>
      </w:r>
    </w:p>
    <w:p>
      <w:pPr>
        <w:pStyle w:val="BodyText"/>
      </w:pPr>
      <w:r>
        <w:t xml:space="preserve">The subsequent system events:</w:t>
      </w:r>
      <w:r>
        <w:t xml:space="preserve"> </w:t>
      </w:r>
      <m:oMath>
        <m:r>
          <m:t>S</m:t>
        </m:r>
        <m:r>
          <m:t>T</m:t>
        </m:r>
        <m:r>
          <m:t>A</m:t>
        </m:r>
        <m:r>
          <m:t>T</m:t>
        </m:r>
        <m:r>
          <m:t>E</m:t>
        </m:r>
        <m:r>
          <m:rPr>
            <m:nor/>
          </m:rPr>
          <m:t>_</m:t>
        </m:r>
        <m:r>
          <m:t>C</m:t>
        </m:r>
        <m:r>
          <m:t>H</m:t>
        </m:r>
        <m:r>
          <m:t>E</m:t>
        </m:r>
        <m:r>
          <m:t>C</m:t>
        </m:r>
        <m:r>
          <m:t>K</m:t>
        </m:r>
      </m:oMath>
    </w:p>
    <w:p>
      <w:pPr>
        <w:pStyle w:val="BodyText"/>
      </w:pPr>
      <w:r>
        <w:t xml:space="preserve">demonstrate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p>
    <w:p>
      <w:pPr>
        <w:pStyle w:val="BodyText"/>
      </w:pPr>
      <w:r>
        <w:t xml:space="preserve">with the result:</w:t>
      </w:r>
      <w:r>
        <w:t xml:space="preserve"> </w:t>
      </w:r>
      <m:oMath>
        <m:r>
          <m:t>G</m:t>
        </m:r>
        <m:r>
          <m:t>R</m:t>
        </m:r>
        <m:r>
          <m:t>A</m:t>
        </m:r>
        <m:r>
          <m:t>N</m:t>
        </m:r>
        <m:r>
          <m:t>T</m:t>
        </m:r>
        <m:r>
          <m:t>E</m:t>
        </m:r>
        <m:r>
          <m:t>D</m:t>
        </m:r>
      </m:oMath>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55"/>
    <w:bookmarkStart w:id="156"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p>
      <w:pPr>
        <w:pStyle w:val="BodyText"/>
      </w:pPr>
      <w:r>
        <w:rPr>
          <w:b/>
          <w:bCs/>
        </w:rPr>
        <w:t xml:space="preserve">CA 3 Discussion</w:t>
      </w:r>
    </w:p>
    <w:bookmarkEnd w:id="156"/>
    <w:bookmarkStart w:id="157"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7"/>
    <w:bookmarkStart w:id="158"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58"/>
    <w:bookmarkStart w:id="159"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59"/>
    <w:bookmarkStart w:id="163"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t xml:space="preserve">DID check; EIP-712 approval signing and verification (Algorithm 2,</w:t>
            </w:r>
            <w:r>
              <w:t xml:space="preserve"> </w:t>
            </w:r>
            <m:oMath>
              <m:sSub>
                <m:e>
                  <m:r>
                    <m:t>V</m:t>
                  </m:r>
                </m:e>
                <m:sub>
                  <m:r>
                    <m:t>I</m:t>
                  </m:r>
                </m:sub>
              </m:sSub>
            </m:oMath>
            <w:r>
              <w:t xml:space="preserve">)</w:t>
            </w:r>
          </w:p>
        </w:tc>
      </w:tr>
      <w:tr>
        <w:trPr>
          <w:cantSplit/>
        </w:trPr>
        <w:tc>
          <w:tcPr/>
          <w:p>
            <w:pPr>
              <w:pStyle w:val="Compact"/>
              <w:jc w:val="left"/>
            </w:pPr>
            <w:r>
              <w:t xml:space="preserve">Controller</w:t>
            </w:r>
          </w:p>
        </w:tc>
        <w:tc>
          <w:tcPr/>
          <w:p>
            <w:pPr>
              <w:pStyle w:val="Compact"/>
              <w:jc w:val="left"/>
            </w:pPr>
            <w:r>
              <w:t xml:space="preserve">services/state_service.py</w:t>
            </w:r>
          </w:p>
        </w:tc>
        <w:tc>
          <w:tcPr/>
          <w:p>
            <w:pPr>
              <w:pStyle w:val="Compact"/>
              <w:jc w:val="left"/>
            </w:pPr>
            <w:r>
              <w:t xml:space="preserve">Consent state: PENDING_SIGNATURE, PENDING_TOKEN, NOT_STARTED, EXPIRED, REVOKED, ACTIVE (</w:t>
            </w:r>
            <m:oMath>
              <m:sSub>
                <m:e>
                  <m:r>
                    <m:t>V</m:t>
                  </m:r>
                </m:e>
                <m:sub>
                  <m:r>
                    <m:t>A</m:t>
                  </m:r>
                </m:sub>
              </m:sSub>
            </m:oMath>
            <w:r>
              <w:t xml:space="preserve">,</w:t>
            </w:r>
            <w:r>
              <w:t xml:space="preserve"> </w:t>
            </w:r>
            <m:oMath>
              <m:sSub>
                <m:e>
                  <m:r>
                    <m:t>V</m:t>
                  </m:r>
                </m:e>
                <m:sub>
                  <m:r>
                    <m:t>T</m:t>
                  </m:r>
                </m:sub>
              </m:sSub>
            </m:oMath>
            <w: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[40],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p>
        </w:tc>
        <w:tc>
          <w:tcPr/>
          <w:p>
            <w:pPr>
              <w:pStyle w:val="Compact"/>
              <w:jc w:val="left"/>
            </w:pPr>
            <w:r>
              <w:t xml:space="preserve">Soulbound consent token; on-chain validity; ERC-5484 burn [42]</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3922776" cy="7689606"/>
            <wp:effectExtent b="0" l="0" r="0" t="0"/>
            <wp:docPr descr="Figure 7.6: HALAH prototype workflow from consent creation to audited access decision" title="" id="161" name="Picture"/>
            <a:graphic>
              <a:graphicData uri="http://schemas.openxmlformats.org/drawingml/2006/picture">
                <pic:pic>
                  <pic:nvPicPr>
                    <pic:cNvPr descr="media_col/fig_halah.png" id="162" name="Picture"/>
                    <pic:cNvPicPr>
                      <a:picLocks noChangeArrowheads="1" noChangeAspect="1"/>
                    </pic:cNvPicPr>
                  </pic:nvPicPr>
                  <pic:blipFill>
                    <a:blip r:embed="rId160"/>
                    <a:stretch>
                      <a:fillRect/>
                    </a:stretch>
                  </pic:blipFill>
                  <pic:spPr bwMode="auto">
                    <a:xfrm>
                      <a:off x="0" y="0"/>
                      <a:ext cx="3922776" cy="7689606"/>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3"/>
    <w:bookmarkStart w:id="164"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64"/>
    <w:bookmarkStart w:id="165" w:name="on-chain-evidence"/>
    <w:p>
      <w:pPr>
        <w:pStyle w:val="Heading2"/>
      </w:pPr>
      <w:r>
        <w:t xml:space="preserve">7.12 On-Chain Evidence</w:t>
      </w:r>
    </w:p>
    <w:p>
      <w:pPr>
        <w:pStyle w:val="FirstParagraph"/>
      </w:pPr>
      <w:r>
        <w:t xml:space="preserve">Table 7.4 lists the consent tokens anchored on the Ethereum Sepolia testnet (chain ID 11155111) by the ConsentSBTv2 contract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65"/>
    <w:bookmarkStart w:id="166"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[40]),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66"/>
    <w:bookmarkEnd w:id="167"/>
    <w:bookmarkStart w:id="174" w:name="current-progress-status"/>
    <w:p>
      <w:pPr>
        <w:pStyle w:val="Heading1"/>
      </w:pPr>
      <w:r>
        <w:t xml:space="preserve">8 Current Progress Status</w:t>
      </w:r>
    </w:p>
    <w:bookmarkStart w:id="168"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provides a conceptual basis for dynamic access decisions and allows subsequent authorisation conditions to be evaluated consistently.</w:t>
      </w:r>
    </w:p>
    <w:bookmarkEnd w:id="168"/>
    <w:bookmarkStart w:id="169"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69"/>
    <w:bookmarkStart w:id="170"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0"/>
    <w:bookmarkStart w:id="171"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1"/>
    <w:bookmarkStart w:id="172"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72"/>
    <w:bookmarkStart w:id="173"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73"/>
    <w:bookmarkEnd w:id="174"/>
    <w:bookmarkStart w:id="175"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41"/>
        <w:gridCol w:w="2163"/>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Computers &amp; Security (Elsevier)</w:t>
            </w:r>
          </w:p>
        </w:tc>
        <w:tc>
          <w:tcPr/>
          <w:p>
            <w:pPr>
              <w:pStyle w:val="Compact"/>
              <w:jc w:val="left"/>
            </w:pPr>
            <w:r>
              <w:t xml:space="preserve">Draft complete; submission planned November 2026</w:t>
            </w:r>
          </w:p>
        </w:tc>
        <w:tc>
          <w:tcPr/>
          <w:p>
            <w:pPr>
              <w:pStyle w:val="Compact"/>
              <w:jc w:val="left"/>
            </w:pPr>
            <w:r>
              <w:t xml:space="preserve">Core architectural contribution; addresses SRQ1-RQ4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75"/>
    <w:bookmarkStart w:id="178" w:name="research-plan"/>
    <w:p>
      <w:pPr>
        <w:pStyle w:val="Heading1"/>
      </w:pPr>
      <w:r>
        <w:t xml:space="preserve">10 Research Plan</w:t>
      </w:r>
    </w:p>
    <w:p>
      <w:pPr>
        <w:pStyle w:val="FirstParagraph"/>
      </w:pPr>
      <w:r>
        <w:t xml:space="preserve">The research plan is divided into two major stages corresponding to current and next stage.</w:t>
      </w:r>
    </w:p>
    <w:bookmarkStart w:id="176"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76"/>
    <w:bookmarkStart w:id="177"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next stage 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7"/>
    <w:bookmarkEnd w:id="178"/>
    <w:bookmarkStart w:id="179" w:name="references"/>
    <w:p>
      <w:pPr>
        <w:pStyle w:val="Heading1"/>
      </w:pPr>
      <w:r>
        <w:t xml:space="preserve">References</w:t>
      </w:r>
    </w:p>
    <w:p>
      <w:pPr>
        <w:pStyle w:val="FirstParagraph"/>
      </w:pPr>
      <w:r>
        <w:t xml:space="preserve">[1] Abdul Ghafoor Abbasi,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[2]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[3]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[4]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2023.</w:t>
      </w:r>
    </w:p>
    <w:p>
      <w:pPr>
        <w:pStyle w:val="BodyText"/>
      </w:pPr>
      <w:r>
        <w:t xml:space="preserve">[5] Marcela Tuler de Oliveira, Lúcio Henrik A. Reis, Yiannis Verginadis, Diogo M. F. Mattos, and Sílvia D. Olabarriaga. SmartAccess: Attribute-based access control system for medical records based on smart contracts.</w:t>
      </w:r>
      <w:r>
        <w:t xml:space="preserve"> </w:t>
      </w:r>
      <w:r>
        <w:rPr>
          <w:i/>
          <w:iCs/>
        </w:rPr>
        <w:t xml:space="preserve">IEEE Access</w:t>
      </w:r>
      <w:r>
        <w:t xml:space="preserve">, 10:117836–117854, 2022. doi:10.1109/ACCESS.2022.3217201.</w:t>
      </w:r>
    </w:p>
    <w:p>
      <w:pPr>
        <w:pStyle w:val="BodyText"/>
      </w:pPr>
      <w:r>
        <w:t xml:space="preserve">[6]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[7]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 Corrigendum: vol. 98, 104383, 2026.</w:t>
      </w:r>
    </w:p>
    <w:p>
      <w:pPr>
        <w:pStyle w:val="BodyText"/>
      </w:pPr>
      <w:r>
        <w:t xml:space="preserve">[8]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[17]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[18]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27(6):3641–3671,2025.</w:t>
      </w:r>
    </w:p>
    <w:p>
      <w:pPr>
        <w:pStyle w:val="BodyText"/>
      </w:pPr>
      <w:r>
        <w:t xml:space="preserve">[19]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[20]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[21]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[22]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[23]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[24]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[25] Sudip Phuyal, Manila Bhandari, Rabindra Bista, and João Carlos Ferreira. Blockchain-based dynamic and revocable consent for secondary health data use: Systematic review.</w:t>
      </w:r>
      <w:r>
        <w:t xml:space="preserve"> </w:t>
      </w:r>
      <w:r>
        <w:rPr>
          <w:i/>
          <w:iCs/>
        </w:rPr>
        <w:t xml:space="preserve">JMIR Medical Informatics</w:t>
      </w:r>
      <w:r>
        <w:t xml:space="preserve">, 14:e88536, 2026. doi:10.2196/88536.</w:t>
      </w:r>
    </w:p>
    <w:p>
      <w:pPr>
        <w:pStyle w:val="BodyText"/>
      </w:pPr>
      <w:r>
        <w:t xml:space="preserve">[26] Isabel Román, Jorge Calvillo-Arbizu, Vicente Mayor, Germán Madinabeitia-Luque, Antonio Estepa, and Rafael Estepa. Blockchain-based service-oriented architecture for consent management, access control, and auditing.</w:t>
      </w:r>
      <w:r>
        <w:t xml:space="preserve"> </w:t>
      </w:r>
      <w:r>
        <w:rPr>
          <w:i/>
          <w:iCs/>
        </w:rPr>
        <w:t xml:space="preserve">IEEE Access</w:t>
      </w:r>
      <w:r>
        <w:t xml:space="preserve">, 11:12727–12741, 2023. doi:10.1109/ACCESS.2023.3242605.</w:t>
      </w:r>
    </w:p>
    <w:p>
      <w:pPr>
        <w:pStyle w:val="BodyText"/>
      </w:pPr>
      <w:r>
        <w:t xml:space="preserve">[27] Kheng-Leong Tan, Chi-Hung Chi, and Kwok-Yan Lam. Secure and privacy-preserving sharing of personal health records with multi-party pre-authorization verification.</w:t>
      </w:r>
      <w:r>
        <w:t xml:space="preserve"> </w:t>
      </w:r>
      <w:r>
        <w:rPr>
          <w:i/>
          <w:iCs/>
        </w:rPr>
        <w:t xml:space="preserve">Wireless Networks</w:t>
      </w:r>
      <w:r>
        <w:t xml:space="preserve">, 30:4773–4795, 2024. doi:10.1007/s11276-022-03114-6.</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BodyText"/>
      </w:pPr>
      <w:r>
        <w:t xml:space="preserve">[30] Faheem Ullah, Jingsha He, Nafei Zhu, Ahsan Wajahat, Ahsan Nazir, Sirajuddin Qureshi, Muhammad Salman Pathan, and Soumyabrata Dev. Blockchain-enabled EHR access auditing: Enhancing healthcare data security.</w:t>
      </w:r>
      <w:r>
        <w:t xml:space="preserve"> </w:t>
      </w:r>
      <w:r>
        <w:rPr>
          <w:i/>
          <w:iCs/>
        </w:rPr>
        <w:t xml:space="preserve">Heliyon</w:t>
      </w:r>
      <w:r>
        <w:t xml:space="preserve">, 10(16):e34407, 2024. doi:10.1016/j.heliyon.2024.e34407.</w:t>
      </w:r>
    </w:p>
    <w:p>
      <w:pPr>
        <w:pStyle w:val="BodyText"/>
      </w:pPr>
      <w:r>
        <w:t xml:space="preserve">[31]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[32] Cindy Welzel, Max Ostermann, H. Jeff Smith, Timo Minssen, Toralf Kirsten, and Stephen Gilbert. Enabling secure and self determined health data sharing and consent management.</w:t>
      </w:r>
      <w:r>
        <w:t xml:space="preserve"> </w:t>
      </w:r>
      <w:r>
        <w:rPr>
          <w:i/>
          <w:iCs/>
        </w:rPr>
        <w:t xml:space="preserve">npj Digital Medicine</w:t>
      </w:r>
      <w:r>
        <w:t xml:space="preserve">, 8:560, 2025. doi:10.1038/s41746-025-01945-z.</w:t>
      </w:r>
    </w:p>
    <w:p>
      <w:pPr>
        <w:pStyle w:val="BodyText"/>
      </w:pPr>
      <w:r>
        <w:t xml:space="preserve">[33] Nadeem Yaqub, Jianbiao Zhang, Muhammad Irfan Khalid, Weiru Wang, Markus Helfert, Mansoor Ahmed, and Jungsuk Kim. Blockchain enabled policy-based access control mechanism to restrict unauthorized access to electronic health records.</w:t>
      </w:r>
      <w:r>
        <w:t xml:space="preserve"> </w:t>
      </w:r>
      <w:r>
        <w:rPr>
          <w:i/>
          <w:iCs/>
        </w:rPr>
        <w:t xml:space="preserve">PeerJ Computer Science</w:t>
      </w:r>
      <w:r>
        <w:t xml:space="preserve">, 11:e2647, 2025. doi:10.7717/peerj-cs.2647.</w:t>
      </w:r>
    </w:p>
    <w:p>
      <w:pPr>
        <w:pStyle w:val="BodyText"/>
      </w:pPr>
      <w:r>
        <w:t xml:space="preserve">[34]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[35]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[36]</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[37]</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[38]</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[39]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[40]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[41] Remco Bloemen, Leonid Logvinov, and Jacob Evans. EIP-712: Typed structured data hashing and signing. Ethereum Improvement Proposals, 2017. https://eips.ethereum.org/EIPS/eip-712.</w:t>
      </w:r>
    </w:p>
    <w:p>
      <w:pPr>
        <w:pStyle w:val="BodyText"/>
      </w:pPr>
      <w:r>
        <w:t xml:space="preserve">[42] ERC-5484: Consensual Soulbound Tokens. Ethereum Improvement Proposals, 2022. https://eips.ethereum.org/EIPS/eip-5484.</w:t>
      </w:r>
    </w:p>
    <w:p>
      <w:pPr>
        <w:pStyle w:val="BodyText"/>
      </w:pPr>
      <w:r>
        <w:t xml:space="preserve">[43] W3C. Decentralized Identifiers (DIDs) v1.0. W3C Recommendation, 2022. https://www.w3.org/TR/did-core/.</w:t>
      </w:r>
    </w:p>
    <w:p>
      <w:pPr>
        <w:pStyle w:val="BodyText"/>
      </w:pPr>
      <w:r>
        <w:t xml:space="preserve">[44] W3C. Verifiable Credentials Data Model v2.0. W3C Recommendation, 2025. https://www.w3.org/TR/vc-data-model-2.0/.</w:t>
      </w:r>
    </w:p>
    <w:bookmarkEnd w:id="179"/>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92" Target="media/rId92.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3" Target="media/rId113.png" /><Relationship Type="http://schemas.openxmlformats.org/officeDocument/2006/relationships/image" Id="rId120" Target="media/rId120.png" /><Relationship Type="http://schemas.openxmlformats.org/officeDocument/2006/relationships/image" Id="rId127" Target="media/rId127.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2026-09-29T06:58:36Z</dcterms:created>
  <dcterms:modified xsi:type="dcterms:W3CDTF">2026-09-29T06:58:36Z</dcterms:modified>
</cp:coreProperties>
</file>

<file path=docProps/custom.xml><?xml version="1.0" encoding="utf-8"?>
<Properties xmlns="http://schemas.openxmlformats.org/officeDocument/2006/custom-properties" xmlns:vt="http://schemas.openxmlformats.org/officeDocument/2006/docPropsVTypes"/>
</file>