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vanish/>
        </w:rPr>
        <w:t xml:space="preserve">5. </w:t>
      </w:r>
      <w:r>
        <w:rPr>
          <w:smallCaps/>
        </w:rPr>
        <w:t>Research Architecture and Trust-Centric Consent Model</w:t>
      </w:r>
    </w:p>
    <w:p>
      <w:pPr>
        <w:pStyle w:val="2"/>
      </w:pPr>
      <w:r>
        <w:rPr>
          <w:color w:val="FF0000"/>
        </w:rPr>
        <w:t>5.1 Introduction</w:t>
      </w:r>
    </w:p>
    <w:p>
      <w:pPr/>
      <w:r>
        <w:rPr>
          <w:color w:val="FF0000"/>
        </w:rP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rPr>
          <w:color w:val="FF0000"/>
        </w:rPr>
        <w:t>1.</w:t>
        <w:tab/>
      </w:r>
      <w:r>
        <w:rPr>
          <w:b/>
          <w:color w:val="FF0000"/>
        </w:rPr>
        <w:t xml:space="preserve">Blockchain: </w:t>
      </w:r>
      <w:r>
        <w:rPr>
          <w:color w:val="FF0000"/>
        </w:rP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rPr>
          <w:color w:val="FF0000"/>
        </w:rPr>
        <w:t>2.</w:t>
        <w:tab/>
      </w:r>
      <w:r>
        <w:rPr>
          <w:b/>
          <w:color w:val="FF0000"/>
        </w:rPr>
        <w:t xml:space="preserve">Solidity: </w:t>
      </w:r>
      <w:r>
        <w:rPr>
          <w:color w:val="FF0000"/>
        </w:rP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rPr>
          <w:color w:val="FF0000"/>
        </w:rPr>
        <w:t>3.</w:t>
        <w:tab/>
      </w:r>
      <w:r>
        <w:rPr>
          <w:b/>
          <w:color w:val="FF0000"/>
        </w:rPr>
        <w:t xml:space="preserve">Python and Streamlit: </w:t>
      </w:r>
      <w:r>
        <w:rPr>
          <w:color w:val="FF0000"/>
        </w:rP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rPr>
          <w:color w:val="FF0000"/>
        </w:rPr>
        <w:t>4.</w:t>
        <w:tab/>
      </w:r>
      <w:r>
        <w:rPr>
          <w:b/>
          <w:color w:val="FF0000"/>
        </w:rPr>
        <w:t xml:space="preserve">EIP-712 and Groth16: </w:t>
      </w:r>
      <w:r>
        <w:rPr>
          <w:color w:val="FF0000"/>
        </w:rP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rPr>
          <w:color w:val="FF0000"/>
        </w:rPr>
        <w:t>5.</w:t>
        <w:tab/>
      </w:r>
      <w:r>
        <w:rPr>
          <w:b/>
          <w:color w:val="FF0000"/>
        </w:rPr>
        <w:t xml:space="preserve">Synthea: </w:t>
      </w:r>
      <w:r>
        <w:rPr>
          <w:color w:val="FF0000"/>
        </w:rPr>
        <w:t>The healthcare records of the prototype are synthetic patients produced by the Synthea generator (Walonoski et al. 2018). The dataset is described in Section 5.7.</w:t>
      </w:r>
    </w:p>
    <w:p>
      <w:pPr/>
      <w:r>
        <w:rPr>
          <w:color w:val="FF0000"/>
        </w:rP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rPr>
          <w:color w:val="FF0000"/>
        </w:rP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rPr>
          <w:color w:val="FF0000"/>
        </w:rPr>
        <w:t>This thesis denotes</w:t>
      </w:r>
      <w:r>
        <w:t xml:space="preserve"> that check V</w:t>
      </w:r>
      <w:r>
        <w:rPr>
          <w:vertAlign w:val="subscript"/>
        </w:rPr>
        <w:t>J</w:t>
      </w:r>
      <w:r>
        <w:t xml:space="preserve"> and treats jurisdiction as a contextual policy condition for the next stage </w:t>
      </w:r>
      <w:r>
        <w:rPr>
          <w:color w:val="FF0000"/>
        </w:rP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color w:val="FF0000"/>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color w:val="FF0000"/>
          <w:sz w:val="20"/>
          <w:szCs w:val="18"/>
        </w:rPr>
        <w:t>.</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rPr>
          <w:color w:val="FF0000"/>
        </w:rP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rPr>
          <w:color w:val="FF0000"/>
        </w:rP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rPr>
          <w:color w:val="FF0000"/>
        </w:rP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rPr>
          <w:color w:val="FF0000"/>
        </w:rPr>
        <w:t>(5.1)</w:t>
      </w:r>
    </w:p>
    <w:p w14:paraId="63094BBA" w14:textId="77777777" w:rsidR="009262C4" w:rsidRDefault="00000000">
      <w:pPr>
        <w:spacing w:after="110" w:line="264" w:lineRule="auto"/>
        <w:jc w:val="both"/>
      </w:pPr>
      <w:r>
        <w:rPr>
          <w:color w:val="FF0000"/>
        </w:rPr>
        <w:t>In Equation (5.1)</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rPr>
          <w:color w:val="FF0000"/>
        </w:rP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rPr>
          <w:color w:val="FF0000"/>
        </w:rP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color w:val="FF0000"/>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rPr>
          <w:color w:val="FF0000"/>
        </w:rPr>
        <w:t>(Chapter 8)</w:t>
      </w:r>
      <w:r>
        <w:t>.</w:t>
      </w:r>
    </w:p>
    <w:p>
      <w:pPr>
        <w:pStyle w:val="3"/>
      </w:pPr>
      <w:r>
        <w:t>5.5.2 Structure of the Consent Object</w:t>
      </w:r>
    </w:p>
    <w:p w14:paraId="5F6EAA5F" w14:textId="77777777" w:rsidR="009262C4" w:rsidRDefault="00000000">
      <w:pPr>
        <w:spacing w:after="110" w:line="264" w:lineRule="auto"/>
        <w:jc w:val="both"/>
      </w:pPr>
      <w:r>
        <w:rPr>
          <w:color w:val="FF0000"/>
        </w:rP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color w:val="FF0000"/>
          <w:sz w:val="20"/>
          <w:szCs w:val="18"/>
        </w:rPr>
        <w:t>Figure 5.6</w:t>
      </w:r>
      <w:r>
        <w:rPr>
          <w:b/>
          <w:bCs/>
          <w:sz w:val="20"/>
          <w:szCs w:val="18"/>
        </w:rPr>
        <w:t xml:space="preserve">: </w:t>
      </w:r>
      <w:r>
        <w:rPr>
          <w:sz w:val="20"/>
          <w:szCs w:val="18"/>
        </w:rPr>
        <w:t>Six-component consent model C = (I, A, P, T, L, E)</w:t>
      </w:r>
      <w:r>
        <w:rPr>
          <w:color w:val="FF0000"/>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rPr>
          <w:color w:val="FF0000"/>
        </w:rPr>
        <w:t xml:space="preserve">T, L, </w:t>
      </w:r>
      <w:r>
        <w:t xml:space="preserve">E), where I represents the verified identity information, A represents the authorisation requirements, P represents the consent purpose and associated permissions, </w:t>
      </w:r>
      <w:r>
        <w:rPr>
          <w:color w:val="FF0000"/>
        </w:rP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rPr>
          <w:color w:val="FF0000"/>
        </w:rPr>
        <w:t>as qualified in Chapter 6</w:t>
      </w:r>
      <w:r>
        <w:t xml:space="preserve">. The validation evidence for consent creation, including the demonstration scenarios and the unit-level tests, </w:t>
      </w:r>
      <w:r>
        <w:rPr>
          <w:color w:val="FF0000"/>
        </w:rPr>
        <w:t>is presented in Section 5.9.</w:t>
      </w:r>
    </w:p>
    <w:p>
      <w:pPr>
        <w:pStyle w:val="3"/>
      </w:pPr>
      <w:r>
        <w:rPr>
          <w:color w:val="FF0000"/>
        </w:rPr>
        <w:t>5.6.1 Aims of Engineering the Prototype System</w:t>
      </w:r>
    </w:p>
    <w:p>
      <w:pPr/>
      <w:r>
        <w:rPr>
          <w:color w:val="FF0000"/>
        </w:rP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rPr>
          <w:color w:val="FF0000"/>
        </w:rP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rPr>
          <w:color w:val="FF0000"/>
        </w:rP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rPr>
          <w:color w:val="FF0000"/>
        </w:rP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color w:val="FF0000"/>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Procedure</w:t>
            </w:r>
          </w:p>
        </w:tc>
      </w:tr>
    </w:tbl>
    <w:p>
      <w:pPr>
        <w:pStyle w:val="2"/>
      </w:pPr>
      <w:r>
        <w:rPr>
          <w:color w:val="FF0000"/>
        </w:rPr>
        <w:t>5.8 Steps in the Working of the Prototype System for Consent Creation</w:t>
      </w:r>
    </w:p>
    <w:p>
      <w:pPr/>
      <w:r>
        <w:rPr>
          <w:color w:val="FF0000"/>
        </w:rP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pPr>
      <w:r>
        <w:rPr>
          <w:color w:val="FF0000"/>
        </w:rPr>
        <w:t>5.8.1 Steps in the patient interface</w:t>
      </w:r>
    </w:p>
    <w:p>
      <w:pPr/>
      <w:r>
        <w:rPr>
          <w:color w:val="FF0000"/>
        </w:rPr>
        <w:t>1. The patient selects the role Patient and their own DID, which the prototype loads from the record set.</w:t>
      </w:r>
    </w:p>
    <w:p>
      <w:pPr/>
      <w:r>
        <w:rPr>
          <w:color w:val="FF0000"/>
        </w:rPr>
        <w:t>2. The patient enters the DID of the authorised doctor and the DIDs of the guardians, separated by commas.</w:t>
      </w:r>
    </w:p>
    <w:p>
      <w:pPr/>
      <w:r>
        <w:rPr>
          <w:color w:val="FF0000"/>
        </w:rPr>
        <w:t>3. The patient selects the data modules from Observation, Medication, Condition and Procedure, and sets the start and expiry times.</w:t>
      </w:r>
    </w:p>
    <w:p>
      <w:pPr/>
      <w:r>
        <w:rPr>
          <w:color w:val="FF0000"/>
        </w:rP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pPr>
      <w:r>
        <w:rPr>
          <w:color w:val="FF0000"/>
        </w:rPr>
        <w:t>5.8.2 Steps in the service layer</w:t>
      </w:r>
    </w:p>
    <w:p>
      <w:pPr/>
      <w:r>
        <w:rPr>
          <w:color w:val="FF0000"/>
        </w:rP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rPr>
          <w:color w:val="FF0000"/>
        </w:rP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color w:val="FF0000"/>
          <w:sz w:val="20"/>
        </w:rPr>
        <w:t>Figure 5.7: The patient interface of the HALAH prototype after a consent has been created.</w:t>
      </w:r>
    </w:p>
    <w:p>
      <w:pPr>
        <w:pStyle w:val="2"/>
      </w:pPr>
      <w:r>
        <w:rPr>
          <w:color w:val="FF0000"/>
        </w:rPr>
        <w:t>5.9 Prototype Evaluation and Discussion</w:t>
      </w:r>
    </w:p>
    <w:p>
      <w:pPr/>
      <w:r>
        <w:rPr>
          <w:color w:val="FF0000"/>
        </w:rPr>
        <w:t>Objective one involves the representation of patient consent as an evaluable authorisation object. The results of the validation carried out for this objective are shown in Figure 5.8 and Table 5.4, and the evaluation of the architecture against its security properties is shown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rPr>
          <w:color w:val="FF0000"/>
        </w:rPr>
        <w:t>5.9.1 Validation of Consent Creation</w:t>
      </w:r>
    </w:p>
    <w:p>
      <w:pPr/>
      <w:r>
        <w:rPr>
          <w:color w:val="FF0000"/>
        </w:rP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rPr>
          <w:color w:val="FF0000"/>
        </w:rP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rPr>
          <w:color w:val="FF0000"/>
        </w:rP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color w:val="FF0000"/>
          <w:sz w:val="20"/>
        </w:rPr>
        <w:t>Figure 5.8: A specification that names the same guardian twice is rejected by Algorithm 1 before any consent is stored.</w:t>
      </w:r>
    </w:p>
    <w:p>
      <w:pPr/>
      <w:r>
        <w:rPr>
          <w:color w:val="FF0000"/>
        </w:rP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color w:val="FF0000"/>
          <w:sz w:val="20"/>
        </w:rPr>
        <w:t>Table 5.4: Evaluation of the trust-centric consent model: the check applied to each component of C at creation, the evidence and the result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Every creation is logged; a rejected specification stores and logs nothing.</w:t>
            </w:r>
          </w:p>
        </w:tc>
      </w:tr>
    </w:tbl>
    <w:p>
      <w:pPr>
        <w:pStyle w:val="3"/>
      </w:pPr>
      <w:r>
        <w:rPr>
          <w:color w:val="FF0000"/>
        </w:rPr>
        <w:t>5.9.2 Evaluation of the Architecture against the Security Properties</w:t>
      </w:r>
    </w:p>
    <w:p>
      <w:pPr/>
      <w:r>
        <w:rPr>
          <w:color w:val="FF0000"/>
        </w:rPr>
        <w:t>The proposed MVC architecture provides several foundational security properties for the current stage. These properties emerge from the interaction between the Model, View, and Controller rather than from any single technology.</w:t>
      </w:r>
    </w:p>
    <w:p>
      <w:pPr/>
      <w:r>
        <w:rPr>
          <w:color w:val="FF0000"/>
        </w:rP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color w:val="FF0000"/>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user-interface actions from being interpreted directly as trusted authorisation outcomes.</w:t>
            </w:r>
          </w:p>
        </w:tc>
      </w:tr>
    </w:tbl>
    <w:p>
      <w:pPr/>
      <w:r>
        <w:rPr>
          <w:color w:val="FF0000"/>
        </w:rPr>
      </w:r>
    </w:p>
    <w:p>
      <w:pPr/>
      <w:r>
        <w:rPr>
          <w:color w:val="FF0000"/>
        </w:rP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pPr>
      <w:r>
        <w:rPr>
          <w:color w:val="FF0000"/>
        </w:rPr>
        <w:t>5.9.3 Discussion</w:t>
      </w:r>
    </w:p>
    <w:p>
      <w:pPr/>
      <w:r>
        <w:rPr>
          <w:color w:val="FF0000"/>
        </w:rP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rPr>
          <w:color w:val="FF0000"/>
        </w:rP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pPr>
      <w:r>
        <w:rPr>
          <w:color w:val="FF0000"/>
        </w:rPr>
        <w:t>5.10 Conclusion</w:t>
      </w:r>
    </w:p>
    <w:p>
      <w:pPr/>
      <w:r>
        <w:rPr>
          <w:color w:val="FF0000"/>
        </w:rP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rPr>
          <w:color w:val="FF0000"/>
        </w:rP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rPr>
          <w:color w:val="FF0000"/>
        </w:rPr>
        <w:t>The next chapter will discuss in a methodological manner the steps involved in verifying who the participants are and what authority they hold, which is the solution for research objective 2.</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2026-10-22T07:56:58Z</dcterms:created>
  <dcterms:modified xsi:type="dcterms:W3CDTF">2026-10-22T07:56:58Z</dcterms:modified>
</cp:coreProperties>
</file>