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 xml:space="preserve">RO1 to RO4 are completed and validated at the current stage</w:t>
      </w:r>
      <w:r>
        <w:t xml:space="preserve">. Their evaluation</w:t>
      </w:r>
      <w:r>
        <w:t xml:space="preserve">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 xml:space="preserve">RO5 and RO6 are not done. RO5 is in progress, and part of it has already been delivered. For RO6, the HALAH (History Access Link for Authorised Healthcare) prototype has so far been used only for the initial scenario-based validation of RO1 to RO4</w:t>
      </w:r>
      <w:r>
        <w:t xml:space="preserve">. The formal assurance</w:t>
      </w:r>
      <w:r>
        <w:t xml:space="preserv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 xml:space="preserve">Within healthcare consent or authorisation</w:t>
            </w:r>
            <w:r>
              <w:rPr>
                <w:sz w:val="19"/>
              </w:rPr>
              <w:t xml:space="preserve">.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 xml:space="preserve">Relevant to a review question</w:t>
            </w:r>
            <w:r>
              <w:rPr>
                <w:sz w:val="19"/>
              </w:rPr>
              <w:t xml:space="preserve">.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 xml:space="preserve">Each question was answered Yes or No, and any study which has at least three Yes answers to the six questions, and meets the eligibility criteria of Step 2, is included in this SLR. These questions decide whether a study enters the review</w:t>
      </w:r>
      <w:r>
        <w:rPr/>
        <w:t xml:space="preserve">. Whether it satisfies</w:t>
      </w:r>
      <w:r>
        <w:rPr/>
        <w:t xml:space="preserve">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w:t>
      </w:r>
      <w:r>
        <w:rPr/>
        <w:t>.</w:t>
      </w:r>
      <w:r>
        <w:t xml:space="preserve">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r>
      <w:r>
        <w:rPr/>
        <w:tab/>
      </w:r>
      <w:r>
        <w:rPr>
          <w:i/>
          <w:u w:val="single"/>
        </w:rPr>
        <w:t>Inability to bind purpose and data scope to the same decision as identity, authority and approval (Req 4):</w:t>
      </w:r>
      <w:r>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w:t>
      </w:r>
      <w:r>
        <w:rPr/>
        <w:t xml:space="preserve">. In the reviewed studies</w:t>
      </w:r>
      <w:r>
        <w:rPr/>
        <w:t xml:space="preserve">,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integrated with the complete access decision (Req 5):</w:t>
      </w:r>
      <w:r>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addressed through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t>This requirement is addressed through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addressed through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addressed through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w:t>
      </w:r>
      <w:r>
        <w:rPr/>
        <w:t>This requirement is addressed through RO5, presented in Section 10.</w:t>
      </w:r>
    </w:p>
    <w:p>
      <w:pPr>
        <w:pStyle w:val="3"/>
      </w:pPr>
      <w:r>
        <w:t>2.5.6 Verifiable Auditability and Security Assurance (Req 6)</w:t>
      </w:r>
    </w:p>
    <w:p>
      <w:pPr/>
      <w:r>
        <w:t xml:space="preserve">Audit ledger evidence and 46 automated tests, including twelve attack scenarios A1 to A12. </w:t>
      </w:r>
      <w:r>
        <w:rPr/>
        <w:t>This requirement is addressed through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 xml:space="preserve">5. There is no evaluation of temporal validity, lifecycle state and revocation that is integrated with the complete access decision</w:t>
      </w:r>
      <w:r>
        <w:t xml:space="preserve">. Where they are evaluated</w:t>
      </w:r>
      <w:r>
        <w:t xml:space="preserve"> at the time of the request, they stand apart from the identity, authority and approval conditions, and elsewhere they are enforced on a credential or at registration.</w:t>
      </w:r>
    </w:p>
    <w:p>
      <w:pPr>
        <w:spacing w:after="110" w:line="264" w:lineRule="auto"/>
        <w:ind w:left="624" w:hanging="340"/>
        <w:jc w:val="both"/>
      </w:pPr>
      <w:r>
        <w:t xml:space="preserve">6. There is no formal definition or systematic testing of the complete authorisation decision under valid, invalid and adversarial conditions</w:t>
      </w:r>
      <w:r>
        <w:t xml:space="preserve">. Any proof covers</w:t>
      </w:r>
      <w:r>
        <w:t xml:space="preserve">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(Section 11.6).</w:t>
      </w:r>
      <w:r>
        <w:t xml:space="preserve">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 xml:space="preserve">RO6 is not done</w:t>
      </w:r>
      <w:r>
        <w:t xml:space="preserve">. So far, the HALAH</w:t>
      </w:r>
      <w:r>
        <w:t xml:space="preserve">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 xml:space="preserve">In the evaluation stage, the artefact has so far been validated through access scenarios, 46 automated tests including twelve attack scenarios, and preliminary measurements of gas and processing time (Section 11)</w:t>
      </w:r>
      <w:r>
        <w:t xml:space="preserve">. The evaluation of the complete framework</w:t>
      </w:r>
      <w:r>
        <w:t xml:space="preserve">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Section 9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w:t>
      </w:r>
    </w:p>
    <w:p>
      <w:pPr>
        <w:spacing w:after="110" w:line="264" w:lineRule="auto"/>
      </w:pPr>
      <w:r>
        <w:t>In the current prototype, VI also checks the EIP-712 signature of each listed guardian, and a refusal for a consent that is not ACTIVE is recorded in the audit ledger like any other refusal</w:t>
      </w:r>
      <w:r>
        <w:t>.</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t xml:space="preserve">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 xml:space="preserve">The four gates of Figure 5.4 are identity (DID), authority (VC and signed approval), collective approval (threshold), and validity of the consent for the request </w:t>
      </w:r>
      <w:r>
        <w:t>(policy, time and lifecycle)</w:t>
      </w:r>
      <w:r>
        <w:t>.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400000" cy="3436779"/>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436779"/>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t xml:space="preserve">In the implemented prototype, the threshold is fixed at N = |G|, as justified in Section 8, and once the N-of-N condition is satisfied, the consent token is minted in the local ledger and a background job anchors the mint on Sepolia asynchronously. </w:t>
      </w:r>
      <w:r>
        <w:t>The policy, temporal and lifecycle checks VP, VT and VL are then evaluated before access is granted, and the audit evidence is recorded.</w:t>
      </w:r>
      <w: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 xml:space="preserve">Central identity provider</w:t>
            </w:r>
            <w:r>
              <w:rPr>
                <w:sz w:val="19"/>
                <w:szCs w:val="17"/>
              </w:rPr>
              <w:t xml:space="preserve">,</w:t>
            </w:r>
            <w:r>
              <w:rPr>
                <w:sz w:val="19"/>
                <w:szCs w:val="17"/>
              </w:rPr>
              <w:t xml:space="preserve">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 xml:space="preserve">A DID for every participant</w:t>
            </w:r>
            <w:r>
              <w:rPr>
                <w:sz w:val="19"/>
                <w:szCs w:val="17"/>
              </w:rPr>
              <w:t xml:space="preserve">,</w:t>
            </w:r>
            <w:r>
              <w:rPr>
                <w:sz w:val="19"/>
                <w:szCs w:val="17"/>
              </w:rPr>
              <w:t xml:space="preserve">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 xml:space="preserve">All listed guardians sign (EIP-712)</w:t>
            </w:r>
            <w:r>
              <w:rPr>
                <w:sz w:val="19"/>
                <w:szCs w:val="17"/>
              </w:rPr>
              <w:t xml:space="preserve">,</w:t>
            </w:r>
            <w:r>
              <w:rPr>
                <w:sz w:val="19"/>
                <w:szCs w:val="17"/>
              </w:rPr>
              <w:t xml:space="preserve">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evaluated at every request</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 xml:space="preserve">Validity window and revocation checked each time</w:t>
            </w:r>
            <w:r>
              <w:rPr>
                <w:sz w:val="19"/>
                <w:szCs w:val="17"/>
              </w:rPr>
              <w:t xml:space="preserve">,</w:t>
            </w:r>
            <w:r>
              <w:rPr>
                <w:sz w:val="19"/>
                <w:szCs w:val="17"/>
              </w:rPr>
              <w:t xml:space="preserv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 xml:space="preserve">Every access decision, allowed or denied, logged off-chain with its decision matrix</w:t>
            </w:r>
            <w:r>
              <w:rPr>
                <w:sz w:val="19"/>
                <w:szCs w:val="17"/>
              </w:rPr>
              <w:t xml:space="preserve">,</w:t>
            </w:r>
            <w:r>
              <w:rPr>
                <w:sz w:val="19"/>
                <w:szCs w:val="17"/>
              </w:rPr>
              <w:t xml:space="preserve">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w:t>
      </w:r>
      <w:r>
        <w:t>resents the current state of the consent object and its permissible transitions. The temporal component bounds the consent in time, and the lifecycle component states whether the consent can currently be used.</w:t>
      </w:r>
      <w: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Unlike</w:t>
      </w:r>
      <w:r>
        <w:t xml:space="preserv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t xml:space="preserve">Identifiers without a valid credential rejected before anything is stored</w:t>
            </w:r>
            <w:r>
              <w:rPr>
                <w:sz w:val="19"/>
              </w:rPr>
              <w:t xml:space="preserve">. Valid</w:t>
            </w:r>
            <w:r>
              <w:rPr>
                <w:sz w:val="19"/>
              </w:rPr>
              <w:t xml:space="preserve"> identifiers holding valid credentials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t xml:space="preserve">Steps 3 and 7: the guardian set G, and the threshold N derived from it as |G|</w:t>
            </w:r>
            <w:r>
              <w:rPr>
                <w:sz w:val="19"/>
              </w:rPr>
              <w:t xml:space="preserve">. No guardian</w:t>
            </w:r>
            <w:r>
              <w:rPr>
                <w:sz w:val="19"/>
              </w:rPr>
              <w:t xml:space="preserve">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Duplicate guardian rejected</w:t>
            </w:r>
            <w:r>
              <w:rPr>
                <w:sz w:val="19"/>
              </w:rPr>
              <w:t xml:space="preserve">. Consent created</w:t>
            </w:r>
            <w:r>
              <w:rPr>
                <w:sz w:val="19"/>
              </w:rPr>
              <w:t xml:space="preserve">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Steps 4 and 5: the purpose and the data scope</w:t>
            </w:r>
            <w:r>
              <w:rPr>
                <w:sz w:val="19"/>
              </w:rPr>
              <w:t xml:space="preserve">. The data scope must</w:t>
            </w:r>
            <w:r>
              <w:rPr>
                <w:sz w:val="19"/>
              </w:rPr>
              <w:t xml:space="preserve">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 xml:space="preserve">A consent with an empty data scope is rejected (Section 11.4). </w:t>
            </w:r>
            <w:r>
              <w:rPr>
                <w:sz w:val="19"/>
              </w:rPr>
              <w:t xml:space="preserve">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Empty scope rejected</w:t>
            </w:r>
            <w:r>
              <w:rPr>
                <w:sz w:val="19"/>
              </w:rPr>
              <w:t xml:space="preserve">. Purpose and scope</w:t>
            </w:r>
            <w:r>
              <w:rPr>
                <w:sz w:val="19"/>
              </w:rPr>
              <w:t xml:space="preserv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 6: the validity interval T = (ts, te)</w:t>
            </w:r>
            <w:r>
              <w:rPr>
                <w:sz w:val="19"/>
              </w:rPr>
              <w:t xml:space="preserve">. The expiry time</w:t>
            </w:r>
            <w:r>
              <w:rPr>
                <w:sz w:val="19"/>
              </w:rPr>
              <w:t xml:space="preserv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Validity interval recorded</w:t>
            </w:r>
            <w:r>
              <w:rPr>
                <w:sz w:val="19"/>
              </w:rPr>
              <w:t xml:space="preserve">. The interval</w:t>
            </w:r>
            <w:r>
              <w:rPr>
                <w:sz w:val="19"/>
              </w:rPr>
              <w:t xml:space="preserve">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t>Steps 8 to 10: the consent identifier is generated, the object is constructed and persisted, and its state becomes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Created in PENDING_SIGNATURE</w:t>
            </w:r>
            <w:r>
              <w:rPr>
                <w:sz w:val="19"/>
              </w:rPr>
              <w:t xml:space="preserve">. No access</w:t>
            </w:r>
            <w:r>
              <w:rPr>
                <w:sz w:val="19"/>
              </w:rPr>
              <w:t xml:space="preserve">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t xml:space="preserve">Step 11: the CREATE_CONSENT event is written to the audit ledger </w:t>
            </w:r>
            <w:r>
              <w:rPr>
                <w:sz w:val="19"/>
              </w:rPr>
              <w:t xml:space="preserve">with the consent identifier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Every creation is logged</w:t>
            </w:r>
            <w:r>
              <w:rPr>
                <w:sz w:val="19"/>
              </w:rPr>
              <w:t xml:space="preserve">. A rejected</w:t>
            </w:r>
            <w:r>
              <w:rPr>
                <w:sz w:val="19"/>
              </w:rPr>
              <w:t xml:space="preserve">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w:t>
      </w:r>
      <w:r>
        <w:t>The lifecycle condition VL of Equation (9.3) corresponds</w:t>
      </w:r>
      <w:r>
        <w:t xml:space="preserve">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w:t>
      </w:r>
      <w:r>
        <w:t>.</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t xml:space="preserve">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xml:space="preserve">) </w:t>
      </w:r>
      <w:r>
        <w:t>and a consent whose lifecycle state does not permit access (VL)</w:t>
      </w:r>
      <w:r>
        <w:t>.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 xml:space="preserve">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w:t>
      </w:r>
      <w:r>
        <w:t>a two-letter context code, and a revocation flag</w:t>
      </w:r>
      <w:r>
        <w:t>.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w:t>
      </w:r>
      <w:r>
        <w:t>The implementation also collects the start and expiry time of the consent. As shown in Figure 11.2, all four EMR modules were selected and two guardians were designated.</w:t>
      </w:r>
      <w:r>
        <w:t xml:space="preserve">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all five checks pass" title="Doctor subsystem for the evaluated consent f050c29a: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policy-context violation (exploratory check, supports RQ4)</w:t>
      </w:r>
      <w:r>
        <w:rPr>
          <w:b/>
          <w:bCs/>
        </w:rPr>
        <w:t>.</w:t>
      </w:r>
      <w:r>
        <w:t xml:space="preserve"> A valid identity and sufficient approval do not necessarily imply that every requested operation is permitted. The same doctor repeated the request for the evaluated consent, which remained ACTIVE, </w:t>
      </w:r>
      <w:r>
        <w:t xml:space="preserve">while declaring a request context that differed from the one recorded in the consent, and all checks except that context check passed</w:t>
      </w:r>
      <w:r>
        <w:t xml:space="preserve">. The prototype interface</w:t>
      </w:r>
      <w:r>
        <w:t xml:space="preserve"> of 24 September 2026 labels this check VL. Here, VL = FAIL and ALLOW = FAIL reflect</w:t>
      </w:r>
      <w:r>
        <w:t xml:space="preserve">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one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failed check" title="Refused request naming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 xml:space="preserve">Table 11.3 shows how the validation procedure provides traceability between the final access decision and its supporting evidence. The ledger row of the single logged DENY, </w:t>
      </w:r>
      <w:r>
        <w:t>Scenario 4,</w:t>
      </w:r>
      <w:r>
        <w:t xml:space="preserve">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 xml:space="preserve">In Table 11.3, rows are the index numbers of the exported ledger, counted from 0, and n/l means not logged. </w:t>
      </w:r>
      <w:r>
        <w:t>VL is the fifth check as the prototype logged it on 24 September 2026.</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request context that differs from the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t xml:space="preserve">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w:t>
      </w:r>
      <w:r>
        <w:t>so a change of scope, purpose, requester or expiry after approval is not detected</w:t>
      </w:r>
      <w:r>
        <w:t xml:space="preserve">. Fourth, A6 relies on the server clock, </w:t>
      </w:r>
      <w:r>
        <w:t>A7 on the request context declared by the requester</w:t>
      </w:r>
      <w:r>
        <w:t>,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w:t>
      </w:r>
      <w:r>
        <w:t>and contextual policy conditions extend</w:t>
      </w:r>
      <w:r>
        <w:t xml:space="preserve">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 xml:space="preserve">Add the SUSPENDED state and the lifecycle transition check. Extend the implemented lifecycle mechanism to support consent modification, delegation and guardian-set changes, extend the policy evaluation </w:t>
            </w:r>
            <w:r>
              <w:rPr>
                <w:sz w:val="19"/>
                <w:szCs w:val="17"/>
              </w:rPr>
              <w:t>with a declared request purpose,</w:t>
            </w:r>
            <w:r>
              <w:rPr>
                <w:sz w:val="19"/>
                <w:szCs w:val="17"/>
              </w:rPr>
              <w:t xml:space="preserve">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2026-10-24T05:20:59Z</dcterms:created>
  <dcterms:modified xsi:type="dcterms:W3CDTF">2026-10-24T05:20:59Z</dcterms:modified>
</cp:coreProperties>
</file>