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r>
      <w:r>
        <w:tab/>
      </w:r>
      <w:r>
        <w:t xml:space="preserve">There is no evaluation of temporal validity, lifecycle state and revocation that is integrated with the complete access decision</w:t>
      </w:r>
      <w:r>
        <w:t xml:space="preserve">. Where they are evaluated</w:t>
      </w:r>
      <w:r>
        <w:t xml:space="preserve"> at the time of the request, they stand apart from the identity, authority and approval conditions, and elsewhere they are enforced on a credential or at registration.</w:t>
      </w:r>
    </w:p>
    <w:p>
      <w:pPr>
        <w:tabs>
          <w:tab w:pos="624" w:val="left"/>
        </w:tabs>
        <w:spacing w:after="120"/>
        <w:ind w:left="624" w:hanging="397"/>
      </w:pPr>
      <w:r>
        <w:t>6.</w:t>
      </w:r>
      <w:r>
        <w:tab/>
      </w:r>
      <w:r>
        <w:t xml:space="preserve">There is no formal definition or systematic testing of the complete authorisation decision under valid, invalid and adversarial conditions</w:t>
      </w:r>
      <w:r>
        <w:t xml:space="preserve">. Any proof covers</w:t>
      </w:r>
      <w:r>
        <w:t xml:space="preserve">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2026-10-23T09:38:08Z</dcterms:created>
  <dcterms:modified xsi:type="dcterms:W3CDTF">2026-10-23T09:38:08Z</dcterms:modified>
</cp:coreProperties>
</file>