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1"/>
          <w:headerReference w:type="even" r:id="rId42"/>
          <w:footerReference w:type="default" r:id="rId43"/>
          <w:footerReference w:type="even" r:id="rId44"/>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 xml:space="preserve">Within healthcare consent or authorisation</w:t>
            </w:r>
            <w:r>
              <w:rPr>
                <w:rFonts w:ascii="Palatino Linotype" w:hAnsi="Palatino Linotype" w:cs="Palatino Linotype"/>
                <w:color w:val="000000"/>
                <w:sz w:val="19"/>
              </w:rPr>
              <w:t xml:space="preserve">.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 xml:space="preserve">Relevant to a review question</w:t>
            </w:r>
            <w:r>
              <w:rPr>
                <w:rFonts w:ascii="Palatino Linotype" w:hAnsi="Palatino Linotype" w:cs="Palatino Linotype"/>
                <w:color w:val="000000"/>
                <w:sz w:val="19"/>
              </w:rPr>
              <w:t xml:space="preserve">.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r>
      <w:r>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w:t>
      </w:r>
      <w:r>
        <w:t xml:space="preserve">. In the reviewed studies</w:t>
      </w:r>
      <w:r>
        <w:t xml:space="preserve">,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r>
      <w:r>
        <w:tab/>
      </w:r>
      <w:r>
        <w:t xml:space="preserve">There is no formal definition or systematic testing of the complete authorisation decision under valid, invalid and adversarial conditions</w:t>
      </w:r>
      <w:r>
        <w:t xml:space="preserve">. Any proof covers</w:t>
      </w:r>
      <w:r>
        <w:t xml:space="preserve">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sectPr w:rsidR="009262C4">
      <w:headerReference w:type="default" r:id="rId45"/>
      <w:headerReference w:type="even" r:id="rId46"/>
      <w:footerReference w:type="default" r:id="rId47"/>
      <w:footerReference w:type="even" r:id="rId48"/>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 Id="rId41" Type="http://schemas.openxmlformats.org/officeDocument/2006/relationships/header" Target="header3.xml"/><Relationship Id="rId42" Type="http://schemas.openxmlformats.org/officeDocument/2006/relationships/header" Target="header4.xml"/><Relationship Id="rId43" Type="http://schemas.openxmlformats.org/officeDocument/2006/relationships/footer" Target="footer3.xml"/><Relationship Id="rId44" Type="http://schemas.openxmlformats.org/officeDocument/2006/relationships/footer" Target="footer4.xml"/><Relationship Id="rId45" Type="http://schemas.openxmlformats.org/officeDocument/2006/relationships/header" Target="header5.xml"/><Relationship Id="rId46" Type="http://schemas.openxmlformats.org/officeDocument/2006/relationships/header" Target="header6.xml"/><Relationship Id="rId47" Type="http://schemas.openxmlformats.org/officeDocument/2006/relationships/footer" Target="footer5.xml"/><Relationship Id="rId4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2026-10-22T09:41:49Z</dcterms:created>
  <dcterms:modified xsi:type="dcterms:W3CDTF">2026-10-22T09:41:49Z</dcterms:modified>
</cp:coreProperties>
</file>