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6"/>
          <w:headerReference w:type="even" r:id="rId47"/>
          <w:footerReference w:type="default" r:id="rId34"/>
          <w:footerReference w:type="even" r:id="rId48"/>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27</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120" w:before="160"/>
        <w:ind w:left="0"/>
        <w:jc w:val="left"/>
      </w:pPr>
      <w:r>
        <w:rPr>
          <w:rFonts w:ascii="Palatino Linotype" w:hAnsi="Palatino Linotype"/>
          <w:b/>
          <w:sz w:val="22"/>
        </w:rPr>
        <w:t>6 Decentralised Identity and Authority Trust</w:t>
        <w:tab/>
        <w:t>61</w:t>
      </w:r>
    </w:p>
    <w:p>
      <w:pPr>
        <w:tabs>
          <w:tab w:pos="8504" w:val="right" w:leader="dot"/>
        </w:tabs>
        <w:spacing w:after="40" w:before="0"/>
        <w:ind w:left="454"/>
        <w:jc w:val="left"/>
      </w:pPr>
      <w:r>
        <w:rPr>
          <w:rFonts w:ascii="Palatino Linotype" w:hAnsi="Palatino Linotype"/>
          <w:b w:val="0"/>
          <w:sz w:val="22"/>
        </w:rPr>
        <w:t>6.1 Introduction</w:t>
        <w:tab/>
        <w:t>61</w:t>
      </w:r>
    </w:p>
    <w:p>
      <w:pPr>
        <w:tabs>
          <w:tab w:pos="8504" w:val="right" w:leader="dot"/>
        </w:tabs>
        <w:spacing w:after="40" w:before="0"/>
        <w:ind w:left="454"/>
        <w:jc w:val="left"/>
      </w:pPr>
      <w:r>
        <w:rPr>
          <w:rFonts w:ascii="Palatino Linotype" w:hAnsi="Palatino Linotype"/>
          <w:b w:val="0"/>
          <w:sz w:val="22"/>
        </w:rPr>
        <w:t>6.2 Decentralised Identifiers and Verifiable Credentials</w:t>
        <w:tab/>
        <w:t>61</w:t>
      </w:r>
    </w:p>
    <w:p>
      <w:pPr>
        <w:tabs>
          <w:tab w:pos="8504" w:val="right" w:leader="dot"/>
        </w:tabs>
        <w:spacing w:after="40" w:before="0"/>
        <w:ind w:left="1020"/>
        <w:jc w:val="left"/>
      </w:pPr>
      <w:r>
        <w:rPr>
          <w:rFonts w:ascii="Palatino Linotype" w:hAnsi="Palatino Linotype"/>
          <w:b w:val="0"/>
          <w:sz w:val="22"/>
        </w:rPr>
        <w:t>6.2.1 Decentralised Identifiers</w:t>
        <w:tab/>
        <w:t>62</w:t>
      </w:r>
    </w:p>
    <w:p>
      <w:pPr>
        <w:tabs>
          <w:tab w:pos="8504" w:val="right" w:leader="dot"/>
        </w:tabs>
        <w:spacing w:after="40" w:before="0"/>
        <w:ind w:left="1020"/>
        <w:jc w:val="left"/>
      </w:pPr>
      <w:r>
        <w:rPr>
          <w:rFonts w:ascii="Palatino Linotype" w:hAnsi="Palatino Linotype"/>
          <w:b w:val="0"/>
          <w:sz w:val="22"/>
        </w:rPr>
        <w:t>6.2.2 Verifiable Credentials</w:t>
        <w:tab/>
        <w:t>62</w:t>
      </w:r>
    </w:p>
    <w:p>
      <w:pPr>
        <w:tabs>
          <w:tab w:pos="8504" w:val="right" w:leader="dot"/>
        </w:tabs>
        <w:spacing w:after="40" w:before="0"/>
        <w:ind w:left="1020"/>
        <w:jc w:val="left"/>
      </w:pPr>
      <w:r>
        <w:rPr>
          <w:rFonts w:ascii="Palatino Linotype" w:hAnsi="Palatino Linotype"/>
          <w:b w:val="0"/>
          <w:sz w:val="22"/>
        </w:rPr>
        <w:t>6.2.3 Credential Store and Trusted Issuers</w:t>
        <w:tab/>
        <w:t>63</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63</w:t>
      </w:r>
    </w:p>
    <w:p>
      <w:pPr>
        <w:tabs>
          <w:tab w:pos="8504" w:val="right" w:leader="dot"/>
        </w:tabs>
        <w:spacing w:after="40" w:before="0"/>
        <w:ind w:left="454"/>
        <w:jc w:val="left"/>
      </w:pPr>
      <w:r>
        <w:rPr>
          <w:rFonts w:ascii="Palatino Linotype" w:hAnsi="Palatino Linotype"/>
          <w:b w:val="0"/>
          <w:sz w:val="22"/>
        </w:rPr>
        <w:t>6.4 Identity and Authority Verification Workflow</w:t>
        <w:tab/>
        <w:t>64</w:t>
      </w:r>
    </w:p>
    <w:p>
      <w:pPr>
        <w:tabs>
          <w:tab w:pos="8504" w:val="right" w:leader="dot"/>
        </w:tabs>
        <w:spacing w:after="40" w:before="0"/>
        <w:ind w:left="454"/>
        <w:jc w:val="left"/>
      </w:pPr>
      <w:r>
        <w:rPr>
          <w:rFonts w:ascii="Palatino Linotype" w:hAnsi="Palatino Linotype"/>
          <w:b w:val="0"/>
          <w:sz w:val="22"/>
        </w:rPr>
        <w:t>6.5 Verification Model and Algorithm</w:t>
        <w:tab/>
        <w:t>65</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65</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66</w:t>
      </w:r>
    </w:p>
    <w:p>
      <w:pPr>
        <w:tabs>
          <w:tab w:pos="8504" w:val="right" w:leader="dot"/>
        </w:tabs>
        <w:spacing w:after="40" w:before="0"/>
        <w:ind w:left="454"/>
        <w:jc w:val="left"/>
      </w:pPr>
      <w:r>
        <w:rPr>
          <w:rFonts w:ascii="Palatino Linotype" w:hAnsi="Palatino Linotype"/>
          <w:b w:val="0"/>
          <w:sz w:val="22"/>
        </w:rPr>
        <w:t>6.6 Prototype Implementation</w:t>
        <w:tab/>
        <w:t>67</w:t>
      </w:r>
    </w:p>
    <w:p>
      <w:pPr>
        <w:tabs>
          <w:tab w:pos="8504" w:val="right" w:leader="dot"/>
        </w:tabs>
        <w:spacing w:after="40" w:before="0"/>
        <w:ind w:left="1020"/>
        <w:jc w:val="left"/>
      </w:pPr>
      <w:r>
        <w:rPr>
          <w:rFonts w:ascii="Palatino Linotype" w:hAnsi="Palatino Linotype"/>
          <w:b w:val="0"/>
          <w:sz w:val="22"/>
        </w:rPr>
        <w:t>6.6.1 Realisation in the Prototype</w:t>
        <w:tab/>
        <w:t>67</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68</w:t>
      </w:r>
    </w:p>
    <w:p>
      <w:pPr>
        <w:tabs>
          <w:tab w:pos="8504" w:val="right" w:leader="dot"/>
        </w:tabs>
        <w:spacing w:after="40" w:before="0"/>
        <w:ind w:left="454"/>
        <w:jc w:val="left"/>
      </w:pPr>
      <w:r>
        <w:rPr>
          <w:rFonts w:ascii="Palatino Linotype" w:hAnsi="Palatino Linotype"/>
          <w:b w:val="0"/>
          <w:sz w:val="22"/>
        </w:rPr>
        <w:t>6.7 Prototype Validation and Discussion</w:t>
        <w:tab/>
        <w:t>69</w:t>
      </w:r>
    </w:p>
    <w:p>
      <w:pPr>
        <w:tabs>
          <w:tab w:pos="8504" w:val="right" w:leader="dot"/>
        </w:tabs>
        <w:spacing w:after="40" w:before="0"/>
        <w:ind w:left="1020"/>
        <w:jc w:val="left"/>
      </w:pPr>
      <w:r>
        <w:rPr>
          <w:rFonts w:ascii="Palatino Linotype" w:hAnsi="Palatino Linotype"/>
          <w:b w:val="0"/>
          <w:sz w:val="22"/>
        </w:rPr>
        <w:t>6.7.1 Validation of Identity and Authority Verification</w:t>
        <w:tab/>
        <w:t>69</w:t>
      </w:r>
    </w:p>
    <w:p>
      <w:pPr>
        <w:tabs>
          <w:tab w:pos="8504" w:val="right" w:leader="dot"/>
        </w:tabs>
        <w:spacing w:after="40" w:before="0"/>
        <w:ind w:left="1020"/>
        <w:jc w:val="left"/>
      </w:pPr>
      <w:r>
        <w:rPr>
          <w:rFonts w:ascii="Palatino Linotype" w:hAnsi="Palatino Linotype"/>
          <w:b w:val="0"/>
          <w:sz w:val="22"/>
        </w:rPr>
        <w:t>6.7.2 Discussion</w:t>
        <w:tab/>
        <w:t>72</w:t>
      </w:r>
    </w:p>
    <w:p>
      <w:pPr>
        <w:tabs>
          <w:tab w:pos="8504" w:val="right" w:leader="dot"/>
        </w:tabs>
        <w:spacing w:after="40" w:before="0"/>
        <w:ind w:left="454"/>
        <w:jc w:val="left"/>
      </w:pPr>
      <w:r>
        <w:rPr>
          <w:rFonts w:ascii="Palatino Linotype" w:hAnsi="Palatino Linotype"/>
          <w:b w:val="0"/>
          <w:sz w:val="22"/>
        </w:rPr>
        <w:t>6.8 Conclusion</w:t>
        <w:tab/>
        <w:t>72</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62</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63</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64</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68</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69</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69</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71</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9"/>
          <w:headerReference w:type="even" r:id="rId50"/>
          <w:footerReference w:type="default" r:id="rId51"/>
          <w:footerReference w:type="even" r:id="rId52"/>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Within healthcare consent or authorisation</w:t>
            </w:r>
            <w:r>
              <w:rPr>
                <w:rFonts w:ascii="Palatino Linotype" w:hAnsi="Palatino Linotype" w:cs="Palatino Linotype"/>
                <w:color w:val="000000"/>
                <w:sz w:val="20"/>
              </w:rPr>
              <w:t xml:space="preserve">.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Relevant to a review question</w:t>
            </w:r>
            <w:r>
              <w:rPr>
                <w:rFonts w:ascii="Palatino Linotype" w:hAnsi="Palatino Linotype" w:cs="Palatino Linotype"/>
                <w:color w:val="000000"/>
                <w:sz w:val="20"/>
              </w:rPr>
              <w:t xml:space="preserve">.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 xml:space="preserve">Each question was answered Yes or No, and any study which has at least three Yes answers to the six questions, and meets the eligibility criteria of Step 2, is included in this SLR. These questions decide whether a study enters the review</w:t>
      </w:r>
      <w:r>
        <w:t xml:space="preserve">. Whether it satisfies</w:t>
      </w:r>
      <w:r>
        <w:t xml:space="preserve">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w:t>
      </w:r>
      <w:r>
        <w:t>.</w:t>
      </w:r>
      <w:r>
        <w:t xml:space="preserve">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r>
      <w:r>
        <w:tab/>
      </w:r>
      <w:r>
        <w:rPr>
          <w:i/>
          <w:u w:val="single"/>
        </w:rPr>
        <w:t>Inability to bind purpose and data scope to the same decision as identity, authority and approval (Req 4):</w:t>
      </w:r>
      <w: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w:t>
      </w:r>
      <w:r>
        <w:t xml:space="preserve">. In the reviewed studies</w:t>
      </w:r>
      <w:r>
        <w:t xml:space="preserve">,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integrated with the complete access decision (Req 5):</w:t>
      </w:r>
      <w: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t>This requirement is addressed through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r>
      <w:r>
        <w:tab/>
      </w:r>
      <w:r>
        <w:t xml:space="preserve">There is no evaluation of temporal validity, lifecycle state and revocation that is integrated with the complete access decision</w:t>
      </w:r>
      <w:r>
        <w:t xml:space="preserve">. Where they are evaluated</w:t>
      </w:r>
      <w:r>
        <w:t xml:space="preserve"> at the time of the request, they stand apart from the identity, authority and approval conditions, and elsewhere they are enforced on a credential or at registration.</w:t>
      </w:r>
    </w:p>
    <w:p>
      <w:pPr>
        <w:tabs>
          <w:tab w:pos="624" w:val="left"/>
        </w:tabs>
        <w:spacing w:after="120"/>
        <w:ind w:left="624" w:hanging="397"/>
      </w:pPr>
      <w:r>
        <w:t>6.</w:t>
      </w:r>
      <w:r>
        <w:tab/>
      </w:r>
      <w:r>
        <w:t xml:space="preserve">There is no formal definition or systematic testing of the complete authorisation decision under valid, invalid and adversarial conditions</w:t>
      </w:r>
      <w:r>
        <w:t xml:space="preserve">. Any proof covers</w:t>
      </w:r>
      <w:r>
        <w:t xml:space="preserve">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 xml:space="preserve">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w:t>
      </w:r>
      <w:r>
        <w:t xml:space="preserve">. This provides</w:t>
      </w:r>
      <w:r>
        <w:t xml:space="preserve">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 xml:space="preserve">A blockchain is a decentralised and distributed ledger in which a recorded entry cannot be altered retroactively without altering the blocks that follow it (Wood 2014). In HALAH the chain holds no medical content</w:t>
      </w:r>
      <w:r>
        <w:t xml:space="preserve">. It anchors</w:t>
      </w:r>
      <w:r>
        <w:t xml:space="preserve">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w:t>
      </w:r>
      <w:r>
        <w:t xml:space="preserve">The contract was deployed through</w:t>
      </w:r>
      <w:r>
        <w:t xml:space="preserve">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 xml:space="preserve">Every participant is named by a decentralised identifier </w:t>
      </w:r>
      <w:r>
        <w:t xml:space="preserve">(W3C 2022), and the doctor and each guardian hold a role credential</w:t>
      </w:r>
      <w:r>
        <w:t xml:space="preserve">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Central identity provider</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 DID for every participant</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All listed guardians sign (EIP-712)</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Validity window and revocation checked each time</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Every access decision, allowed or denied, logged off-chain with its decision matrix</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Chapter 9" title="Six-component consent model C = (I, A, P, T, L, E) with the content and supplier of each component, where L is the lifecycle state. The states shown are those of the design, and the states implemented in the prototype are given in Chapte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 xml:space="preserve">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w:t>
      </w:r>
      <w:r>
        <w:t xml:space="preserve">. Its purpose</w:t>
      </w:r>
      <w:r>
        <w:t xml:space="preserv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 xml:space="preserve">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w:t>
      </w:r>
      <w:r>
        <w:t xml:space="preserve">. The quantitative</w:t>
      </w:r>
      <w:r>
        <w:t xml:space="preser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 xml:space="preserve">Automated tests. Two tests cover consent creation. The test test_patient_form_checks_the_doctor_and_the_guardians drives the patient form itself: it submits </w:t>
      </w:r>
      <w:r>
        <w:t xml:space="preserve">a doctor DID without a valid doctor credential</w:t>
      </w:r>
      <w:r>
        <w:t xml:space="preserve">,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w:t>
      </w:r>
      <w:r>
        <w:t xml:space="preserve">the stored approval is unchanged</w:t>
      </w:r>
      <w:r>
        <w:t xml:space="preserve">. </w:t>
      </w:r>
      <w:r>
        <w:t xml:space="preserve">Both tests pass</w:t>
      </w:r>
      <w:r>
        <w:t xml:space="preserve">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Identifiers without a valid credential rejected before anything is stored</w:t>
            </w:r>
            <w:r>
              <w:rPr>
                <w:rFonts w:ascii="Palatino Linotype" w:hAnsi="Palatino Linotype" w:cs="Palatino Linotype"/>
                <w:color w:val="000000"/>
                <w:sz w:val="20"/>
              </w:rPr>
              <w:t xml:space="preserve">. Valid</w:t>
            </w:r>
            <w:r>
              <w:rPr>
                <w:rFonts w:ascii="Palatino Linotype" w:hAnsi="Palatino Linotype" w:cs="Palatino Linotype"/>
                <w:color w:val="000000"/>
                <w:sz w:val="20"/>
              </w:rPr>
              <w:t xml:space="preserve">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3 and 7: the guardian set G, and the threshold N derived from it as |G|</w:t>
            </w:r>
            <w:r>
              <w:rPr>
                <w:rFonts w:ascii="Palatino Linotype" w:hAnsi="Palatino Linotype" w:cs="Palatino Linotype"/>
                <w:color w:val="000000"/>
                <w:sz w:val="20"/>
              </w:rPr>
              <w:t xml:space="preserve">. No guardian</w:t>
            </w:r>
            <w:r>
              <w:rPr>
                <w:rFonts w:ascii="Palatino Linotype" w:hAnsi="Palatino Linotype" w:cs="Palatino Linotype"/>
                <w:color w:val="000000"/>
                <w:sz w:val="20"/>
              </w:rPr>
              <w:t xml:space="preserve">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Duplicate guardian rejected</w:t>
            </w:r>
            <w:r>
              <w:rPr>
                <w:rFonts w:ascii="Palatino Linotype" w:hAnsi="Palatino Linotype" w:cs="Palatino Linotype"/>
                <w:color w:val="000000"/>
                <w:sz w:val="20"/>
              </w:rPr>
              <w:t xml:space="preserve">. Consent created</w:t>
            </w:r>
            <w:r>
              <w:rPr>
                <w:rFonts w:ascii="Palatino Linotype" w:hAnsi="Palatino Linotype" w:cs="Palatino Linotype"/>
                <w:color w:val="000000"/>
                <w:sz w:val="20"/>
              </w:rPr>
              <w:t xml:space="preserve">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4 and 5: the purpose and the data scope</w:t>
            </w:r>
            <w:r>
              <w:rPr>
                <w:rFonts w:ascii="Palatino Linotype" w:hAnsi="Palatino Linotype" w:cs="Palatino Linotype"/>
                <w:color w:val="000000"/>
                <w:sz w:val="20"/>
              </w:rPr>
              <w:t xml:space="preserve">. The data scope must</w:t>
            </w:r>
            <w:r>
              <w:rPr>
                <w:rFonts w:ascii="Palatino Linotype" w:hAnsi="Palatino Linotype" w:cs="Palatino Linotype"/>
                <w:color w:val="000000"/>
                <w:sz w:val="20"/>
              </w:rPr>
              <w:t xml:space="preserve">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the four data modules and the purpose Treatment</w:t>
            </w:r>
            <w:r>
              <w:rPr>
                <w:rFonts w:ascii="Palatino Linotype" w:hAnsi="Palatino Linotype" w:cs="Palatino Linotype"/>
                <w:color w:val="000000"/>
                <w:sz w:val="20"/>
              </w:rPr>
              <w:t xml:space="preserve">. The purpose vocabulary</w:t>
            </w:r>
            <w:r>
              <w:rPr>
                <w:rFonts w:ascii="Palatino Linotype" w:hAnsi="Palatino Linotype" w:cs="Palatino Linotype"/>
                <w:color w:val="000000"/>
                <w:sz w:val="20"/>
              </w:rPr>
              <w:t xml:space="preserve">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Empty scope rejected</w:t>
            </w:r>
            <w:r>
              <w:rPr>
                <w:rFonts w:ascii="Palatino Linotype" w:hAnsi="Palatino Linotype" w:cs="Palatino Linotype"/>
                <w:color w:val="000000"/>
                <w:sz w:val="20"/>
              </w:rPr>
              <w:t xml:space="preserve">. Purpose and scope</w:t>
            </w:r>
            <w:r>
              <w:rPr>
                <w:rFonts w:ascii="Palatino Linotype" w:hAnsi="Palatino Linotype" w:cs="Palatino Linotype"/>
                <w:color w:val="000000"/>
                <w:sz w:val="20"/>
              </w:rPr>
              <w:t xml:space="preserv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6: the validity interval T = (ts, te)</w:t>
            </w:r>
            <w:r>
              <w:rPr>
                <w:rFonts w:ascii="Palatino Linotype" w:hAnsi="Palatino Linotype" w:cs="Palatino Linotype"/>
                <w:color w:val="000000"/>
                <w:sz w:val="20"/>
              </w:rPr>
              <w:t xml:space="preserve">. The expiry time</w:t>
            </w:r>
            <w:r>
              <w:rPr>
                <w:rFonts w:ascii="Palatino Linotype" w:hAnsi="Palatino Linotype" w:cs="Palatino Linotype"/>
                <w:color w:val="000000"/>
                <w:sz w:val="20"/>
              </w:rPr>
              <w:t xml:space="preserv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a validity window ending on 31 December 2026</w:t>
            </w:r>
            <w:r>
              <w:rPr>
                <w:rFonts w:ascii="Palatino Linotype" w:hAnsi="Palatino Linotype" w:cs="Palatino Linotype"/>
                <w:color w:val="000000"/>
                <w:sz w:val="20"/>
              </w:rPr>
              <w:t xml:space="preserve">. The prototype refuses</w:t>
            </w:r>
            <w:r>
              <w:rPr>
                <w:rFonts w:ascii="Palatino Linotype" w:hAnsi="Palatino Linotype" w:cs="Palatino Linotype"/>
                <w:color w:val="000000"/>
                <w:sz w:val="20"/>
              </w:rPr>
              <w:t xml:space="preserve">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Validity interval recorded</w:t>
            </w:r>
            <w:r>
              <w:rPr>
                <w:rFonts w:ascii="Palatino Linotype" w:hAnsi="Palatino Linotype" w:cs="Palatino Linotype"/>
                <w:color w:val="000000"/>
                <w:sz w:val="20"/>
              </w:rPr>
              <w:t xml:space="preserve">. The interval</w:t>
            </w:r>
            <w:r>
              <w:rPr>
                <w:rFonts w:ascii="Palatino Linotype" w:hAnsi="Palatino Linotype" w:cs="Palatino Linotype"/>
                <w:color w:val="000000"/>
                <w:sz w:val="20"/>
              </w:rPr>
              <w:t xml:space="preserve">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Consents f050c29a, 04da25f5 and 18ab9b62 were created in PENDING_SIGNATURE. Test test_consent_persists_across_reload: </w:t>
            </w:r>
            <w:r>
              <w:rPr>
                <w:rFonts w:ascii="Palatino Linotype" w:hAnsi="Palatino Linotype" w:cs="Palatino Linotype"/>
                <w:color w:val="000000"/>
                <w:sz w:val="20"/>
              </w:rPr>
              <w:t xml:space="preserve">the stored approval is unchanged</w:t>
            </w:r>
            <w:r>
              <w:rPr>
                <w:rFonts w:ascii="Palatino Linotype" w:hAnsi="Palatino Linotype" w:cs="Palatino Linotype"/>
                <w:color w:val="000000"/>
                <w:sz w:val="20"/>
              </w:rPr>
              <w:t xml:space="preserve">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Created in PENDING_SIGNATURE</w:t>
            </w:r>
            <w:r>
              <w:rPr>
                <w:rFonts w:ascii="Palatino Linotype" w:hAnsi="Palatino Linotype" w:cs="Palatino Linotype"/>
                <w:color w:val="000000"/>
                <w:sz w:val="20"/>
              </w:rPr>
              <w:t xml:space="preserve">. No access</w:t>
            </w:r>
            <w:r>
              <w:rPr>
                <w:rFonts w:ascii="Palatino Linotype" w:hAnsi="Palatino Linotype" w:cs="Palatino Linotype"/>
                <w:color w:val="000000"/>
                <w:sz w:val="20"/>
              </w:rPr>
              <w:t xml:space="preserve">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11: the CREATE_CONSENT event is written to the audit ledger </w:t>
            </w:r>
            <w:r>
              <w:rPr>
                <w:rFonts w:ascii="Palatino Linotype" w:hAnsi="Palatino Linotype" w:cs="Palatino Linotype"/>
                <w:color w:val="000000"/>
                <w:sz w:val="20"/>
              </w:rPr>
              <w:t xml:space="preserve">with the consent identifier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Every creation is logged</w:t>
            </w:r>
            <w:r>
              <w:rPr>
                <w:rFonts w:ascii="Palatino Linotype" w:hAnsi="Palatino Linotype" w:cs="Palatino Linotype"/>
                <w:color w:val="000000"/>
                <w:sz w:val="20"/>
              </w:rPr>
              <w:t xml:space="preserve">. A rejected</w:t>
            </w:r>
            <w:r>
              <w:rPr>
                <w:rFonts w:ascii="Palatino Linotype" w:hAnsi="Palatino Linotype" w:cs="Palatino Linotype"/>
                <w:color w:val="000000"/>
                <w:sz w:val="20"/>
              </w:rPr>
              <w:t xml:space="preserve">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 xml:space="preserve">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w:t>
      </w:r>
      <w:r>
        <w:t xml:space="preserve">. It claims</w:t>
      </w:r>
      <w:r>
        <w:t xml:space="preserve"> it from the placement of every trust-sensitive check inside the Controller, and the tests of the following chapters are the evidence for that claim.</w:t>
      </w:r>
    </w:p>
    <w:p>
      <w:pPr>
        <w:pStyle w:val="3"/>
        <w:keepNext/>
      </w:pPr>
      <w:r>
        <w:t>5.9.3 Discussion</w:t>
      </w:r>
    </w:p>
    <w:p>
      <w:pPr/>
      <w:r>
        <w:t xml:space="preserve">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t>
      </w:r>
      <w:r>
        <w:t xml:space="preserve">with its identifier and its time</w:t>
      </w:r>
      <w:r>
        <w:t xml:space="preserv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 xml:space="preserve">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w:t>
      </w:r>
      <w:r>
        <w:t xml:space="preserve">. The users</w:t>
      </w:r>
      <w:r>
        <w:t xml:space="preserve">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6" name="Picture 2086885386"/>
            <wp:cNvGraphicFramePr>
              <a:graphicFrameLocks noChangeAspect="1"/>
            </wp:cNvGraphicFramePr>
            <a:graphic>
              <a:graphicData uri="http://schemas.openxmlformats.org/drawingml/2006/picture">
                <pic:pic>
                  <pic:nvPicPr>
                    <pic:cNvPr id="0" name="ch6_did_structure.png"/>
                    <pic:cNvPicPr/>
                  </pic:nvPicPr>
                  <pic:blipFill>
                    <a:blip r:embed="rId41"/>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7" name="Picture 2086885387"/>
            <wp:cNvGraphicFramePr>
              <a:graphicFrameLocks noChangeAspect="1"/>
            </wp:cNvGraphicFramePr>
            <a:graphic>
              <a:graphicData uri="http://schemas.openxmlformats.org/drawingml/2006/picture">
                <pic:pic>
                  <pic:nvPicPr>
                    <pic:cNvPr id="0" name="ch6_credential_structure.png"/>
                    <pic:cNvPicPr/>
                  </pic:nvPicPr>
                  <pic:blipFill>
                    <a:blip r:embed="rId42"/>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8" name="Picture 2086885388"/>
            <wp:cNvGraphicFramePr>
              <a:graphicFrameLocks noChangeAspect="1"/>
            </wp:cNvGraphicFramePr>
            <a:graphic>
              <a:graphicData uri="http://schemas.openxmlformats.org/drawingml/2006/picture">
                <pic:pic>
                  <pic:nvPicPr>
                    <pic:cNvPr id="0" name="ch6_prototype_steps.png"/>
                    <pic:cNvPicPr/>
                  </pic:nvPicPr>
                  <pic:blipFill>
                    <a:blip r:embed="rId43"/>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9" name="Picture 2086885389"/>
            <wp:cNvGraphicFramePr>
              <a:graphicFrameLocks noChangeAspect="1"/>
            </wp:cNvGraphicFramePr>
            <a:graphic>
              <a:graphicData uri="http://schemas.openxmlformats.org/drawingml/2006/picture">
                <pic:pic>
                  <pic:nvPicPr>
                    <pic:cNvPr id="0" name="ch6_guardian_credential_verified.png"/>
                    <pic:cNvPicPr/>
                  </pic:nvPicPr>
                  <pic:blipFill>
                    <a:blip r:embed="rId44"/>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90" name="Picture 2086885390"/>
            <wp:cNvGraphicFramePr>
              <a:graphicFrameLocks noChangeAspect="1"/>
            </wp:cNvGraphicFramePr>
            <a:graphic>
              <a:graphicData uri="http://schemas.openxmlformats.org/drawingml/2006/picture">
                <pic:pic>
                  <pic:nvPicPr>
                    <pic:cNvPr id="0" name="ch6_requester_vi_fail.png"/>
                    <pic:cNvPicPr/>
                  </pic:nvPicPr>
                  <pic:blipFill>
                    <a:blip r:embed="rId45"/>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Condition</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(procedure step and Algorithm 2 lines)</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58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syntax</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and 2 (Algorithm 2, lines 1 to 8), reduced in this stage to the syntax did:method:identifier.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Malformed identifiers refused; well-formed identifiers pass to the credential check.</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Credential found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3 (lines 9 to 12): a credential for the DID must exist in the credential store.</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well-formed DID with no credential, did:hospital:999, fails VI (tests test_each_credential_condition_fails_on_its_own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No credential, no participation.</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Signature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(lines 13 to 16): the signature must recover to the registered address of the issuer.</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claim changed after signing (validUntil moved to 2099) fails the signature condition; a credential signed by a key that is not the issuer’s is refused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Tampered and forged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Issuer</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issuer must be in the trusted-issuer registry.</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from did:example:other and one from an unknown issuer fail the issuer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Untrusted issuers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Subject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subject of the credential must be the DID presented.</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credential of did:hospital:002 presented for did:hospital:001 fails the subject condition (tests and A12).</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credential cannot be borrowed by another DID.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period</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4: the time of the check must lie between validFrom and validUntil.</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Expired credentials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Role</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5 and 6 (lines 17 to 20): the role claim must be the role the step requires.</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Wrong role refused.</w:t>
            </w:r>
          </w:p>
        </w:tc>
      </w:tr>
      <w:tr>
        <w:trPr>
          <w:cantSplit/>
        </w:trPr>
        <w:tc>
          <w:tcPr>
            <w:tcW w:type="dxa" w:w="13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Binding to the consent</w:t>
            </w:r>
          </w:p>
        </w:tc>
        <w:tc>
          <w:tcPr>
            <w:tcW w:type="dxa" w:w="2494"/>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6 and 7: the doctor must be the authorised doctor named in the consent.</w:t>
            </w:r>
          </w:p>
        </w:tc>
        <w:tc>
          <w:tcPr>
            <w:tcW w:type="dxa" w:w="3061"/>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Evidence</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8 (line 21): the verification evidence is recorded.</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3"/>
      <w:headerReference w:type="even" r:id="rId54"/>
      <w:footerReference w:type="default" r:id="rId55"/>
      <w:footerReference w:type="even" r:id="rId56"/>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header" Target="header1.xml"/><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header" Target="header4.xml"/><Relationship Id="rId51" Type="http://schemas.openxmlformats.org/officeDocument/2006/relationships/footer" Target="footer3.xml"/><Relationship Id="rId52" Type="http://schemas.openxmlformats.org/officeDocument/2006/relationships/footer" Target="footer4.xml"/><Relationship Id="rId53" Type="http://schemas.openxmlformats.org/officeDocument/2006/relationships/header" Target="header5.xml"/><Relationship Id="rId54" Type="http://schemas.openxmlformats.org/officeDocument/2006/relationships/header" Target="header6.xml"/><Relationship Id="rId55" Type="http://schemas.openxmlformats.org/officeDocument/2006/relationships/footer" Target="footer5.xml"/><Relationship Id="rId56"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2026-10-23T09:38:37Z</dcterms:created>
  <dcterms:modified xsi:type="dcterms:W3CDTF">2026-10-23T09:38:37Z</dcterms:modified>
</cp:coreProperties>
</file>