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z w:val="22"/>
                <w:spacing w:val="40"/>
              </w:rPr>
              <w:t>CHAPTER</w:t>
            </w:r>
          </w:p>
        </w:tc>
        <w:tc>
          <w:tcPr>
            <w:tcW w:type="dxa" w:w="1701"/>
            <w:shd w:val="clear" w:fill="7F7F7F"/>
          </w:tcPr>
          <w:p>
            <w:pPr>
              <w:jc w:val="center"/>
            </w:pPr>
            <w:r>
              <w:rPr>
                <w:rFonts w:ascii="Palatino Linotype" w:hAnsi="Palatino Linotype"/>
                <w:color w:val="FFFFFF"/>
                <w:sz w:val="120"/>
              </w:rPr>
              <w:t>4</w:t>
            </w:r>
          </w:p>
        </w:tc>
      </w:tr>
    </w:tbl>
    <w:p>
      <w:pPr>
        <w:pStyle w:val="1"/>
        <w:spacing w:before="360"/>
      </w:pPr>
      <w:r/>
      <w:r>
        <w:rPr>
          <w:vanish/>
        </w:rPr>
        <w:t xml:space="preserve">4. </w:t>
      </w:r>
      <w:r>
        <w:rPr>
          <w:smallCaps/>
        </w:rPr>
        <w:t>Research Methodology and Solution Overview</w:t>
      </w:r>
    </w:p>
    <w:p>
      <w:pPr>
        <w:pStyle w:val="2"/>
      </w:pPr>
      <w:r>
        <w:rPr>
          <w:color w:val="FF0000"/>
        </w:rPr>
        <w:t>4.1 Introduction</w:t>
      </w:r>
    </w:p>
    <w:p>
      <w:pPr/>
      <w:r>
        <w:rPr>
          <w:color w:val="FF0000"/>
        </w:rPr>
        <w:t>Chapter 3 stated the research gap, the main research question, the six sub-research questions and the six research objectives. This chapter explains how the research was carried out and gives an overview of the solution before the detailed chapters. Section 4.2 defines the terms that the solution uses and that Chapter 3 did not define. Section 4.3 presents the selected research methodology, Design Science Research, and shows what each of its stages produced in this thesis. Section 4.4 gives an overview of the solution as one end-to-end workflow, from the creation of a consent to the recording of an access decision. Sections 4.5 to 4.10 give an overview of the solution for each research question, RQ1 to RQ6, and name the chapter in which each solution is presented in full. Section 4.11 concludes the chapter.</w:t>
      </w:r>
    </w:p>
    <w:p>
      <w:pPr>
        <w:pStyle w:val="2"/>
      </w:pPr>
      <w:r>
        <w:rPr>
          <w:color w:val="FF0000"/>
        </w:rPr>
        <w:t>4.2 Key Definitions</w:t>
      </w:r>
    </w:p>
    <w:p>
      <w:pPr/>
      <w:r>
        <w:rPr>
          <w:color w:val="FF0000"/>
        </w:rPr>
        <w:t>The following terms are used in the overview of the solution and in the chapters that follow. The patient, the guardian set G, the threshold N, the authorised doctor D, the access request R and the consent object C were defined in Chapter 3.</w:t>
      </w:r>
    </w:p>
    <w:p>
      <w:pPr/>
      <w:r>
        <w:rPr>
          <w:color w:val="FF0000"/>
        </w:rPr>
        <w:t>Trust predicate. A condition that must hold before access is allowed, evaluated as true or false at the time of the request. The framework has five: VI for identity and authority, VA for collective authorisation, VP for policy and context, VT for temporal validity and VL for the lifecycle state.</w:t>
      </w:r>
    </w:p>
    <w:p>
      <w:pPr/>
      <w:r>
        <w:rPr>
          <w:color w:val="FF0000"/>
        </w:rPr>
        <w:t>Decision function. The rule Decision(C, R, t) that returns ALLOW only when all five trust predicates hold for the consent C, the request R and the time t, and DENY otherwise. It was stated as Equation (3.2).</w:t>
      </w:r>
    </w:p>
    <w:p>
      <w:pPr/>
      <w:r>
        <w:rPr>
          <w:color w:val="FF0000"/>
        </w:rPr>
        <w:t>Approval. A signed statement by one guardian that approves one consent. An approval is valid only when it is signed by a member of G who has not already approved the same consent.</w:t>
      </w:r>
    </w:p>
    <w:p>
      <w:pPr/>
      <w:r>
        <w:rPr>
          <w:color w:val="FF0000"/>
        </w:rPr>
        <w:t>Verified approving set Av. The subset of G whose approvals have been verified. The consent becomes active when |Av| reaches N.</w:t>
      </w:r>
    </w:p>
    <w:p>
      <w:pPr/>
      <w:r>
        <w:rPr>
          <w:color w:val="FF0000"/>
        </w:rPr>
        <w:t>Lifecycle state. The state of a consent at a point in time: pending until the guardians have approved, not started before its start time, active while it can release data, and expired or revoked when it no longer can.</w:t>
      </w:r>
    </w:p>
    <w:p>
      <w:pPr/>
      <w:r>
        <w:rPr>
          <w:color w:val="FF0000"/>
        </w:rPr>
        <w:t>Audit event. A record written to the audit ledger for every action on a consent, including its creation, each approval, each access decision with the result of the five predicates, and its revocation.</w:t>
      </w:r>
    </w:p>
    <w:p>
      <w:pPr/>
      <w:r>
        <w:rPr>
          <w:color w:val="FF0000"/>
        </w:rPr>
        <w:t>Scenario. One complete run of the prototype that exercises a defined path, such as the creation and approval of a consent followed by an allowed request, or a request made after revocation.</w:t>
      </w:r>
    </w:p>
    <w:p>
      <w:pPr/>
      <w:r>
        <w:rPr>
          <w:color w:val="FF0000"/>
        </w:rPr>
        <w:t>Attack scenario. A deliberate attempt to obtain access while one of the trust conditions is not satisfied, such as an approval from a signer outside G or a request outside the authorised data scope. The framework must refuse every attack scenario.</w:t>
      </w:r>
    </w:p>
    <w:p>
      <w:pPr/>
      <w:r>
        <w:rPr>
          <w:color w:val="FF0000"/>
        </w:rPr>
        <w:t>Prototype. The HALAH implementation of the framework, used to show that the design can be built and to evaluate it against the scenarios and attack scenarios.</w:t>
      </w:r>
    </w:p>
    <w:p>
      <w:pPr>
        <w:pStyle w:val="2"/>
      </w:pPr>
      <w:r>
        <w:t>4.3 Selected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pPr>
        <w:jc w:val="center"/>
      </w:pPr>
      <w:r>
        <w:drawing>
          <wp:inline xmlns:a="http://schemas.openxmlformats.org/drawingml/2006/main" xmlns:pic="http://schemas.openxmlformats.org/drawingml/2006/picture">
            <wp:extent cx="5400000" cy="2582437"/>
            <wp:docPr id="1" name="Picture 1"/>
            <wp:cNvGraphicFramePr>
              <a:graphicFrameLocks noChangeAspect="1"/>
            </wp:cNvGraphicFramePr>
            <a:graphic>
              <a:graphicData uri="http://schemas.openxmlformats.org/drawingml/2006/picture">
                <pic:pic>
                  <pic:nvPicPr>
                    <pic:cNvPr id="0" name="dsr_halah.png"/>
                    <pic:cNvPicPr/>
                  </pic:nvPicPr>
                  <pic:blipFill>
                    <a:blip r:embed="rId37"/>
                    <a:stretch>
                      <a:fillRect/>
                    </a:stretch>
                  </pic:blipFill>
                  <pic:spPr>
                    <a:xfrm>
                      <a:off x="0" y="0"/>
                      <a:ext cx="5400000" cy="2582437"/>
                    </a:xfrm>
                    <a:prstGeom prst="rect"/>
                  </pic:spPr>
                </pic:pic>
              </a:graphicData>
            </a:graphic>
          </wp:inline>
        </w:drawing>
      </w:r>
    </w:p>
    <w:p>
      <w:pPr>
        <w:spacing w:after="160" w:before="160"/>
        <w:jc w:val="center"/>
      </w:pPr>
      <w:r>
        <w:rPr>
          <w:b/>
          <w:bCs/>
          <w:color w:val="FF0000"/>
          <w:sz w:val="20"/>
          <w:szCs w:val="18"/>
        </w:rPr>
        <w:t>Figure 4.1: The Design Science Research process of this thesis, with the output of each stage, adapted from Peffers et al. (2007).</w:t>
      </w:r>
    </w:p>
    <w:p>
      <w:pPr>
        <w:spacing w:after="110" w:line="264" w:lineRule="auto"/>
        <w:jc w:val="both"/>
      </w:pPr>
      <w:r>
        <w:t xml:space="preserve">In the awareness-of-problem stage, the </w:t>
      </w:r>
      <w:r>
        <w:rPr>
          <w:color w:val="FF0000"/>
        </w:rPr>
        <w:t>systematic literature review of Chapter 2</w:t>
      </w:r>
      <w:r>
        <w:t xml:space="preserve">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w:t>
      </w:r>
      <w:r>
        <w:rPr>
          <w:color w:val="FF0000"/>
        </w:rPr>
        <w:t>(Chapters 5 to 10)</w:t>
      </w:r>
      <w:r>
        <w:t xml:space="preserve">. In the evaluation stage, the artefact was evaluated through access scenarios, 46 automated tests including twelve attack scenarios, and measurements of gas and processing time, which provide the performance measures </w:t>
      </w:r>
      <w:r>
        <w:rPr>
          <w:color w:val="FF0000"/>
        </w:rPr>
        <w:t>(Chapter 10)</w:t>
      </w:r>
      <w:r>
        <w:t>. In the conclusion stage, the results, the contributions, and the remaining lifecycle and assurance work are reported.</w:t>
      </w:r>
    </w:p>
    <w:p>
      <w:pPr>
        <w:pStyle w:val="2"/>
      </w:pPr>
      <w:r>
        <w:t>4.4 Solution Overview</w:t>
      </w:r>
    </w:p>
    <w:p>
      <w:pPr/>
      <w:r>
        <w:rPr>
          <w:color w:val="FF0000"/>
        </w:rPr>
        <w:t>The framework is best understood as one workflow that starts when a patient creates a consent and ends when an access decision is recorded. This section presents that workflow and the two conditions that govern the collective authorisation step. The architecture that carries the workflow is presented in Chapter 5.</w:t>
      </w:r>
    </w:p>
    <w:p w14:paraId="2CACE7B1" w14:textId="77777777" w:rsidR="009262C4" w:rsidRDefault="00000000">
      <w:pPr>
        <w:spacing w:after="110" w:line="264" w:lineRule="auto"/>
        <w:jc w:val="both"/>
      </w:pPr>
      <w:r>
        <w:rPr>
          <w:color w:val="FF0000"/>
        </w:rPr>
        <w:t>Figure 4.2</w:t>
      </w:r>
      <w:r>
        <w:t xml:space="preserve">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w:t>
      </w:r>
      <w:r>
        <w:rPr>
          <w:color w:val="FF0000"/>
        </w:rPr>
        <w:t>Equation (4.1)</w:t>
      </w:r>
      <w:r>
        <w:t>.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160" w:before="160"/>
        <w:jc w:val="center"/>
      </w:pPr>
      <w:r>
        <w:rPr>
          <w:b/>
          <w:bCs/>
          <w:color w:val="FF0000"/>
          <w:sz w:val="20"/>
          <w:szCs w:val="18"/>
        </w:rPr>
        <w:t>Figure 4.2</w:t>
      </w:r>
      <w:r>
        <w:rPr>
          <w:b/>
          <w:bCs/>
          <w:sz w:val="20"/>
          <w:szCs w:val="18"/>
        </w:rPr>
        <w:t xml:space="preserve">: </w:t>
      </w:r>
      <w:r>
        <w:rPr>
          <w:sz w:val="20"/>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r>
      <w:r>
        <w:rPr>
          <w:color w:val="FF0000"/>
        </w:rPr>
        <w:t>(4.1)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w:t>
      </w:r>
      <w:r>
        <w:rPr>
          <w:color w:val="FF0000"/>
        </w:rPr>
        <w:t>Equation (4.2)</w:t>
      </w:r>
      <w:r>
        <w:t>,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r>
      <w:r>
        <w:rPr>
          <w:color w:val="FF0000"/>
        </w:rPr>
        <w:t>(4.2)</w:t>
      </w:r>
    </w:p>
    <w:p w14:paraId="483ED4AC" w14:textId="77777777" w:rsidR="009262C4" w:rsidRDefault="00000000">
      <w:pPr>
        <w:spacing w:after="110" w:line="264" w:lineRule="auto"/>
        <w:jc w:val="both"/>
      </w:pPr>
      <w:r>
        <w:t xml:space="preserve">In the implemented prototype, the threshold is fixed at N = |G|, </w:t>
      </w:r>
      <w:r>
        <w:rPr>
          <w:color w:val="FF0000"/>
        </w:rPr>
        <w:t>as justified in Chapter 7</w:t>
      </w:r>
      <w:r>
        <w:t>,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xml:space="preserve">, are then evaluated, a Groth16 proof is generated and verified before access is granted, and the audit evidence is recorded. Beyond the access decision </w:t>
      </w:r>
      <w:r>
        <w:rPr>
          <w:color w:val="FF0000"/>
        </w:rPr>
        <w:t>shown in Figure 4.2</w:t>
      </w:r>
      <w:r>
        <w:t xml:space="preserve">,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w:t>
      </w:r>
      <w:r>
        <w:rPr>
          <w:color w:val="FF0000"/>
        </w:rPr>
        <w:t>as Chapter 8 explains</w:t>
      </w:r>
      <w:r>
        <w: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pPr>
        <w:pStyle w:val="2"/>
      </w:pPr>
      <w:r>
        <w:rPr>
          <w:color w:val="FF0000"/>
        </w:rPr>
        <w:t>4.5 Overview of Solution for RQ1</w:t>
      </w:r>
    </w:p>
    <w:p>
      <w:pPr/>
      <w:r>
        <w:rPr>
          <w:color w:val="FF0000"/>
        </w:rPr>
        <w:t>RQ1 asks how patient consent can be modelled as a trust-aware authorisation object that explicitly represents identity, authority requirements, policy constraints and authorisation evidence. The solution is the trust-centric consent model of RO1, in which consent is no longer a stored record of permission but the object C = (I, A, P, T, L, E) that every access request is evaluated against. I carries the identity of the patient, the doctor and the guardians; A carries the authority requirements, the guardian set G and the threshold N; P carries the purpose and the data scope; T the validity window; L the lifecycle state; and E the evidence of every decision taken on the consent.</w:t>
      </w:r>
    </w:p>
    <w:p>
      <w:pPr/>
      <w:r>
        <w:rPr>
          <w:color w:val="FF0000"/>
        </w:rPr>
        <w:t>The consent object is created through Algorithm 1. The patient selects the doctor, names the guardians, chooses the data modules, states the purpose and sets the start and expiry dates. The system validates each field, assigns a unique consent identifier, sets the state to PENDING_SIGNATURE, sets N to the number of guardians, persists the object and records the creation event in the audit ledger. From that point the consent can be evaluated, not merely looked up. The model, the algorithm and its realisation in the HALAH prototype are presented in Chapter 5, together with the research architecture that carries it.</w:t>
      </w:r>
    </w:p>
    <w:p>
      <w:pPr>
        <w:pStyle w:val="2"/>
      </w:pPr>
      <w:r>
        <w:rPr>
          <w:color w:val="FF0000"/>
        </w:rPr>
        <w:t>4.6 Overview of Solution for RQ2</w:t>
      </w:r>
    </w:p>
    <w:p>
      <w:pPr/>
      <w:r>
        <w:rPr>
          <w:color w:val="FF0000"/>
        </w:rPr>
        <w:t>RQ2 asks how decentralised identities and verifiable credentials can establish trustworthy participants while separating identity authentication from authorisation authority. The solution is the identity and authority verification mechanism of RO2. Every participant holds a decentralised identifier, and every participant who takes part in a decision holds a verifiable credential issued by a trusted issuer that states their role. When a guardian approves or a doctor requests data, the framework checks the identifier and then the credential: the signature must verify, the issuer must be in the registry of trusted issuers, the subject of the credential must be the identifier presented, the current time must lie inside the validity period, and the role must be the one the step requires. A doctor must also be the doctor named in the consent.</w:t>
      </w:r>
    </w:p>
    <w:p>
      <w:pPr/>
      <w:r>
        <w:rPr>
          <w:color w:val="FF0000"/>
        </w:rPr>
        <w:t>The result is the predicate VI. A valid identity with no credential, or with a credential of the wrong role, fails VI and is refused before any other check. This is what separates who the participant is from what the participant may do. The verification model, Algorithm 2 and its realisation are presented in Chapter 6.</w:t>
      </w:r>
    </w:p>
    <w:p>
      <w:pPr>
        <w:pStyle w:val="2"/>
      </w:pPr>
      <w:r>
        <w:rPr>
          <w:color w:val="FF0000"/>
        </w:rPr>
        <w:t>4.7 Overview of Solution for RQ3</w:t>
      </w:r>
    </w:p>
    <w:p>
      <w:pPr/>
      <w:r>
        <w:rPr>
          <w:color w:val="FF0000"/>
        </w:rPr>
        <w:t>RQ3 asks how multiple independently verified participants can jointly establish a trustworthy consent decision without allowing a single participant to authorise access on their own. The solution is the multi-party authorisation mechanism of RO3. The patient fixes the guardian set G and the threshold N when the consent is created. Each guardian signs an approval over the consent identifier and their own identifier, so an approval cannot be moved to another consent. Only approvals from distinct members of G whose credentials verify enter the verified approving set Av; an approval from a signer outside G, or a second approval from the same guardian, does not advance the count.</w:t>
      </w:r>
    </w:p>
    <w:p>
      <w:pPr/>
      <w:r>
        <w:rPr>
          <w:color w:val="FF0000"/>
        </w:rPr>
        <w:t>The consent stays pending, and releases no data, until |Av| reaches N. In the prototype every listed guardian must approve, so N equals |G|. Once the threshold is reached the consent becomes active and a token is recorded as evidence, and the approvals are checked again, as VA, at every later request. The mechanism, Algorithm 3 and its realisation are presented in Chapter 7.</w:t>
      </w:r>
    </w:p>
    <w:p>
      <w:pPr>
        <w:pStyle w:val="2"/>
      </w:pPr>
      <w:r>
        <w:rPr>
          <w:color w:val="FF0000"/>
        </w:rPr>
        <w:t>4.8 Overview of Solution for RQ4</w:t>
      </w:r>
    </w:p>
    <w:p>
      <w:pPr/>
      <w:r>
        <w:rPr>
          <w:color w:val="FF0000"/>
        </w:rPr>
        <w:t>RQ4 asks how policy, purpose and data-scope constraints can be incorporated into the authorisation decision so that valid identities and sufficient approvals cannot be used to obtain data outside what the patient allowed. The solution is the policy- and context-aware access control of RO4. The consent carries the purpose and the set of data modules the patient authorised. When a doctor requests data, the predicate VP checks that the purpose is a supported healthcare use and that the requested modules form a non-empty subset of the authorised modules. A request for observations, medications and procedures against a consent that allows observations and medications is refused, although the requester is the right doctor and the guardians have approved.</w:t>
      </w:r>
    </w:p>
    <w:p>
      <w:pPr/>
      <w:r>
        <w:rPr>
          <w:color w:val="FF0000"/>
        </w:rPr>
        <w:t>VP is therefore the condition that makes identity and approval necessary but not sufficient. The policy model, Algorithm 4 and its realisation are presented in Chapter 8.</w:t>
      </w:r>
    </w:p>
    <w:p>
      <w:pPr>
        <w:pStyle w:val="2"/>
      </w:pPr>
      <w:r>
        <w:rPr>
          <w:color w:val="FF0000"/>
        </w:rPr>
        <w:t>4.9 Overview of Solution for RQ5</w:t>
      </w:r>
    </w:p>
    <w:p>
      <w:pPr/>
      <w:r>
        <w:rPr>
          <w:color w:val="FF0000"/>
        </w:rPr>
        <w:t>RQ5 asks how temporal validity and lifecycle controls can ensure that an authorisation remains valid only within its permitted time interval and lifecycle state. The solution is the temporal and lifecycle trust of RO5. The consent carries a start time and an expiry time, and the predicate VT checks at every request that the request time lies between them. The consent also has an explicit lifecycle: it is pending until the guardians have approved, active while it can release data, and expired or revoked afterwards. The patient can revoke an active consent at any time. The predicate VL checks at every request that the state is active, so a consent that has expired or been revoked cannot be used, whatever approvals it once held.</w:t>
      </w:r>
    </w:p>
    <w:p>
      <w:pPr/>
      <w:r>
        <w:rPr>
          <w:color w:val="FF0000"/>
        </w:rPr>
        <w:t>Because VT and VL are evaluated at the time of each request rather than once at registration, a change in the consent takes effect on the next request. The lifecycle model, Algorithm 5 and its realisation are presented in Chapter 9.</w:t>
      </w:r>
    </w:p>
    <w:p>
      <w:pPr>
        <w:pStyle w:val="2"/>
      </w:pPr>
      <w:r>
        <w:rPr>
          <w:color w:val="FF0000"/>
        </w:rPr>
        <w:t>4.10 Overview of Solution for RQ6</w:t>
      </w:r>
    </w:p>
    <w:p>
      <w:pPr/>
      <w:r>
        <w:rPr>
          <w:color w:val="FF0000"/>
        </w:rPr>
        <w:t>RQ6 asks how the security properties of the authorisation mechanism can be formally defined and empirically evaluated to show that the implemented framework enforces authorised and unauthorised decisions correctly. The solution of RO6 has two parts that complement each other. The formal part defines the security properties of the integrated decision, authorisation integrity, threshold authorisation security and lifecycle safety, and states the assumptions under which they are analysed. The empirical part evaluates the HALAH prototype through scenarios in which the expected and the observed decisions are compared, and through attack scenarios in which each trust condition is deliberately bypassed. Algorithm 6 defines this validation procedure, and Chapter 10 presents the formal properties, the prototype, the scenarios, the measured results and the attack scenarios.</w:t>
      </w:r>
    </w:p>
    <w:p>
      <w:pPr>
        <w:pStyle w:val="3"/>
      </w:pPr>
      <w:r>
        <w:rPr>
          <w:highlight w:val="green"/>
        </w:rPr>
        <w:t>4.10.1 Testing and Verification of the Solution</w:t>
      </w:r>
    </w:p>
    <w:p>
      <w:pPr/>
      <w:r>
        <w:rPr>
          <w:color w:val="FF0000"/>
        </w:rPr>
        <w:t>The prototype is tested at three levels. Live scenarios run the whole workflow through the web interface: a consent is created, each guardian approves, the authorised doctor is allowed, a request that does not satisfy the conditions of the consent is refused, and a request after revocation is refused. Automated tests, 46 in all, check each predicate on its own and together, including twelve attack scenarios, A1 to A12, in which a signer outside G, a replayed signature, a duplicate approval, an over-scope or empty request, a request outside the validity window, a request after revocation, a tampered proof and a forged credential are each refused. The processing time of each check is measured so that the cost of the decision is known. Every decision, allowed or refused, is written to the audit ledger with the result of the five predicates, and the ledger is the evidence used in Chapter 10.</w:t>
      </w:r>
    </w:p>
    <w:p>
      <w:pPr>
        <w:pStyle w:val="2"/>
      </w:pPr>
      <w:r>
        <w:rPr>
          <w:color w:val="FF0000"/>
        </w:rPr>
        <w:t>4.11 Conclusion</w:t>
      </w:r>
    </w:p>
    <w:p>
      <w:pPr/>
      <w:r>
        <w:rPr>
          <w:color w:val="FF0000"/>
        </w:rPr>
        <w:t>This chapter presented the research methodology and an overview of the solution. The research follows Design Science Research: the systematic review produced the proposal, the research questions and objectives and the consent model formed the tentative design, the architecture, the algorithms and the HALAH prototype are the artefact, the scenarios, tests, attack scenarios and measured times are the performance measures, and the contributions and remaining work are the result. The solution was then shown as one workflow, from the creation of a consent to the recording of an access decision, and summarised for each research question: an evaluable consent object for RQ1, identity and authority verification for RQ2, multi-party authorisation for RQ3, policy and scope enforcement for RQ4, temporal and lifecycle control for RQ5, and formal and empirical assurance for RQ6. The next chapter presents the research architecture and the trust-centric consent model in full.</w:t>
      </w:r>
    </w:p>
    <w:sectPr w:rsidR="009262C4">
      <w:footerReference w:type="default" r:id="rId34"/>
      <w:headerReference w:type="default" r:id="rId38"/>
      <w:headerReference w:type="even" r:id="rId39"/>
      <w:footerReference w:type="even" r:id="rId40"/>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00000"/>
      </w:pBdr>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r>
      <w:rPr>
        <w:rFonts w:ascii="Palatino Linotype" w:hAnsi="Palatino Linotype"/>
        <w:smallCaps/>
        <w:sz w:val="19"/>
      </w:rPr>
      <w:t xml:space="preserve">CHAPTER 4.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