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footerReference w:type="default" r:id="rId34"/>
          <w:headerReference w:type="default" r:id="rId38"/>
          <w:headerReference w:type="even" r:id="rId39"/>
          <w:footerReference w:type="even" r:id="rId40"/>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xmlns:ns0="http://halah" ns0:marker="TOC">
      <w:r>
        <w:fldChar w:fldCharType="begin"/>
      </w:r>
      <w:r>
        <w:instrText xml:space="preserve"> TOC \o "1-3" \h \z \u </w:instrText>
      </w:r>
      <w:r>
        <w:fldChar w:fldCharType="separate"/>
      </w:r>
    </w:p>
    <w:p xmlns:ns0="http://halah">
      <w:pPr>
        <w:tabs>
          <w:tab w:pos="8504" w:val="right" w:leader="dot"/>
        </w:tabs>
        <w:spacing w:after="120" w:before="160"/>
        <w:ind w:left="0"/>
        <w:jc w:val="left"/>
      </w:pPr>
      <w:r>
        <w:rPr>
          <w:rFonts w:ascii="Palatino Linotype" w:hAnsi="Palatino Linotype"/>
          <w:b/>
          <w:sz w:val="22"/>
        </w:rPr>
        <w:t>Certificate of Original Authorship</w:t>
        <w:tab/>
        <w:t>i</w:t>
      </w:r>
    </w:p>
    <w:p xmlns:ns0="http://halah">
      <w:pPr>
        <w:tabs>
          <w:tab w:pos="8504" w:val="right" w:leader="dot"/>
          <w:tab w:pos="8504" w:val="right" w:leader="dot"/>
        </w:tabs>
        <w:spacing w:after="120" w:before="160"/>
        <w:ind w:left="0"/>
        <w:jc w:val="left"/>
      </w:pPr>
      <w:r>
        <w:rPr>
          <w:rFonts w:ascii="Palatino Linotype" w:hAnsi="Palatino Linotype"/>
          <w:b/>
          <w:sz w:val="22"/>
        </w:rPr>
        <w:t>Dedication</w:t>
        <w:tab/>
        <w:t>ii</w:t>
      </w:r>
    </w:p>
    <w:p xmlns:ns0="http://halah">
      <w:pPr>
        <w:tabs>
          <w:tab w:pos="8504" w:val="right" w:leader="dot"/>
          <w:tab w:pos="8504" w:val="right" w:leader="dot"/>
          <w:tab w:pos="8504" w:val="right" w:leader="dot"/>
        </w:tabs>
        <w:spacing w:after="120" w:before="160"/>
        <w:ind w:left="0"/>
        <w:jc w:val="left"/>
      </w:pPr>
      <w:r>
        <w:rPr>
          <w:rFonts w:ascii="Palatino Linotype" w:hAnsi="Palatino Linotype"/>
          <w:b/>
          <w:sz w:val="22"/>
        </w:rPr>
        <w:t>Acknowledgments</w:t>
        <w:tab/>
        <w:t>iii</w:t>
      </w:r>
    </w:p>
    <w:p xmlns:ns0="http://halah">
      <w:pPr>
        <w:tabs>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Publications</w:t>
        <w:tab/>
        <w:t>iv</w:t>
      </w:r>
    </w:p>
    <w:p xmlns:ns0="http://halah">
      <w:pPr>
        <w:tabs>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Table of Contents</w:t>
        <w:tab/>
        <w:t>v</w:t>
      </w:r>
    </w:p>
    <w:p xmlns:ns0="http://halah">
      <w:pPr>
        <w:tabs>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Figures</w:t>
        <w:tab/>
        <w:t>viii</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Tables</w:t>
        <w:tab/>
        <w:t>ix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Abstract</w:t>
        <w:tab/>
        <w:t>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1.2 Statement of the Problem</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1.3 Research Motivation</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1.4 Decentralised Identity Technology</w:t>
        <w:tab/>
        <w:t>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1.4.1 Decentralised Identifiers (DIDs)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1.4.2 Verifiable Credentials (VCs)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1.4.3 Trusted Issuers and Credential Verification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1.5 Multi-Party Authorisation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1.6 The Relationship between Multi-Party Authorisation and Patient Consent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1.7 Purpose of Using Multi-Party Authorisation in Consent Management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1.8 Authorisation Evidence and Auditability</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1.8.1 The Audit Ledger</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1.9 Consent Management Systems</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1.10 Challenges Faced by Current Consent Management Systems</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1.11 Research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1.11.1 Scientific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1.11.2 Social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1.12 Thesis Plan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1.13 Conclusion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2 A Systematic Literature Review</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 Introduction</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2.2 Key Requirements for Trustworthy Multi-Party Consent Authorisation</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2.2.1 Req 1: Representation of consent as an evaluable authorisation object</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2.2.2 Req 2: Decentralised verification of identity and authority</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2.2.3 Req 3: Multi-party authorisation through a verifiable threshold</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2.2.4 Req 4: Policy- and context-aware enforcement at the time of access</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2.2.5 Req 5: Temporal validity and lifecycle control of consent</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2.2.6 Req 6: Verifiable auditability and security assurance</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2.3 Process Adopted for Shortlisting the Papers for SLR</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2.3.1 Step 1: Criteria for Searching the Literature</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2.3.2 Step 2: Inclusion and Exclusion Criteria</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2.3.3 Step 3: Quality Evaluation</w:t>
        <w:tab/>
        <w:t>16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Summary of Papers Shortlisted in the SLR</w:t>
        <w:tab/>
        <w:t>19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2.4.1 Consent representation and blockchain-based consent governance (Req 1)</w:t>
        <w:tab/>
        <w:t>20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2.4.2 Decentralised identity and authority trust (Req 2)</w:t>
        <w:tab/>
        <w:t>21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2.4.3 Multi-party authorisation and collaborative consent (Req 3)</w:t>
        <w:tab/>
        <w:t>22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2.4.4 Policy- and context-aware access control (Req 4)</w:t>
        <w:tab/>
        <w:t>23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2.4.5 Temporal validity and consent lifecycle (Req 5)</w:t>
        <w:tab/>
        <w:t>24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2.4.6 Formal security assurance and empirical validation (Req 6)</w:t>
        <w:tab/>
        <w:t>26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2.4.7 Research Gaps in the Existing Studies from the Requirement Perspective</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Trust-Oriented Multi-Party Consent Authorisation Framework</w:t>
        <w:tab/>
        <w:t>29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2.5.1 Representation of Consent as an Evaluable Authorisation Object (Req 1)</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2.5.2 Decentralised Verification of Identity and Authority (Req 2)</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2.5.3 Multi-Party Authorisation through a Verifiable Threshold (Req 3)</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2.5.4 Policy- and Context-Aware Enforcement at the Time of Access (Req 4)</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2.5.5 Temporal Validity and Lifecycle Control of Consent (Req 5)</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2.5.6 Verifiable Auditability and Security Assurance (Req 6)</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Conclusion</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3 Research Questions and Objectives</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Introduction</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3.2 Gaps in the Literature</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3.3 Key Definitions</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3.4 Research Questions</w:t>
        <w:tab/>
        <w:t>35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3.4.1 Research Questions as an Integrated Problem</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3.5 Research Objectives</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3.5.1 RO1: Trust-Centric Consent Model</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3.5.2 RO2: Decentralised Identity and Authority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3.5.3 RO3: Trustworthy Multi-Party Authorisation</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3.5.4 RO4: Policy- and Context-Aware Access Control</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3.5.5 RO5: Temporal and Lifecycle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3.5.6 RO6: Formal Security Assurance and Empirical Validation</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3.5.7 Relationship Between Research Questions and Objectives</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3.6 Conclusion</w:t>
        <w:tab/>
        <w:t>39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4 Research Methodology and Solution Overview</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 Introduction</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4.2 Key Definitions</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4.3 Selected Research Methodology</w:t>
        <w:tab/>
        <w:t>42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4.4 Solution Overview</w:t>
        <w:tab/>
        <w:t>43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4.5 Overview of Solution for RQ1</w:t>
        <w:tab/>
        <w:t>45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4.6 Overview of Solution for RQ2</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4.7 Overview of Solution for RQ3</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4.8 Overview of Solution for RQ4</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4.9 Overview of Solution for RQ5</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4.10 Overview of Solution for RQ6</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4.10.1 Testing and Verification of the Solution</w:t>
        <w:tab/>
        <w:t>48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4.11 Conclusion</w:t>
        <w:tab/>
        <w:t>48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Figures</w:t>
      </w:r>
    </w:p>
    <w:p xmlns:ns1="http://halah" ns1:marker="LOF">
      <w:r>
        <w:fldChar w:fldCharType="begin"/>
      </w:r>
      <w:r>
        <w:instrText xml:space="preserve"> TOC \h \z \c "Figure" </w:instrText>
      </w:r>
      <w:r>
        <w:fldChar w:fldCharType="separate"/>
      </w:r>
    </w:p>
    <w:p xmlns:ns1="http://halah">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16</w:t>
      </w:r>
    </w:p>
    <w:p xmlns:ns1="http://halah">
      <w:pPr>
        <w:tabs>
          <w:tab w:pos="8504" w:val="right" w:leader="dot"/>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29</w:t>
      </w:r>
    </w:p>
    <w:p xmlns:ns1="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42</w:t>
      </w:r>
    </w:p>
    <w:p xmlns:ns1="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4.2 End-to-end workflow of the trust-oriented consent authorisation framework.</w:t>
        <w:tab/>
        <w:t>44</w:t>
      </w:r>
    </w:p>
    <w:p xmlns:ns1="http://halah">
      <w:pPr>
        <w:tabs>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Tables</w:t>
      </w:r>
    </w:p>
    <w:p xmlns:ns2="http://halah" ns2:marker="LOT">
      <w:r>
        <w:fldChar w:fldCharType="begin"/>
      </w:r>
      <w:r>
        <w:instrText xml:space="preserve"> TOC \h \z \c "Table" </w:instrText>
      </w:r>
      <w:r>
        <w:fldChar w:fldCharType="separate"/>
      </w:r>
    </w:p>
    <w:p xmlns:ns2="http://halah">
      <w:pPr>
        <w:tabs>
          <w:tab w:pos="8504" w:val="right" w:leader="dot"/>
        </w:tabs>
        <w:spacing w:after="40" w:before="0"/>
        <w:ind w:left="454"/>
        <w:jc w:val="left"/>
      </w:pPr>
      <w:r>
        <w:rPr>
          <w:rFonts w:ascii="Palatino Linotype" w:hAnsi="Palatino Linotype"/>
          <w:b w:val="0"/>
          <w:sz w:val="22"/>
        </w:rPr>
        <w:t>2.1 Databases searched and records retrieved</w:t>
        <w:tab/>
        <w:t>14</w:t>
      </w:r>
    </w:p>
    <w:p xmlns:ns2="http://halah">
      <w:pPr>
        <w:tabs>
          <w:tab w:pos="8504" w:val="right" w:leader="dot"/>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16</w:t>
      </w:r>
    </w:p>
    <w:p xmlns:ns2="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2.3 Quality assessment items and inclusion rule</w:t>
        <w:tab/>
        <w:t>17</w:t>
      </w:r>
    </w:p>
    <w:p xmlns:ns2="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Listing of the 25 primary studies identified after the selection process</w:t>
        <w:tab/>
        <w:t>18</w:t>
      </w:r>
    </w:p>
    <w:p xmlns:ns2="http://halah">
      <w:pPr>
        <w:tabs>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20</w:t>
      </w:r>
    </w:p>
    <w:p xmlns:ns2="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21</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22</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2.8 Descriptions, issues and limitations of the studies on policy and context</w:t>
        <w:tab/>
        <w:t>24</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25</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2.10 Descriptions, issues and limitations of the studies on security assurance</w:t>
        <w:tab/>
        <w:t>26</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2.11 Comparison of the included studies against the key requirements</w:t>
        <w:tab/>
        <w:t>27</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Research questions, research objectives, and the status of each objective</w:t>
        <w:tab/>
        <w:t>39</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1"/>
          <w:headerReference w:type="even" r:id="rId42"/>
          <w:footerReference w:type="default" r:id="rId43"/>
          <w:footerReference w:type="even" r:id="rId44"/>
          <w:pgSz w:w="11906" w:h="16838"/>
          <w:pgMar w:top="1417" w:right="1701" w:bottom="1417" w:left="1701" w:header="737" w:footer="737" w:gutter="0"/>
          <w:cols w:space="720"/>
          <w:docGrid w:linePitch="360"/>
          <w:pgNumType w:fmt="lowerRoman" w:start="1"/>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Layout w:type="fixed"/>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Layout w:type="fixed"/>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14:paraId="249EA957" w14:textId="77777777" w:rsidR="009262C4" w:rsidRDefault="00000000">
      <w:pPr>
        <w:spacing w:after="110" w:line="264" w:lineRule="auto"/>
        <w:jc w:val="both"/>
      </w:pPr>
      <w:r>
        <w:t xml:space="preserve">The systematic literature review shows much work on individual mechanisms for securing healthcare data sharing, but also a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(Ferreira et al. 2025; Panagoulias et al. 2026; Phuyal et al. 2026b; Punia et al. 2025; Shanmugham &amp; Senthilkumar 2026) do not make multi-party approval a standing condition of that decision. Some of them test their own decisions empirically, but none proves or tests a conjunction that includes multi-party approval.</w:t>
      </w:r>
    </w:p>
    <w:p w14:paraId="75D32B72" w14:textId="77777777" w:rsidR="009262C4" w:rsidRDefault="00000000">
      <w:pPr>
        <w:spacing w:after="110" w:line="264" w:lineRule="auto"/>
        <w:jc w:val="both"/>
      </w:pPr>
      <w:r>
        <w:t xml:space="preserve">The central gap is the absence of an integrated model explaining how these mechanisms collectively establish a trustworthy authorisation decision. Existing consent-oriented approaches tend to treat consent primarily as a record of a patient’s permission (Akter &amp; Sanam 2025; Prashanth et al. 2024), and some claim consent but leave it out of the access decision (Sawant &amp; Gomes 2026). Once the permission has been created and stored, subsequent access control may depend predominantly on the existence of the consent record and the successful authentication of the requester. Even the evaluable consent objects reported since 2020 (Albalwy, Brass &amp; Davies 2021; Eneh et al. 2026; Phuyal et al. 2026b; Shanmugham &amp; Senthilkumar 2026; Tith et al. 2020)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14:paraId="4136A123" w14:textId="77777777" w:rsidR="009262C4" w:rsidRDefault="00000000">
      <w:pPr>
        <w:spacing w:after="110" w:line="264" w:lineRule="auto"/>
        <w:jc w:val="both"/>
      </w:pPr>
      <w:r>
        <w:t>Recording consent and enforcing trustworthy authorisation are two different security problems. A blockchain may provide an immutable representation of a consent event (Andrew et al. 2023; Tawfik et al. 2025), but immutability does not establish the legitimacy of the entities involved in that event. Similarly, a valid decentralised identity can establish who a participant is (Mazzocca et al. 2025),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condition (Madine et al. 2020; Punia et al. 2025; Tan, Chi &amp; Lam 2024). Consequently, trust cannot be attributed to any individual mechanism in isolation. From a Trust Computing perspective, trustworthy access should be understood as an outcome of the coordinated satisfaction of multiple independently verifiable conditions. In this research, trust is a property of a verifiable authorisation process, not an attribute of one entity or technology.</w:t>
      </w:r>
    </w:p>
    <w:p w14:paraId="67D084C5" w14:textId="77777777" w:rsidR="009262C4" w:rsidRDefault="00000000">
      <w:pPr>
        <w:spacing w:after="110" w:line="264" w:lineRule="auto"/>
        <w:jc w:val="both"/>
      </w:pPr>
      <w:r>
        <w:t xml:space="preserve">The identified gap can therefore be stated as follows: existing healthcare consent and access-control research provides many of the necessary technological building blocks. However, there is still a need for an integrated Trust Computing framework that treats patient consent as a verifiable authorisation object, verifies identity, trust, and authority, supports multi-party authorisation, and enforces access policies and data-scope restrictions. In this framework, the consent object carries identity, authority, threshold, policy, temporal, and lifecycle conditions, multi-party approval must be a standing condition of every access decision, and the conjunction of these conditions must be formally and empirically assured. These two requirements correspond to the </w:t>
      </w:r>
      <w:r>
        <w:rPr>
          <w:b/>
          <w:bCs/>
        </w:rPr>
        <w:t>conjunction gap</w:t>
      </w:r>
      <w:r>
        <w:t xml:space="preserve"> and the </w:t>
      </w:r>
      <w:r>
        <w:rPr>
          <w:b/>
          <w:bCs/>
        </w:rPr>
        <w:t>assurance gap</w:t>
      </w:r>
      <w:r>
        <w:t xml:space="preserve"> identified in </w:t>
      </w:r>
      <w:r>
        <w:t>Chapter 2</w:t>
      </w:r>
      <w:r>
        <w:t>. The approving set must be defined by the patient rather than by an institution, whereas in the reviewed studies, the approving set is either defined on the institutional or delegate side (Punia et al. 2025; Wu et al. 2022; Zhao &amp; Su 2024), or appointed by the patient (Maruthi &amp; Singh 2025; Tan, Chi &amp; Lam 2024) but evaluated only as a contingency path or as a key-custody threshold.</w:t>
      </w:r>
    </w:p>
    <w:p w14:paraId="4582573A" w14:textId="77777777" w:rsidR="009262C4" w:rsidRDefault="00000000">
      <w:pPr>
        <w:spacing w:after="110" w:line="264" w:lineRule="auto"/>
        <w:jc w:val="both"/>
      </w:pPr>
      <w:r>
        <w:t xml:space="preserve">The requirement-level gaps identified in </w:t>
      </w:r>
      <w:r>
        <w:t>Chapter 2</w:t>
      </w:r>
      <w:r>
        <w:t xml:space="preserve"> can be stated as follows.</w:t>
      </w:r>
    </w:p>
    <w:p w14:paraId="345927DC" w14:textId="77777777" w:rsidR="009262C4" w:rsidRDefault="00000000">
      <w:pPr>
        <w:pStyle w:val="a4"/>
        <w:numPr>
          <w:ilvl w:val="0"/>
          <w:numId w:val="1"/>
        </w:numPr>
        <w:spacing w:after="80" w:line="288" w:lineRule="auto"/>
        <w:jc w:val="both"/>
      </w:pPr>
      <w:r>
        <w:rPr>
          <w:b/>
          <w:bCs/>
        </w:rPr>
        <w:t>Gap 1 (consent representation).</w:t>
      </w:r>
      <w:r>
        <w:t xml:space="preserve"> Existing approaches tend to treat consent primarily as a record of a patient’s permission, and the evaluable consent objects reported carry only a subset of the conditions and are issued by a single party.</w:t>
      </w:r>
    </w:p>
    <w:p w14:paraId="5B5AE9F4" w14:textId="77777777" w:rsidR="009262C4" w:rsidRDefault="00000000">
      <w:pPr>
        <w:pStyle w:val="a4"/>
        <w:numPr>
          <w:ilvl w:val="0"/>
          <w:numId w:val="1"/>
        </w:numPr>
        <w:spacing w:after="80" w:line="288" w:lineRule="auto"/>
        <w:jc w:val="both"/>
      </w:pPr>
      <w:r>
        <w:rPr>
          <w:b/>
          <w:bCs/>
        </w:rPr>
        <w:t>Gap 2 (identity and authority).</w:t>
      </w:r>
      <w:r>
        <w:t xml:space="preserve"> A valid decentralised identity can establish who a participant is, but it does not necessarily establish what that participant is authorised to do, and authority is verified separately from authentication in only 10 of the 25 studies.</w:t>
      </w:r>
    </w:p>
    <w:p w14:paraId="49CE16F9" w14:textId="77777777" w:rsidR="009262C4" w:rsidRDefault="00000000">
      <w:pPr>
        <w:pStyle w:val="a4"/>
        <w:numPr>
          <w:ilvl w:val="0"/>
          <w:numId w:val="1"/>
        </w:numPr>
        <w:spacing w:after="80" w:line="288" w:lineRule="auto"/>
        <w:jc w:val="both"/>
      </w:pPr>
      <w:r>
        <w:rPr>
          <w:b/>
          <w:bCs/>
        </w:rPr>
        <w:t>Gap 3 (multi-party authorisation).</w:t>
      </w:r>
      <w:r>
        <w:t xml:space="preserve"> Multi-party approval appears as a contingency path, an admission gate, or a registration-time co-consent, but not as a standing condition of every access decision with an approving set defined by the patient.</w:t>
      </w:r>
    </w:p>
    <w:p w14:paraId="0254266D" w14:textId="77777777" w:rsidR="009262C4" w:rsidRDefault="00000000">
      <w:pPr>
        <w:pStyle w:val="a4"/>
        <w:numPr>
          <w:ilvl w:val="0"/>
          <w:numId w:val="1"/>
        </w:numPr>
        <w:spacing w:after="80" w:line="288" w:lineRule="auto"/>
        <w:jc w:val="both"/>
      </w:pPr>
      <w:r>
        <w:rPr>
          <w:b/>
          <w:bCs/>
        </w:rPr>
        <w:t>Gap 4 (policy and context).</w:t>
      </w:r>
      <w:r>
        <w:t xml:space="preserve"> Purpose and data-scope constraints are rarely bound to the same access decision as identity, authority, and multi-party approval.</w:t>
      </w:r>
    </w:p>
    <w:p w14:paraId="7152E083" w14:textId="77777777" w:rsidR="009262C4" w:rsidRDefault="00000000">
      <w:pPr>
        <w:pStyle w:val="a4"/>
        <w:numPr>
          <w:ilvl w:val="0"/>
          <w:numId w:val="1"/>
        </w:numPr>
        <w:spacing w:after="80" w:line="288" w:lineRule="auto"/>
        <w:jc w:val="both"/>
      </w:pPr>
      <w:r>
        <w:rPr>
          <w:b/>
          <w:bCs/>
        </w:rPr>
        <w:t>Gap 5 (temporal and lifecycle trust).</w:t>
      </w:r>
      <w:r>
        <w:t xml:space="preserve"> Temporal validity, lifecycle state, and revocation are often enforced on a credential or at registration rather than evaluated at the time of each access request.</w:t>
      </w:r>
    </w:p>
    <w:p w14:paraId="137BF549" w14:textId="77777777" w:rsidR="009262C4" w:rsidRDefault="00000000">
      <w:pPr>
        <w:pStyle w:val="a4"/>
        <w:numPr>
          <w:ilvl w:val="0"/>
          <w:numId w:val="1"/>
        </w:numPr>
        <w:spacing w:after="80" w:line="288" w:lineRule="auto"/>
        <w:jc w:val="both"/>
      </w:pPr>
      <w:r>
        <w:rPr>
          <w:b/>
          <w:bCs/>
        </w:rPr>
        <w:t>Gap 6 (security assurance).</w:t>
      </w:r>
      <w:r>
        <w:t xml:space="preserve"> The authorisation decision as a whole is neither formally proved nor systematically tested, and any proof covers only a fragment of the predicate.</w:t>
      </w:r>
    </w:p>
    <w:p w14:paraId="157DA719" w14:textId="77777777" w:rsidR="009262C4" w:rsidRDefault="00000000">
      <w:pPr>
        <w:spacing w:after="110" w:line="264" w:lineRule="auto"/>
        <w:jc w:val="both"/>
      </w:pPr>
      <w:r>
        <w:t>Gap 1 to Gap 5 together form the conjunction gap, whereas Gap 6 corresponds to the assurance gap, and each gap is addressed by the research question and objective of the same number.</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sectPr w:rsidR="009262C4">
      <w:headerReference w:type="default" r:id="rId45"/>
      <w:headerReference w:type="even" r:id="rId46"/>
      <w:footerReference w:type="default" r:id="rId47"/>
      <w:footerReference w:type="even" r:id="rId48"/>
      <w:pgSz w:w="11906" w:h="16838"/>
      <w:pgMar w:top="1417" w:right="1701" w:bottom="1417" w:left="1701" w:header="737" w:footer="737"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000000"/>
      </w:pBdr>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evenAndOddHeader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 Id="rId41" Type="http://schemas.openxmlformats.org/officeDocument/2006/relationships/header" Target="header3.xml"/><Relationship Id="rId42" Type="http://schemas.openxmlformats.org/officeDocument/2006/relationships/header" Target="header4.xml"/><Relationship Id="rId43" Type="http://schemas.openxmlformats.org/officeDocument/2006/relationships/footer" Target="footer3.xml"/><Relationship Id="rId44" Type="http://schemas.openxmlformats.org/officeDocument/2006/relationships/footer" Target="footer4.xml"/><Relationship Id="rId45" Type="http://schemas.openxmlformats.org/officeDocument/2006/relationships/header" Target="header5.xml"/><Relationship Id="rId46" Type="http://schemas.openxmlformats.org/officeDocument/2006/relationships/header" Target="header6.xml"/><Relationship Id="rId47" Type="http://schemas.openxmlformats.org/officeDocument/2006/relationships/footer" Target="footer5.xml"/><Relationship Id="rId4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