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line="400"/>
        <w:jc w:val="center"/>
      </w:pPr>
      <w:r>
        <w:rPr>
          <w:rFonts w:ascii="Cambria" w:cs="Cambria" w:eastAsia="Cambria" w:hAnsi="Cambria"/>
          <w:b/>
          <w:bCs/>
          <w:sz w:val="34"/>
          <w:szCs w:val="34"/>
        </w:rPr>
        <w:t xml:space="preserve">A Trusted Authorisation Framework for Multi-Party Patient Consent in Healthcare Data Sharing</w:t>
      </w:r>
    </w:p>
    <w:p>
      <w:pPr>
        <w:spacing w:after="40" w:before="120"/>
        <w:jc w:val="center"/>
      </w:pPr>
      <w:r>
        <w:rPr>
          <w:rFonts w:ascii="Cambria" w:cs="Cambria" w:eastAsia="Cambria" w:hAnsi="Cambria"/>
          <w:sz w:val="26"/>
          <w:szCs w:val="26"/>
        </w:rPr>
        <w:t xml:space="preserve">Principal Supervisor: Professor Farookh Hussain</w:t>
      </w:r>
    </w:p>
    <w:p>
      <w:pPr>
        <w:spacing w:after="40" w:before="120"/>
        <w:jc w:val="center"/>
      </w:pPr>
      <w:r>
        <w:rPr>
          <w:rFonts w:ascii="Cambria" w:cs="Cambria" w:eastAsia="Cambria" w:hAnsi="Cambria"/>
          <w:sz w:val="26"/>
          <w:szCs w:val="26"/>
        </w:rPr>
        <w:t xml:space="preserve">Co-Supervisor: Dr. Firas Al-Doghman</w:t>
      </w:r>
    </w:p>
    <w:p>
      <w:pPr>
        <w:spacing w:after="40" w:before="120"/>
        <w:jc w:val="center"/>
      </w:pPr>
      <w:r>
        <w:rPr>
          <w:rFonts w:ascii="Cambria" w:cs="Cambria" w:eastAsia="Cambria" w:hAnsi="Cambria"/>
          <w:sz w:val="26"/>
          <w:szCs w:val="26"/>
        </w:rPr>
        <w:t xml:space="preserve">Presenter: Yasir Dhaifallah O Alyoubi</w:t>
      </w:r>
    </w:p>
    <w:p>
      <w:pPr>
        <w:spacing w:after="40" w:before="120"/>
        <w:jc w:val="center"/>
      </w:pPr>
      <w:r>
        <w:rPr>
          <w:rFonts w:ascii="Cambria" w:cs="Cambria" w:eastAsia="Cambria" w:hAnsi="Cambria"/>
          <w:sz w:val="26"/>
          <w:szCs w:val="26"/>
        </w:rPr>
        <w:t xml:space="preserve">Student ID: 24724078</w:t>
      </w:r>
    </w:p>
    <w:p>
      <w:pPr>
        <w:spacing w:before="200"/>
        <w:jc w:val="center"/>
      </w:pPr>
      <w:r>
        <w:rPr>
          <w:rFonts w:ascii="Cambria" w:cs="Cambria" w:eastAsia="Cambria" w:hAnsi="Cambria"/>
          <w:sz w:val="26"/>
          <w:szCs w:val="26"/>
        </w:rPr>
        <w:t xml:space="preserve">August 2026</w:t>
      </w:r>
    </w:p>
    <w:p>
      <w:r>
        <w:br w:type="page"/>
      </w:r>
    </w:p>
    <w:p>
      <w:pPr>
        <w:spacing w:after="200" w:before="200"/>
        <w:jc w:val="center"/>
      </w:pPr>
      <w:r>
        <w:rPr>
          <w:rFonts w:ascii="Cambria" w:cs="Cambria" w:eastAsia="Cambria" w:hAnsi="Cambria"/>
          <w:b/>
          <w:bCs/>
          <w:color w:val="0000CC"/>
          <w:sz w:val="28"/>
          <w:szCs w:val="28"/>
        </w:rPr>
        <w:t xml:space="preserve">Abstract</w:t>
      </w:r>
    </w:p>
    <w:p>
      <w:pPr>
        <w:spacing w:after="140" w:line="300"/>
        <w:jc w:val="both"/>
      </w:pPr>
      <w:r>
        <w:rPr>
          <w:rFonts w:ascii="Cambria" w:cs="Cambria" w:eastAsia="Cambria" w:hAnsi="Cambria"/>
          <w:color w:val="0000CC"/>
          <w:sz w:val="24"/>
          <w:szCs w:val="24"/>
        </w:rPr>
        <w:t xml:space="preserve">Healthcare data sharing increasingly requires authorisation decisions in which the patient, a guardian set G, the authorised doctor D and institutional authorities participate without belonging to a single administrative domain. Existing blockchain-based consent systems establish these conditions individually, and several combine three or four of them, but no reviewed system evaluates in every access decision who the participants are, whether they hold the authority to approve, whether the required collective approval has been obtained, whether the requested purpose and data scope match the consent, and whether the consent is still valid at the time of the request, and none assures that conjunction formally.</w:t>
      </w:r>
    </w:p>
    <w:p>
      <w:pPr>
        <w:spacing w:after="140" w:line="300"/>
        <w:jc w:val="both"/>
      </w:pPr>
      <w:r>
        <w:rPr>
          <w:rFonts w:ascii="Cambria" w:cs="Cambria" w:eastAsia="Cambria" w:hAnsi="Cambria"/>
          <w:color w:val="0000CC"/>
          <w:sz w:val="24"/>
          <w:szCs w:val="24"/>
        </w:rPr>
        <w:t xml:space="preserve">This research proposes HALAH, a trust-oriented authorisation framework in which patient consent is represented as an evaluable consent object C = (I, A, P, T, L, E) rather than as a static permission record. Six research objectives are addressed: a trust-centric consent model (RO1), decentralised identity and authority trust using decentralised identifiers and verifiable credentials (RO2), trustworthy multi-party authorisation through a threshold N over the guardian set G (RO3), policy- and context-aware access control (RO4), temporal and lifecycle trust with expiry and revocation (RO5), and formal security assurance with empirical validation (RO6). A systematic literature review of 44 primary studies, of which 25 were analysed in depth, structured by six requirements, shows that no reviewed study satisfies all six requirements together and that the strongest multi-party and policy mechanisms provide no formal assurance of the authorisation decision. The framework is realised through a Model–View–Controller architecture, six procedures with their algorithms, and a prototype deployed on the Ethereum Sepolia testnet, in which consent activation and revocation are anchored as verifiable transactions and every access decision is the conjunction of the five trust predicates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A</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P</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The current stage delivers RO1 to RO5 in operational form together with the empirical component of RO6, evidenced by 23 automated tests, a live jurisdiction-based denial, an on-chain revocation followed by refusal and an independent verification of every recorded transaction. The formal component of RO6, together with consent modification, delegation and a performance study, constitutes the next stage of the research.</w:t>
      </w:r>
    </w:p>
    <w:p>
      <w:r>
        <w:br w:type="page"/>
      </w:r>
    </w:p>
    <w:p>
      <w:r>
        <w:br w:type="page"/>
      </w:r>
    </w:p>
    <w:p>
      <w:pPr>
        <w:spacing w:after="200"/>
      </w:pPr>
      <w:r>
        <w:rPr>
          <w:rFonts w:ascii="Cambria" w:cs="Cambria" w:eastAsia="Cambria" w:hAnsi="Cambria"/>
          <w:b/>
          <w:bCs/>
          <w:sz w:val="32"/>
          <w:szCs w:val="32"/>
        </w:rPr>
        <w:t xml:space="preserve">Contents</w:t>
      </w:r>
    </w:p>
    <w:p>
      <w:pPr>
        <w:tabs>
          <w:tab w:val="right" w:pos="9360" w:leader="dot"/>
        </w:tabs>
        <w:spacing w:after="60"/>
        <w:ind w:left="0"/>
      </w:pPr>
      <w:r>
        <w:rPr>
          <w:rFonts w:ascii="Cambria" w:cs="Cambria" w:eastAsia="Cambria" w:hAnsi="Cambria"/>
          <w:b/>
          <w:bCs/>
          <w:sz w:val="24"/>
          <w:szCs w:val="24"/>
        </w:rPr>
        <w:t xml:space="preserve">1 Introduction</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1.1 Research Context</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1.2 Problem Statement</w:t>
      </w:r>
      <w:r>
        <w:rPr>
          <w:rFonts w:ascii="Cambria" w:cs="Cambria" w:eastAsia="Cambria" w:hAnsi="Cambria"/>
          <w:sz w:val="22"/>
          <w:szCs w:val="22"/>
        </w:rPr>
        <w:t xml:space="preserve">	8</w:t>
      </w:r>
    </w:p>
    <w:p>
      <w:pPr>
        <w:tabs>
          <w:tab w:val="right" w:pos="9360" w:leader="dot"/>
        </w:tabs>
        <w:spacing w:after="60"/>
        <w:ind w:left="360"/>
      </w:pPr>
      <w:r>
        <w:rPr>
          <w:rFonts w:ascii="Cambria" w:cs="Cambria" w:eastAsia="Cambria" w:hAnsi="Cambria"/>
          <w:b w:val="false"/>
          <w:bCs w:val="false"/>
          <w:sz w:val="22"/>
          <w:szCs w:val="22"/>
        </w:rPr>
        <w:t xml:space="preserve">1.3 Research Motivation</w:t>
      </w:r>
      <w:r>
        <w:rPr>
          <w:rFonts w:ascii="Cambria" w:cs="Cambria" w:eastAsia="Cambria" w:hAnsi="Cambria"/>
          <w:sz w:val="22"/>
          <w:szCs w:val="22"/>
        </w:rPr>
        <w:t xml:space="preserve">	10</w:t>
      </w:r>
    </w:p>
    <w:p>
      <w:pPr>
        <w:tabs>
          <w:tab w:val="right" w:pos="9360" w:leader="dot"/>
        </w:tabs>
        <w:spacing w:after="60"/>
        <w:ind w:left="0"/>
      </w:pPr>
      <w:r>
        <w:rPr>
          <w:rFonts w:ascii="Cambria" w:cs="Cambria" w:eastAsia="Cambria" w:hAnsi="Cambria"/>
          <w:b/>
          <w:bCs/>
          <w:sz w:val="24"/>
          <w:szCs w:val="24"/>
        </w:rPr>
        <w:t xml:space="preserve">2 Systematic Literature Review</w:t>
      </w:r>
      <w:r>
        <w:rPr>
          <w:rFonts w:ascii="Cambria" w:cs="Cambria" w:eastAsia="Cambria" w:hAnsi="Cambria"/>
          <w:sz w:val="22"/>
          <w:szCs w:val="22"/>
        </w:rPr>
        <w:t xml:space="preserve">	15</w:t>
      </w:r>
    </w:p>
    <w:p>
      <w:pPr>
        <w:tabs>
          <w:tab w:val="right" w:pos="9360" w:leader="dot"/>
        </w:tabs>
        <w:spacing w:after="60"/>
        <w:ind w:left="360"/>
      </w:pPr>
      <w:r>
        <w:rPr>
          <w:rFonts w:ascii="Cambria" w:cs="Cambria" w:eastAsia="Cambria" w:hAnsi="Cambria"/>
          <w:b w:val="false"/>
          <w:bCs w:val="false"/>
          <w:sz w:val="22"/>
          <w:szCs w:val="22"/>
        </w:rPr>
        <w:t xml:space="preserve">2.1 Overview</w:t>
      </w:r>
      <w:r>
        <w:rPr>
          <w:rFonts w:ascii="Cambria" w:cs="Cambria" w:eastAsia="Cambria" w:hAnsi="Cambria"/>
          <w:sz w:val="22"/>
          <w:szCs w:val="22"/>
        </w:rPr>
        <w:t xml:space="preserve">	15</w:t>
      </w:r>
    </w:p>
    <w:p>
      <w:pPr>
        <w:tabs>
          <w:tab w:val="right" w:pos="9360" w:leader="dot"/>
        </w:tabs>
        <w:spacing w:after="60"/>
        <w:ind w:left="360"/>
      </w:pPr>
      <w:r>
        <w:rPr>
          <w:rFonts w:ascii="Cambria" w:cs="Cambria" w:eastAsia="Cambria" w:hAnsi="Cambria"/>
          <w:b w:val="false"/>
          <w:bCs w:val="false"/>
          <w:sz w:val="22"/>
          <w:szCs w:val="22"/>
        </w:rPr>
        <w:t xml:space="preserve">2.2 Key Requirements for Trustworthy Multi-Party Consent Authorisation</w:t>
      </w:r>
      <w:r>
        <w:rPr>
          <w:rFonts w:ascii="Cambria" w:cs="Cambria" w:eastAsia="Cambria" w:hAnsi="Cambria"/>
          <w:sz w:val="22"/>
          <w:szCs w:val="22"/>
        </w:rPr>
        <w:t xml:space="preserve">	16</w:t>
      </w:r>
    </w:p>
    <w:p>
      <w:pPr>
        <w:tabs>
          <w:tab w:val="right" w:pos="9360" w:leader="dot"/>
        </w:tabs>
        <w:spacing w:after="60"/>
        <w:ind w:left="720"/>
      </w:pPr>
      <w:r>
        <w:rPr>
          <w:rFonts w:ascii="Cambria" w:cs="Cambria" w:eastAsia="Cambria" w:hAnsi="Cambria"/>
          <w:b w:val="false"/>
          <w:bCs w:val="false"/>
          <w:sz w:val="20"/>
          <w:szCs w:val="20"/>
        </w:rPr>
        <w:t xml:space="preserve">2.2.1 Representation of consent as an evaluable authorisation object (Req: 1)</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2.2.2 Decentralised verification of identity and authority (Req: 2)</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2.2.3 Multi-party authorisation through a verifiable threshold (Req: 3)</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2.2.4 Policy- and context-aware enforcement at the time of access (Req: 4)</w:t>
      </w:r>
      <w:r>
        <w:rPr>
          <w:rFonts w:ascii="Cambria" w:cs="Cambria" w:eastAsia="Cambria" w:hAnsi="Cambria"/>
          <w:sz w:val="20"/>
          <w:szCs w:val="20"/>
        </w:rPr>
        <w:t xml:space="preserve">	17</w:t>
      </w:r>
    </w:p>
    <w:p>
      <w:pPr>
        <w:tabs>
          <w:tab w:val="right" w:pos="9360" w:leader="dot"/>
        </w:tabs>
        <w:spacing w:after="60"/>
        <w:ind w:left="720"/>
      </w:pPr>
      <w:r>
        <w:rPr>
          <w:rFonts w:ascii="Cambria" w:cs="Cambria" w:eastAsia="Cambria" w:hAnsi="Cambria"/>
          <w:b w:val="false"/>
          <w:bCs w:val="false"/>
          <w:sz w:val="20"/>
          <w:szCs w:val="20"/>
        </w:rPr>
        <w:t xml:space="preserve">2.2.5 Temporal validity and lifecycle control of consent (Req: 5)</w:t>
      </w:r>
      <w:r>
        <w:rPr>
          <w:rFonts w:ascii="Cambria" w:cs="Cambria" w:eastAsia="Cambria" w:hAnsi="Cambria"/>
          <w:sz w:val="20"/>
          <w:szCs w:val="20"/>
        </w:rPr>
        <w:t xml:space="preserve">	17</w:t>
      </w:r>
    </w:p>
    <w:p>
      <w:pPr>
        <w:tabs>
          <w:tab w:val="right" w:pos="9360" w:leader="dot"/>
        </w:tabs>
        <w:spacing w:after="60"/>
        <w:ind w:left="720"/>
      </w:pPr>
      <w:r>
        <w:rPr>
          <w:rFonts w:ascii="Cambria" w:cs="Cambria" w:eastAsia="Cambria" w:hAnsi="Cambria"/>
          <w:b w:val="false"/>
          <w:bCs w:val="false"/>
          <w:sz w:val="20"/>
          <w:szCs w:val="20"/>
        </w:rPr>
        <w:t xml:space="preserve">2.2.6 Verifiable auditability and security assurance (Req: 6)</w:t>
      </w:r>
      <w:r>
        <w:rPr>
          <w:rFonts w:ascii="Cambria" w:cs="Cambria" w:eastAsia="Cambria" w:hAnsi="Cambria"/>
          <w:sz w:val="20"/>
          <w:szCs w:val="20"/>
        </w:rPr>
        <w:t xml:space="preserve">	17</w:t>
      </w:r>
    </w:p>
    <w:p>
      <w:pPr>
        <w:tabs>
          <w:tab w:val="right" w:pos="9360" w:leader="dot"/>
        </w:tabs>
        <w:spacing w:after="60"/>
        <w:ind w:left="360"/>
      </w:pPr>
      <w:r>
        <w:rPr>
          <w:rFonts w:ascii="Cambria" w:cs="Cambria" w:eastAsia="Cambria" w:hAnsi="Cambria"/>
          <w:b w:val="false"/>
          <w:bCs w:val="false"/>
          <w:sz w:val="22"/>
          <w:szCs w:val="22"/>
        </w:rPr>
        <w:t xml:space="preserve">2.3 Systematic Literature Review Methodology</w:t>
      </w:r>
      <w:r>
        <w:rPr>
          <w:rFonts w:ascii="Cambria" w:cs="Cambria" w:eastAsia="Cambria" w:hAnsi="Cambria"/>
          <w:sz w:val="22"/>
          <w:szCs w:val="22"/>
        </w:rPr>
        <w:t xml:space="preserve">	18</w:t>
      </w:r>
    </w:p>
    <w:p>
      <w:pPr>
        <w:tabs>
          <w:tab w:val="right" w:pos="9360" w:leader="dot"/>
        </w:tabs>
        <w:spacing w:after="60"/>
        <w:ind w:left="720"/>
      </w:pPr>
      <w:r>
        <w:rPr>
          <w:rFonts w:ascii="Cambria" w:cs="Cambria" w:eastAsia="Cambria" w:hAnsi="Cambria"/>
          <w:b w:val="false"/>
          <w:bCs w:val="false"/>
          <w:sz w:val="20"/>
          <w:szCs w:val="20"/>
        </w:rPr>
        <w:t xml:space="preserve">2.3.1 Review Design and Reporting Framework</w:t>
      </w:r>
      <w:r>
        <w:rPr>
          <w:rFonts w:ascii="Cambria" w:cs="Cambria" w:eastAsia="Cambria" w:hAnsi="Cambria"/>
          <w:sz w:val="20"/>
          <w:szCs w:val="20"/>
        </w:rPr>
        <w:t xml:space="preserve">	18</w:t>
      </w:r>
    </w:p>
    <w:p>
      <w:pPr>
        <w:tabs>
          <w:tab w:val="right" w:pos="9360" w:leader="dot"/>
        </w:tabs>
        <w:spacing w:after="60"/>
        <w:ind w:left="720"/>
      </w:pPr>
      <w:r>
        <w:rPr>
          <w:rFonts w:ascii="Cambria" w:cs="Cambria" w:eastAsia="Cambria" w:hAnsi="Cambria"/>
          <w:b w:val="false"/>
          <w:bCs w:val="false"/>
          <w:sz w:val="20"/>
          <w:szCs w:val="20"/>
        </w:rPr>
        <w:t xml:space="preserve">2.3.2 Questions for Review</w:t>
      </w:r>
      <w:r>
        <w:rPr>
          <w:rFonts w:ascii="Cambria" w:cs="Cambria" w:eastAsia="Cambria" w:hAnsi="Cambria"/>
          <w:sz w:val="20"/>
          <w:szCs w:val="20"/>
        </w:rPr>
        <w:t xml:space="preserve">	19</w:t>
      </w:r>
    </w:p>
    <w:p>
      <w:pPr>
        <w:tabs>
          <w:tab w:val="right" w:pos="9360" w:leader="dot"/>
        </w:tabs>
        <w:spacing w:after="60"/>
        <w:ind w:left="720"/>
      </w:pPr>
      <w:r>
        <w:rPr>
          <w:rFonts w:ascii="Cambria" w:cs="Cambria" w:eastAsia="Cambria" w:hAnsi="Cambria"/>
          <w:b w:val="false"/>
          <w:bCs w:val="false"/>
          <w:sz w:val="20"/>
          <w:szCs w:val="20"/>
        </w:rPr>
        <w:t xml:space="preserve">2.3.3 Search Databases and Search Strategy</w:t>
      </w:r>
      <w:r>
        <w:rPr>
          <w:rFonts w:ascii="Cambria" w:cs="Cambria" w:eastAsia="Cambria" w:hAnsi="Cambria"/>
          <w:sz w:val="20"/>
          <w:szCs w:val="20"/>
        </w:rPr>
        <w:t xml:space="preserve">	20</w:t>
      </w:r>
    </w:p>
    <w:p>
      <w:pPr>
        <w:tabs>
          <w:tab w:val="right" w:pos="9360" w:leader="dot"/>
        </w:tabs>
        <w:spacing w:after="60"/>
        <w:ind w:left="720"/>
      </w:pPr>
      <w:r>
        <w:rPr>
          <w:rFonts w:ascii="Cambria" w:cs="Cambria" w:eastAsia="Cambria" w:hAnsi="Cambria"/>
          <w:b w:val="false"/>
          <w:bCs w:val="false"/>
          <w:sz w:val="20"/>
          <w:szCs w:val="20"/>
        </w:rPr>
        <w:t xml:space="preserve">2.3.4 Search Period and Search Execution</w:t>
      </w:r>
      <w:r>
        <w:rPr>
          <w:rFonts w:ascii="Cambria" w:cs="Cambria" w:eastAsia="Cambria" w:hAnsi="Cambria"/>
          <w:sz w:val="20"/>
          <w:szCs w:val="20"/>
        </w:rPr>
        <w:t xml:space="preserve">	22</w:t>
      </w:r>
    </w:p>
    <w:p>
      <w:pPr>
        <w:tabs>
          <w:tab w:val="right" w:pos="9360" w:leader="dot"/>
        </w:tabs>
        <w:spacing w:after="60"/>
        <w:ind w:left="720"/>
      </w:pPr>
      <w:r>
        <w:rPr>
          <w:rFonts w:ascii="Cambria" w:cs="Cambria" w:eastAsia="Cambria" w:hAnsi="Cambria"/>
          <w:b w:val="false"/>
          <w:bCs w:val="false"/>
          <w:sz w:val="20"/>
          <w:szCs w:val="20"/>
        </w:rPr>
        <w:t xml:space="preserve">2.3.5 Eligibility Criteria</w:t>
      </w:r>
      <w:r>
        <w:rPr>
          <w:rFonts w:ascii="Cambria" w:cs="Cambria" w:eastAsia="Cambria" w:hAnsi="Cambria"/>
          <w:sz w:val="20"/>
          <w:szCs w:val="20"/>
        </w:rPr>
        <w:t xml:space="preserve">	23</w:t>
      </w:r>
    </w:p>
    <w:p>
      <w:pPr>
        <w:tabs>
          <w:tab w:val="right" w:pos="9360" w:leader="dot"/>
        </w:tabs>
        <w:spacing w:after="60"/>
        <w:ind w:left="720"/>
      </w:pPr>
      <w:r>
        <w:rPr>
          <w:rFonts w:ascii="Cambria" w:cs="Cambria" w:eastAsia="Cambria" w:hAnsi="Cambria"/>
          <w:b w:val="false"/>
          <w:bCs w:val="false"/>
          <w:sz w:val="20"/>
          <w:szCs w:val="20"/>
        </w:rPr>
        <w:t xml:space="preserve">2.3.6 Screening and Study Selection</w:t>
      </w:r>
      <w:r>
        <w:rPr>
          <w:rFonts w:ascii="Cambria" w:cs="Cambria" w:eastAsia="Cambria" w:hAnsi="Cambria"/>
          <w:sz w:val="20"/>
          <w:szCs w:val="20"/>
        </w:rPr>
        <w:t xml:space="preserve">	24</w:t>
      </w:r>
    </w:p>
    <w:p>
      <w:pPr>
        <w:tabs>
          <w:tab w:val="right" w:pos="9360" w:leader="dot"/>
        </w:tabs>
        <w:spacing w:after="60"/>
        <w:ind w:left="720"/>
      </w:pPr>
      <w:r>
        <w:rPr>
          <w:rFonts w:ascii="Cambria" w:cs="Cambria" w:eastAsia="Cambria" w:hAnsi="Cambria"/>
          <w:b w:val="false"/>
          <w:bCs w:val="false"/>
          <w:sz w:val="20"/>
          <w:szCs w:val="20"/>
        </w:rPr>
        <w:t xml:space="preserve">2.3.7 Data Extraction, Quality Assessment and Synthesis</w:t>
      </w:r>
      <w:r>
        <w:rPr>
          <w:rFonts w:ascii="Cambria" w:cs="Cambria" w:eastAsia="Cambria" w:hAnsi="Cambria"/>
          <w:sz w:val="20"/>
          <w:szCs w:val="20"/>
        </w:rPr>
        <w:t xml:space="preserve">	27</w:t>
      </w:r>
    </w:p>
    <w:p>
      <w:pPr>
        <w:tabs>
          <w:tab w:val="right" w:pos="9360" w:leader="dot"/>
        </w:tabs>
        <w:spacing w:after="60"/>
        <w:ind w:left="720"/>
      </w:pPr>
      <w:r>
        <w:rPr>
          <w:rFonts w:ascii="Cambria" w:cs="Cambria" w:eastAsia="Cambria" w:hAnsi="Cambria"/>
          <w:b w:val="false"/>
          <w:bCs w:val="false"/>
          <w:sz w:val="20"/>
          <w:szCs w:val="20"/>
        </w:rPr>
        <w:t xml:space="preserve">2.3.8 Shortlisted Studies and Their Categorisation</w:t>
      </w:r>
      <w:r>
        <w:rPr>
          <w:rFonts w:ascii="Cambria" w:cs="Cambria" w:eastAsia="Cambria" w:hAnsi="Cambria"/>
          <w:sz w:val="20"/>
          <w:szCs w:val="20"/>
        </w:rPr>
        <w:t xml:space="preserve">	30</w:t>
      </w:r>
    </w:p>
    <w:p>
      <w:pPr>
        <w:tabs>
          <w:tab w:val="right" w:pos="9360" w:leader="dot"/>
        </w:tabs>
        <w:spacing w:after="60"/>
        <w:ind w:left="360"/>
      </w:pPr>
      <w:r>
        <w:rPr>
          <w:rFonts w:ascii="Cambria" w:cs="Cambria" w:eastAsia="Cambria" w:hAnsi="Cambria"/>
          <w:b w:val="false"/>
          <w:bCs w:val="false"/>
          <w:sz w:val="22"/>
          <w:szCs w:val="22"/>
        </w:rPr>
        <w:t xml:space="preserve">2.4 Review</w:t>
      </w:r>
      <w:r>
        <w:rPr>
          <w:rFonts w:ascii="Cambria" w:cs="Cambria" w:eastAsia="Cambria" w:hAnsi="Cambria"/>
          <w:sz w:val="22"/>
          <w:szCs w:val="22"/>
        </w:rPr>
        <w:t xml:space="preserve">	34</w:t>
      </w:r>
    </w:p>
    <w:p>
      <w:pPr>
        <w:tabs>
          <w:tab w:val="right" w:pos="9360" w:leader="dot"/>
        </w:tabs>
        <w:spacing w:after="60"/>
        <w:ind w:left="720"/>
      </w:pPr>
      <w:r>
        <w:rPr>
          <w:rFonts w:ascii="Cambria" w:cs="Cambria" w:eastAsia="Cambria" w:hAnsi="Cambria"/>
          <w:b w:val="false"/>
          <w:bCs w:val="false"/>
          <w:sz w:val="20"/>
          <w:szCs w:val="20"/>
        </w:rPr>
        <w:t xml:space="preserve">2.4.1 Consent Representation and Blockchain-Based Consent Governance</w:t>
      </w:r>
      <w:r>
        <w:rPr>
          <w:rFonts w:ascii="Cambria" w:cs="Cambria" w:eastAsia="Cambria" w:hAnsi="Cambria"/>
          <w:sz w:val="20"/>
          <w:szCs w:val="20"/>
        </w:rPr>
        <w:t xml:space="preserve">	36</w:t>
      </w:r>
    </w:p>
    <w:p>
      <w:pPr>
        <w:tabs>
          <w:tab w:val="right" w:pos="9360" w:leader="dot"/>
        </w:tabs>
        <w:spacing w:after="60"/>
        <w:ind w:left="720"/>
      </w:pPr>
      <w:r>
        <w:rPr>
          <w:rFonts w:ascii="Cambria" w:cs="Cambria" w:eastAsia="Cambria" w:hAnsi="Cambria"/>
          <w:b w:val="false"/>
          <w:bCs w:val="false"/>
          <w:sz w:val="20"/>
          <w:szCs w:val="20"/>
        </w:rPr>
        <w:t xml:space="preserve">2.4.2 Decentralised Identity and Authority Trust</w:t>
      </w:r>
      <w:r>
        <w:rPr>
          <w:rFonts w:ascii="Cambria" w:cs="Cambria" w:eastAsia="Cambria" w:hAnsi="Cambria"/>
          <w:sz w:val="20"/>
          <w:szCs w:val="20"/>
        </w:rPr>
        <w:t xml:space="preserve">	39</w:t>
      </w:r>
    </w:p>
    <w:p>
      <w:pPr>
        <w:tabs>
          <w:tab w:val="right" w:pos="9360" w:leader="dot"/>
        </w:tabs>
        <w:spacing w:after="60"/>
        <w:ind w:left="720"/>
      </w:pPr>
      <w:r>
        <w:rPr>
          <w:rFonts w:ascii="Cambria" w:cs="Cambria" w:eastAsia="Cambria" w:hAnsi="Cambria"/>
          <w:b w:val="false"/>
          <w:bCs w:val="false"/>
          <w:sz w:val="20"/>
          <w:szCs w:val="20"/>
        </w:rPr>
        <w:t xml:space="preserve">2.4.3 Multi-Party Authorisation and Collaborative Consent</w:t>
      </w:r>
      <w:r>
        <w:rPr>
          <w:rFonts w:ascii="Cambria" w:cs="Cambria" w:eastAsia="Cambria" w:hAnsi="Cambria"/>
          <w:sz w:val="20"/>
          <w:szCs w:val="20"/>
        </w:rPr>
        <w:t xml:space="preserve">	42</w:t>
      </w:r>
    </w:p>
    <w:p>
      <w:pPr>
        <w:tabs>
          <w:tab w:val="right" w:pos="9360" w:leader="dot"/>
        </w:tabs>
        <w:spacing w:after="60"/>
        <w:ind w:left="720"/>
      </w:pPr>
      <w:r>
        <w:rPr>
          <w:rFonts w:ascii="Cambria" w:cs="Cambria" w:eastAsia="Cambria" w:hAnsi="Cambria"/>
          <w:b w:val="false"/>
          <w:bCs w:val="false"/>
          <w:sz w:val="20"/>
          <w:szCs w:val="20"/>
        </w:rPr>
        <w:t xml:space="preserve">2.4.4 Policy- and Context-Aware Access Control</w:t>
      </w:r>
      <w:r>
        <w:rPr>
          <w:rFonts w:ascii="Cambria" w:cs="Cambria" w:eastAsia="Cambria" w:hAnsi="Cambria"/>
          <w:sz w:val="20"/>
          <w:szCs w:val="20"/>
        </w:rPr>
        <w:t xml:space="preserve">	48</w:t>
      </w:r>
    </w:p>
    <w:p>
      <w:pPr>
        <w:tabs>
          <w:tab w:val="right" w:pos="9360" w:leader="dot"/>
        </w:tabs>
        <w:spacing w:after="60"/>
        <w:ind w:left="720"/>
      </w:pPr>
      <w:r>
        <w:rPr>
          <w:rFonts w:ascii="Cambria" w:cs="Cambria" w:eastAsia="Cambria" w:hAnsi="Cambria"/>
          <w:b w:val="false"/>
          <w:bCs w:val="false"/>
          <w:sz w:val="20"/>
          <w:szCs w:val="20"/>
        </w:rPr>
        <w:t xml:space="preserve">2.4.5 Temporal Validity and Consent Lifecycle</w:t>
      </w:r>
      <w:r>
        <w:rPr>
          <w:rFonts w:ascii="Cambria" w:cs="Cambria" w:eastAsia="Cambria" w:hAnsi="Cambria"/>
          <w:sz w:val="20"/>
          <w:szCs w:val="20"/>
        </w:rPr>
        <w:t xml:space="preserve">	52</w:t>
      </w:r>
    </w:p>
    <w:p>
      <w:pPr>
        <w:tabs>
          <w:tab w:val="right" w:pos="9360" w:leader="dot"/>
        </w:tabs>
        <w:spacing w:after="60"/>
        <w:ind w:left="720"/>
      </w:pPr>
      <w:r>
        <w:rPr>
          <w:rFonts w:ascii="Cambria" w:cs="Cambria" w:eastAsia="Cambria" w:hAnsi="Cambria"/>
          <w:b w:val="false"/>
          <w:bCs w:val="false"/>
          <w:sz w:val="20"/>
          <w:szCs w:val="20"/>
        </w:rPr>
        <w:t xml:space="preserve">2.4.6 Formal Security Assurance and Empirical Validation</w:t>
      </w:r>
      <w:r>
        <w:rPr>
          <w:rFonts w:ascii="Cambria" w:cs="Cambria" w:eastAsia="Cambria" w:hAnsi="Cambria"/>
          <w:sz w:val="20"/>
          <w:szCs w:val="20"/>
        </w:rPr>
        <w:t xml:space="preserve">	55</w:t>
      </w:r>
    </w:p>
    <w:p>
      <w:pPr>
        <w:tabs>
          <w:tab w:val="right" w:pos="9360" w:leader="dot"/>
        </w:tabs>
        <w:spacing w:after="60"/>
        <w:ind w:left="720"/>
      </w:pPr>
      <w:r>
        <w:rPr>
          <w:rFonts w:ascii="Cambria" w:cs="Cambria" w:eastAsia="Cambria" w:hAnsi="Cambria"/>
          <w:b w:val="false"/>
          <w:bCs w:val="false"/>
          <w:sz w:val="20"/>
          <w:szCs w:val="20"/>
        </w:rPr>
        <w:t xml:space="preserve">2.4.7 Comparative Analysis of Existing Approaches</w:t>
      </w:r>
      <w:r>
        <w:rPr>
          <w:rFonts w:ascii="Cambria" w:cs="Cambria" w:eastAsia="Cambria" w:hAnsi="Cambria"/>
          <w:sz w:val="20"/>
          <w:szCs w:val="20"/>
        </w:rPr>
        <w:t xml:space="preserve">	60</w:t>
      </w:r>
    </w:p>
    <w:p>
      <w:pPr>
        <w:tabs>
          <w:tab w:val="right" w:pos="9360" w:leader="dot"/>
        </w:tabs>
        <w:spacing w:after="60"/>
        <w:ind w:left="360"/>
      </w:pPr>
      <w:r>
        <w:rPr>
          <w:rFonts w:ascii="Cambria" w:cs="Cambria" w:eastAsia="Cambria" w:hAnsi="Cambria"/>
          <w:b w:val="false"/>
          <w:bCs w:val="false"/>
          <w:sz w:val="22"/>
          <w:szCs w:val="22"/>
        </w:rPr>
        <w:t xml:space="preserve">2.5 Synthesis and Research Gap</w:t>
      </w:r>
      <w:r>
        <w:rPr>
          <w:rFonts w:ascii="Cambria" w:cs="Cambria" w:eastAsia="Cambria" w:hAnsi="Cambria"/>
          <w:sz w:val="22"/>
          <w:szCs w:val="22"/>
        </w:rPr>
        <w:t xml:space="preserve">	63</w:t>
      </w:r>
    </w:p>
    <w:p>
      <w:pPr>
        <w:tabs>
          <w:tab w:val="right" w:pos="9360" w:leader="dot"/>
        </w:tabs>
        <w:spacing w:after="60"/>
        <w:ind w:left="720"/>
      </w:pPr>
      <w:r>
        <w:rPr>
          <w:rFonts w:ascii="Cambria" w:cs="Cambria" w:eastAsia="Cambria" w:hAnsi="Cambria"/>
          <w:b w:val="false"/>
          <w:bCs w:val="false"/>
          <w:sz w:val="20"/>
          <w:szCs w:val="20"/>
        </w:rPr>
        <w:t xml:space="preserve">2.5.1 Research Gaps in the Existing Studies from the Requirement Perspective</w:t>
      </w:r>
      <w:r>
        <w:rPr>
          <w:rFonts w:ascii="Cambria" w:cs="Cambria" w:eastAsia="Cambria" w:hAnsi="Cambria"/>
          <w:sz w:val="20"/>
          <w:szCs w:val="20"/>
        </w:rPr>
        <w:t xml:space="preserve">	66</w:t>
      </w:r>
    </w:p>
    <w:p>
      <w:pPr>
        <w:tabs>
          <w:tab w:val="right" w:pos="9360" w:leader="dot"/>
        </w:tabs>
        <w:spacing w:after="60"/>
        <w:ind w:left="360"/>
      </w:pPr>
      <w:r>
        <w:rPr>
          <w:rFonts w:ascii="Cambria" w:cs="Cambria" w:eastAsia="Cambria" w:hAnsi="Cambria"/>
          <w:b w:val="false"/>
          <w:bCs w:val="false"/>
          <w:sz w:val="22"/>
          <w:szCs w:val="22"/>
        </w:rPr>
        <w:t xml:space="preserve">2.6 Conclusion</w:t>
      </w:r>
      <w:r>
        <w:rPr>
          <w:rFonts w:ascii="Cambria" w:cs="Cambria" w:eastAsia="Cambria" w:hAnsi="Cambria"/>
          <w:sz w:val="22"/>
          <w:szCs w:val="22"/>
        </w:rPr>
        <w:t xml:space="preserve">	70</w:t>
      </w:r>
    </w:p>
    <w:p>
      <w:pPr>
        <w:tabs>
          <w:tab w:val="right" w:pos="9360" w:leader="dot"/>
        </w:tabs>
        <w:spacing w:after="60"/>
        <w:ind w:left="0"/>
      </w:pPr>
      <w:r>
        <w:rPr>
          <w:rFonts w:ascii="Cambria" w:cs="Cambria" w:eastAsia="Cambria" w:hAnsi="Cambria"/>
          <w:b/>
          <w:bCs/>
          <w:sz w:val="24"/>
          <w:szCs w:val="24"/>
        </w:rPr>
        <w:t xml:space="preserve">3 Research Gaps and Questions</w:t>
      </w:r>
      <w:r>
        <w:rPr>
          <w:rFonts w:ascii="Cambria" w:cs="Cambria" w:eastAsia="Cambria" w:hAnsi="Cambria"/>
          <w:sz w:val="22"/>
          <w:szCs w:val="22"/>
        </w:rPr>
        <w:t xml:space="preserve">	72</w:t>
      </w:r>
    </w:p>
    <w:p>
      <w:pPr>
        <w:tabs>
          <w:tab w:val="right" w:pos="9360" w:leader="dot"/>
        </w:tabs>
        <w:spacing w:after="60"/>
        <w:ind w:left="360"/>
      </w:pPr>
      <w:r>
        <w:rPr>
          <w:rFonts w:ascii="Cambria" w:cs="Cambria" w:eastAsia="Cambria" w:hAnsi="Cambria"/>
          <w:b w:val="false"/>
          <w:bCs w:val="false"/>
          <w:sz w:val="22"/>
          <w:szCs w:val="22"/>
        </w:rPr>
        <w:t xml:space="preserve">3.1 Research Gap</w:t>
      </w:r>
      <w:r>
        <w:rPr>
          <w:rFonts w:ascii="Cambria" w:cs="Cambria" w:eastAsia="Cambria" w:hAnsi="Cambria"/>
          <w:sz w:val="22"/>
          <w:szCs w:val="22"/>
        </w:rPr>
        <w:t xml:space="preserve">	72</w:t>
      </w:r>
    </w:p>
    <w:p>
      <w:pPr>
        <w:tabs>
          <w:tab w:val="right" w:pos="9360" w:leader="dot"/>
        </w:tabs>
        <w:spacing w:after="60"/>
        <w:ind w:left="360"/>
      </w:pPr>
      <w:r>
        <w:rPr>
          <w:rFonts w:ascii="Cambria" w:cs="Cambria" w:eastAsia="Cambria" w:hAnsi="Cambria"/>
          <w:b w:val="false"/>
          <w:bCs w:val="false"/>
          <w:sz w:val="22"/>
          <w:szCs w:val="22"/>
        </w:rPr>
        <w:t xml:space="preserve">3.2 Main Research Question</w:t>
      </w:r>
      <w:r>
        <w:rPr>
          <w:rFonts w:ascii="Cambria" w:cs="Cambria" w:eastAsia="Cambria" w:hAnsi="Cambria"/>
          <w:sz w:val="22"/>
          <w:szCs w:val="22"/>
        </w:rPr>
        <w:t xml:space="preserve">	74</w:t>
      </w:r>
    </w:p>
    <w:p>
      <w:pPr>
        <w:tabs>
          <w:tab w:val="right" w:pos="9360" w:leader="dot"/>
        </w:tabs>
        <w:spacing w:after="60"/>
        <w:ind w:left="360"/>
      </w:pPr>
      <w:r>
        <w:rPr>
          <w:rFonts w:ascii="Cambria" w:cs="Cambria" w:eastAsia="Cambria" w:hAnsi="Cambria"/>
          <w:b w:val="false"/>
          <w:bCs w:val="false"/>
          <w:sz w:val="22"/>
          <w:szCs w:val="22"/>
        </w:rPr>
        <w:t xml:space="preserve">3.3 Sub-Research Questions</w:t>
      </w:r>
      <w:r>
        <w:rPr>
          <w:rFonts w:ascii="Cambria" w:cs="Cambria" w:eastAsia="Cambria" w:hAnsi="Cambria"/>
          <w:sz w:val="22"/>
          <w:szCs w:val="22"/>
        </w:rPr>
        <w:t xml:space="preserve">	75</w:t>
      </w:r>
    </w:p>
    <w:p>
      <w:pPr>
        <w:tabs>
          <w:tab w:val="right" w:pos="9360" w:leader="dot"/>
        </w:tabs>
        <w:spacing w:after="60"/>
        <w:ind w:left="720"/>
      </w:pPr>
      <w:r>
        <w:rPr>
          <w:rFonts w:ascii="Cambria" w:cs="Cambria" w:eastAsia="Cambria" w:hAnsi="Cambria"/>
          <w:b w:val="false"/>
          <w:bCs w:val="false"/>
          <w:sz w:val="20"/>
          <w:szCs w:val="20"/>
        </w:rPr>
        <w:t xml:space="preserve">3.3.1 SRQ1: Trust-Centric Consent Modelling</w:t>
      </w:r>
      <w:r>
        <w:rPr>
          <w:rFonts w:ascii="Cambria" w:cs="Cambria" w:eastAsia="Cambria" w:hAnsi="Cambria"/>
          <w:sz w:val="20"/>
          <w:szCs w:val="20"/>
        </w:rPr>
        <w:t xml:space="preserve">	75</w:t>
      </w:r>
    </w:p>
    <w:p>
      <w:pPr>
        <w:tabs>
          <w:tab w:val="right" w:pos="9360" w:leader="dot"/>
        </w:tabs>
        <w:spacing w:after="60"/>
        <w:ind w:left="720"/>
      </w:pPr>
      <w:r>
        <w:rPr>
          <w:rFonts w:ascii="Cambria" w:cs="Cambria" w:eastAsia="Cambria" w:hAnsi="Cambria"/>
          <w:b w:val="false"/>
          <w:bCs w:val="false"/>
          <w:sz w:val="20"/>
          <w:szCs w:val="20"/>
        </w:rPr>
        <w:t xml:space="preserve">3.3.2 SRQ2: Decentralised Identity and Authority Trust</w:t>
      </w:r>
      <w:r>
        <w:rPr>
          <w:rFonts w:ascii="Cambria" w:cs="Cambria" w:eastAsia="Cambria" w:hAnsi="Cambria"/>
          <w:sz w:val="20"/>
          <w:szCs w:val="20"/>
        </w:rPr>
        <w:t xml:space="preserve">	76</w:t>
      </w:r>
    </w:p>
    <w:p>
      <w:pPr>
        <w:tabs>
          <w:tab w:val="right" w:pos="9360" w:leader="dot"/>
        </w:tabs>
        <w:spacing w:after="60"/>
        <w:ind w:left="720"/>
      </w:pPr>
      <w:r>
        <w:rPr>
          <w:rFonts w:ascii="Cambria" w:cs="Cambria" w:eastAsia="Cambria" w:hAnsi="Cambria"/>
          <w:b w:val="false"/>
          <w:bCs w:val="false"/>
          <w:sz w:val="20"/>
          <w:szCs w:val="20"/>
        </w:rPr>
        <w:t xml:space="preserve">3.3.3 SRQ3: Trustworthy Multi-Party Authorisation</w:t>
      </w:r>
      <w:r>
        <w:rPr>
          <w:rFonts w:ascii="Cambria" w:cs="Cambria" w:eastAsia="Cambria" w:hAnsi="Cambria"/>
          <w:sz w:val="20"/>
          <w:szCs w:val="20"/>
        </w:rPr>
        <w:t xml:space="preserve">	76</w:t>
      </w:r>
    </w:p>
    <w:p>
      <w:pPr>
        <w:tabs>
          <w:tab w:val="right" w:pos="9360" w:leader="dot"/>
        </w:tabs>
        <w:spacing w:after="60"/>
        <w:ind w:left="720"/>
      </w:pPr>
      <w:r>
        <w:rPr>
          <w:rFonts w:ascii="Cambria" w:cs="Cambria" w:eastAsia="Cambria" w:hAnsi="Cambria"/>
          <w:b w:val="false"/>
          <w:bCs w:val="false"/>
          <w:sz w:val="20"/>
          <w:szCs w:val="20"/>
        </w:rPr>
        <w:t xml:space="preserve">3.3.4 SRQ4: Policy- and Context-Aware Access Control</w:t>
      </w:r>
      <w:r>
        <w:rPr>
          <w:rFonts w:ascii="Cambria" w:cs="Cambria" w:eastAsia="Cambria" w:hAnsi="Cambria"/>
          <w:sz w:val="20"/>
          <w:szCs w:val="20"/>
        </w:rPr>
        <w:t xml:space="preserve">	77</w:t>
      </w:r>
    </w:p>
    <w:p>
      <w:pPr>
        <w:tabs>
          <w:tab w:val="right" w:pos="9360" w:leader="dot"/>
        </w:tabs>
        <w:spacing w:after="60"/>
        <w:ind w:left="720"/>
      </w:pPr>
      <w:r>
        <w:rPr>
          <w:rFonts w:ascii="Cambria" w:cs="Cambria" w:eastAsia="Cambria" w:hAnsi="Cambria"/>
          <w:b w:val="false"/>
          <w:bCs w:val="false"/>
          <w:sz w:val="20"/>
          <w:szCs w:val="20"/>
        </w:rPr>
        <w:t xml:space="preserve">3.3.5 SRQ5: Temporal and Lifecycle Trust</w:t>
      </w:r>
      <w:r>
        <w:rPr>
          <w:rFonts w:ascii="Cambria" w:cs="Cambria" w:eastAsia="Cambria" w:hAnsi="Cambria"/>
          <w:sz w:val="20"/>
          <w:szCs w:val="20"/>
        </w:rPr>
        <w:t xml:space="preserve">	78</w:t>
      </w:r>
    </w:p>
    <w:p>
      <w:pPr>
        <w:tabs>
          <w:tab w:val="right" w:pos="9360" w:leader="dot"/>
        </w:tabs>
        <w:spacing w:after="60"/>
        <w:ind w:left="720"/>
      </w:pPr>
      <w:r>
        <w:rPr>
          <w:rFonts w:ascii="Cambria" w:cs="Cambria" w:eastAsia="Cambria" w:hAnsi="Cambria"/>
          <w:b w:val="false"/>
          <w:bCs w:val="false"/>
          <w:sz w:val="20"/>
          <w:szCs w:val="20"/>
        </w:rPr>
        <w:t xml:space="preserve">3.3.6 SRQ6: Formal Security Assurance and Empirical Validation</w:t>
      </w:r>
      <w:r>
        <w:rPr>
          <w:rFonts w:ascii="Cambria" w:cs="Cambria" w:eastAsia="Cambria" w:hAnsi="Cambria"/>
          <w:sz w:val="20"/>
          <w:szCs w:val="20"/>
        </w:rPr>
        <w:t xml:space="preserve">	79</w:t>
      </w:r>
    </w:p>
    <w:p>
      <w:pPr>
        <w:tabs>
          <w:tab w:val="right" w:pos="9360" w:leader="dot"/>
        </w:tabs>
        <w:spacing w:after="60"/>
        <w:ind w:left="360"/>
      </w:pPr>
      <w:r>
        <w:rPr>
          <w:rFonts w:ascii="Cambria" w:cs="Cambria" w:eastAsia="Cambria" w:hAnsi="Cambria"/>
          <w:b w:val="false"/>
          <w:bCs w:val="false"/>
          <w:sz w:val="22"/>
          <w:szCs w:val="22"/>
        </w:rPr>
        <w:t xml:space="preserve">3.4 Research Questions as an Integrated Research Problem</w:t>
      </w:r>
      <w:r>
        <w:rPr>
          <w:rFonts w:ascii="Cambria" w:cs="Cambria" w:eastAsia="Cambria" w:hAnsi="Cambria"/>
          <w:sz w:val="22"/>
          <w:szCs w:val="22"/>
        </w:rPr>
        <w:t xml:space="preserve">	80</w:t>
      </w:r>
    </w:p>
    <w:p>
      <w:pPr>
        <w:tabs>
          <w:tab w:val="right" w:pos="9360" w:leader="dot"/>
        </w:tabs>
        <w:spacing w:after="60"/>
        <w:ind w:left="0"/>
      </w:pPr>
      <w:r>
        <w:rPr>
          <w:rFonts w:ascii="Cambria" w:cs="Cambria" w:eastAsia="Cambria" w:hAnsi="Cambria"/>
          <w:b/>
          <w:bCs/>
          <w:sz w:val="24"/>
          <w:szCs w:val="24"/>
        </w:rPr>
        <w:t xml:space="preserve">4 Research Objectives</w:t>
      </w:r>
      <w:r>
        <w:rPr>
          <w:rFonts w:ascii="Cambria" w:cs="Cambria" w:eastAsia="Cambria" w:hAnsi="Cambria"/>
          <w:sz w:val="22"/>
          <w:szCs w:val="22"/>
        </w:rPr>
        <w:t xml:space="preserve">	83</w:t>
      </w:r>
    </w:p>
    <w:p>
      <w:pPr>
        <w:tabs>
          <w:tab w:val="right" w:pos="9360" w:leader="dot"/>
        </w:tabs>
        <w:spacing w:after="60"/>
        <w:ind w:left="360"/>
      </w:pPr>
      <w:r>
        <w:rPr>
          <w:rFonts w:ascii="Cambria" w:cs="Cambria" w:eastAsia="Cambria" w:hAnsi="Cambria"/>
          <w:b w:val="false"/>
          <w:bCs w:val="false"/>
          <w:sz w:val="22"/>
          <w:szCs w:val="22"/>
        </w:rPr>
        <w:t xml:space="preserve">4.1 RO1 - Trust-Centric Consent Model</w:t>
      </w:r>
      <w:r>
        <w:rPr>
          <w:rFonts w:ascii="Cambria" w:cs="Cambria" w:eastAsia="Cambria" w:hAnsi="Cambria"/>
          <w:sz w:val="22"/>
          <w:szCs w:val="22"/>
        </w:rPr>
        <w:t xml:space="preserve">	83</w:t>
      </w:r>
    </w:p>
    <w:p>
      <w:pPr>
        <w:tabs>
          <w:tab w:val="right" w:pos="9360" w:leader="dot"/>
        </w:tabs>
        <w:spacing w:after="60"/>
        <w:ind w:left="360"/>
      </w:pPr>
      <w:r>
        <w:rPr>
          <w:rFonts w:ascii="Cambria" w:cs="Cambria" w:eastAsia="Cambria" w:hAnsi="Cambria"/>
          <w:b w:val="false"/>
          <w:bCs w:val="false"/>
          <w:sz w:val="22"/>
          <w:szCs w:val="22"/>
        </w:rPr>
        <w:t xml:space="preserve">4.2 RO2 - Decentralised Identity and Authority Trust</w:t>
      </w:r>
      <w:r>
        <w:rPr>
          <w:rFonts w:ascii="Cambria" w:cs="Cambria" w:eastAsia="Cambria" w:hAnsi="Cambria"/>
          <w:sz w:val="22"/>
          <w:szCs w:val="22"/>
        </w:rPr>
        <w:t xml:space="preserve">	83</w:t>
      </w:r>
    </w:p>
    <w:p>
      <w:pPr>
        <w:tabs>
          <w:tab w:val="right" w:pos="9360" w:leader="dot"/>
        </w:tabs>
        <w:spacing w:after="60"/>
        <w:ind w:left="360"/>
      </w:pPr>
      <w:r>
        <w:rPr>
          <w:rFonts w:ascii="Cambria" w:cs="Cambria" w:eastAsia="Cambria" w:hAnsi="Cambria"/>
          <w:b w:val="false"/>
          <w:bCs w:val="false"/>
          <w:sz w:val="22"/>
          <w:szCs w:val="22"/>
        </w:rPr>
        <w:t xml:space="preserve">4.3 RO3 - Trustworthy Multi-Party Authorisation</w:t>
      </w:r>
      <w:r>
        <w:rPr>
          <w:rFonts w:ascii="Cambria" w:cs="Cambria" w:eastAsia="Cambria" w:hAnsi="Cambria"/>
          <w:sz w:val="22"/>
          <w:szCs w:val="22"/>
        </w:rPr>
        <w:t xml:space="preserve">	83</w:t>
      </w:r>
    </w:p>
    <w:p>
      <w:pPr>
        <w:tabs>
          <w:tab w:val="right" w:pos="9360" w:leader="dot"/>
        </w:tabs>
        <w:spacing w:after="60"/>
        <w:ind w:left="360"/>
      </w:pPr>
      <w:r>
        <w:rPr>
          <w:rFonts w:ascii="Cambria" w:cs="Cambria" w:eastAsia="Cambria" w:hAnsi="Cambria"/>
          <w:b w:val="false"/>
          <w:bCs w:val="false"/>
          <w:sz w:val="22"/>
          <w:szCs w:val="22"/>
        </w:rPr>
        <w:t xml:space="preserve">4.4 RO4 - Policy- and Context-Aware Access Control</w:t>
      </w:r>
      <w:r>
        <w:rPr>
          <w:rFonts w:ascii="Cambria" w:cs="Cambria" w:eastAsia="Cambria" w:hAnsi="Cambria"/>
          <w:sz w:val="22"/>
          <w:szCs w:val="22"/>
        </w:rPr>
        <w:t xml:space="preserve">	84</w:t>
      </w:r>
    </w:p>
    <w:p>
      <w:pPr>
        <w:tabs>
          <w:tab w:val="right" w:pos="9360" w:leader="dot"/>
        </w:tabs>
        <w:spacing w:after="60"/>
        <w:ind w:left="360"/>
      </w:pPr>
      <w:r>
        <w:rPr>
          <w:rFonts w:ascii="Cambria" w:cs="Cambria" w:eastAsia="Cambria" w:hAnsi="Cambria"/>
          <w:b w:val="false"/>
          <w:bCs w:val="false"/>
          <w:sz w:val="22"/>
          <w:szCs w:val="22"/>
        </w:rPr>
        <w:t xml:space="preserve">4.5 RO5 - Temporal and Lifecycle Trust</w:t>
      </w:r>
      <w:r>
        <w:rPr>
          <w:rFonts w:ascii="Cambria" w:cs="Cambria" w:eastAsia="Cambria" w:hAnsi="Cambria"/>
          <w:sz w:val="22"/>
          <w:szCs w:val="22"/>
        </w:rPr>
        <w:t xml:space="preserve">	84</w:t>
      </w:r>
    </w:p>
    <w:p>
      <w:pPr>
        <w:tabs>
          <w:tab w:val="right" w:pos="9360" w:leader="dot"/>
        </w:tabs>
        <w:spacing w:after="60"/>
        <w:ind w:left="360"/>
      </w:pPr>
      <w:r>
        <w:rPr>
          <w:rFonts w:ascii="Cambria" w:cs="Cambria" w:eastAsia="Cambria" w:hAnsi="Cambria"/>
          <w:b w:val="false"/>
          <w:bCs w:val="false"/>
          <w:sz w:val="22"/>
          <w:szCs w:val="22"/>
        </w:rPr>
        <w:t xml:space="preserve">4.6 RO6 - Formal Security Assurance and Empirical Validation</w:t>
      </w:r>
      <w:r>
        <w:rPr>
          <w:rFonts w:ascii="Cambria" w:cs="Cambria" w:eastAsia="Cambria" w:hAnsi="Cambria"/>
          <w:sz w:val="22"/>
          <w:szCs w:val="22"/>
        </w:rPr>
        <w:t xml:space="preserve">	85</w:t>
      </w:r>
    </w:p>
    <w:p>
      <w:pPr>
        <w:tabs>
          <w:tab w:val="right" w:pos="9360" w:leader="dot"/>
        </w:tabs>
        <w:spacing w:after="60"/>
        <w:ind w:left="360"/>
      </w:pPr>
      <w:r>
        <w:rPr>
          <w:rFonts w:ascii="Cambria" w:cs="Cambria" w:eastAsia="Cambria" w:hAnsi="Cambria"/>
          <w:b w:val="false"/>
          <w:bCs w:val="false"/>
          <w:sz w:val="22"/>
          <w:szCs w:val="22"/>
        </w:rPr>
        <w:t xml:space="preserve">4.7 Relationship Between Research Questions and Objectives</w:t>
      </w:r>
      <w:r>
        <w:rPr>
          <w:rFonts w:ascii="Cambria" w:cs="Cambria" w:eastAsia="Cambria" w:hAnsi="Cambria"/>
          <w:sz w:val="22"/>
          <w:szCs w:val="22"/>
        </w:rPr>
        <w:t xml:space="preserve">	86</w:t>
      </w:r>
    </w:p>
    <w:p>
      <w:pPr>
        <w:tabs>
          <w:tab w:val="right" w:pos="9360" w:leader="dot"/>
        </w:tabs>
        <w:spacing w:after="60"/>
        <w:ind w:left="0"/>
      </w:pPr>
      <w:r>
        <w:rPr>
          <w:rFonts w:ascii="Cambria" w:cs="Cambria" w:eastAsia="Cambria" w:hAnsi="Cambria"/>
          <w:b/>
          <w:bCs/>
          <w:sz w:val="24"/>
          <w:szCs w:val="24"/>
        </w:rPr>
        <w:t xml:space="preserve">5 Research Architecture: MVC</w:t>
      </w:r>
      <w:r>
        <w:rPr>
          <w:rFonts w:ascii="Cambria" w:cs="Cambria" w:eastAsia="Cambria" w:hAnsi="Cambria"/>
          <w:sz w:val="22"/>
          <w:szCs w:val="22"/>
        </w:rPr>
        <w:t xml:space="preserve">	89</w:t>
      </w:r>
    </w:p>
    <w:p>
      <w:pPr>
        <w:tabs>
          <w:tab w:val="right" w:pos="9360" w:leader="dot"/>
        </w:tabs>
        <w:spacing w:after="60"/>
        <w:ind w:left="360"/>
      </w:pPr>
      <w:r>
        <w:rPr>
          <w:rFonts w:ascii="Cambria" w:cs="Cambria" w:eastAsia="Cambria" w:hAnsi="Cambria"/>
          <w:b w:val="false"/>
          <w:bCs w:val="false"/>
          <w:sz w:val="22"/>
          <w:szCs w:val="22"/>
        </w:rPr>
        <w:t xml:space="preserve">5.1 MVC Layered Architecture and Component Decomposition</w:t>
      </w:r>
      <w:r>
        <w:rPr>
          <w:rFonts w:ascii="Cambria" w:cs="Cambria" w:eastAsia="Cambria" w:hAnsi="Cambria"/>
          <w:sz w:val="22"/>
          <w:szCs w:val="22"/>
        </w:rPr>
        <w:t xml:space="preserve">	89</w:t>
      </w:r>
    </w:p>
    <w:p>
      <w:pPr>
        <w:tabs>
          <w:tab w:val="right" w:pos="9360" w:leader="dot"/>
        </w:tabs>
        <w:spacing w:after="60"/>
        <w:ind w:left="720"/>
      </w:pPr>
      <w:r>
        <w:rPr>
          <w:rFonts w:ascii="Cambria" w:cs="Cambria" w:eastAsia="Cambria" w:hAnsi="Cambria"/>
          <w:b w:val="false"/>
          <w:bCs w:val="false"/>
          <w:sz w:val="20"/>
          <w:szCs w:val="20"/>
        </w:rPr>
        <w:t xml:space="preserve">5.1.1 MVC Component Decomposition</w:t>
      </w:r>
      <w:r>
        <w:rPr>
          <w:rFonts w:ascii="Cambria" w:cs="Cambria" w:eastAsia="Cambria" w:hAnsi="Cambria"/>
          <w:sz w:val="20"/>
          <w:szCs w:val="20"/>
        </w:rPr>
        <w:t xml:space="preserve">	91</w:t>
      </w:r>
    </w:p>
    <w:p>
      <w:pPr>
        <w:tabs>
          <w:tab w:val="right" w:pos="9360" w:leader="dot"/>
        </w:tabs>
        <w:spacing w:after="60"/>
        <w:ind w:left="720"/>
      </w:pPr>
      <w:r>
        <w:rPr>
          <w:rFonts w:ascii="Cambria" w:cs="Cambria" w:eastAsia="Cambria" w:hAnsi="Cambria"/>
          <w:b w:val="false"/>
          <w:bCs w:val="false"/>
          <w:sz w:val="20"/>
          <w:szCs w:val="20"/>
        </w:rPr>
        <w:t xml:space="preserve">5.1.2 Trust Evaluation Across the MVC Layers</w:t>
      </w:r>
      <w:r>
        <w:rPr>
          <w:rFonts w:ascii="Cambria" w:cs="Cambria" w:eastAsia="Cambria" w:hAnsi="Cambria"/>
          <w:sz w:val="20"/>
          <w:szCs w:val="20"/>
        </w:rPr>
        <w:t xml:space="preserve">	93</w:t>
      </w:r>
    </w:p>
    <w:p>
      <w:pPr>
        <w:tabs>
          <w:tab w:val="right" w:pos="9360" w:leader="dot"/>
        </w:tabs>
        <w:spacing w:after="60"/>
        <w:ind w:left="720"/>
      </w:pPr>
      <w:r>
        <w:rPr>
          <w:rFonts w:ascii="Cambria" w:cs="Cambria" w:eastAsia="Cambria" w:hAnsi="Cambria"/>
          <w:b w:val="false"/>
          <w:bCs w:val="false"/>
          <w:sz w:val="20"/>
          <w:szCs w:val="20"/>
        </w:rPr>
        <w:t xml:space="preserve">5.1.3 Relationship Between MVC Layers and Research Questions</w:t>
      </w:r>
      <w:r>
        <w:rPr>
          <w:rFonts w:ascii="Cambria" w:cs="Cambria" w:eastAsia="Cambria" w:hAnsi="Cambria"/>
          <w:sz w:val="20"/>
          <w:szCs w:val="20"/>
        </w:rPr>
        <w:t xml:space="preserve">	94</w:t>
      </w:r>
    </w:p>
    <w:p>
      <w:pPr>
        <w:tabs>
          <w:tab w:val="right" w:pos="9360" w:leader="dot"/>
        </w:tabs>
        <w:spacing w:after="60"/>
        <w:ind w:left="720"/>
      </w:pPr>
      <w:r>
        <w:rPr>
          <w:rFonts w:ascii="Cambria" w:cs="Cambria" w:eastAsia="Cambria" w:hAnsi="Cambria"/>
          <w:b w:val="false"/>
          <w:bCs w:val="false"/>
          <w:sz w:val="20"/>
          <w:szCs w:val="20"/>
        </w:rPr>
        <w:t xml:space="preserve">5.1.4 Architectural Boundary and Trust Assumptions</w:t>
      </w:r>
      <w:r>
        <w:rPr>
          <w:rFonts w:ascii="Cambria" w:cs="Cambria" w:eastAsia="Cambria" w:hAnsi="Cambria"/>
          <w:sz w:val="20"/>
          <w:szCs w:val="20"/>
        </w:rPr>
        <w:t xml:space="preserve">	95</w:t>
      </w:r>
    </w:p>
    <w:p>
      <w:pPr>
        <w:tabs>
          <w:tab w:val="right" w:pos="9360" w:leader="dot"/>
        </w:tabs>
        <w:spacing w:after="60"/>
        <w:ind w:left="360"/>
      </w:pPr>
      <w:r>
        <w:rPr>
          <w:rFonts w:ascii="Cambria" w:cs="Cambria" w:eastAsia="Cambria" w:hAnsi="Cambria"/>
          <w:b w:val="false"/>
          <w:bCs w:val="false"/>
          <w:sz w:val="22"/>
          <w:szCs w:val="22"/>
        </w:rPr>
        <w:t xml:space="preserve">5.2 Trust-Oriented Consent Authorisation Workflow</w:t>
      </w:r>
      <w:r>
        <w:rPr>
          <w:rFonts w:ascii="Cambria" w:cs="Cambria" w:eastAsia="Cambria" w:hAnsi="Cambria"/>
          <w:sz w:val="22"/>
          <w:szCs w:val="22"/>
        </w:rPr>
        <w:t xml:space="preserve">	96</w:t>
      </w:r>
    </w:p>
    <w:p>
      <w:pPr>
        <w:tabs>
          <w:tab w:val="right" w:pos="9360" w:leader="dot"/>
        </w:tabs>
        <w:spacing w:after="60"/>
        <w:ind w:left="360"/>
      </w:pPr>
      <w:r>
        <w:rPr>
          <w:rFonts w:ascii="Cambria" w:cs="Cambria" w:eastAsia="Cambria" w:hAnsi="Cambria"/>
          <w:b w:val="false"/>
          <w:bCs w:val="false"/>
          <w:sz w:val="22"/>
          <w:szCs w:val="22"/>
        </w:rPr>
        <w:t xml:space="preserve">5.3 Model: Trust-Aware Consent and Authorisation Representation</w:t>
      </w:r>
      <w:r>
        <w:rPr>
          <w:rFonts w:ascii="Cambria" w:cs="Cambria" w:eastAsia="Cambria" w:hAnsi="Cambria"/>
          <w:sz w:val="22"/>
          <w:szCs w:val="22"/>
        </w:rPr>
        <w:t xml:space="preserve">	99</w:t>
      </w:r>
    </w:p>
    <w:p>
      <w:pPr>
        <w:tabs>
          <w:tab w:val="right" w:pos="9360" w:leader="dot"/>
        </w:tabs>
        <w:spacing w:after="60"/>
        <w:ind w:left="360"/>
      </w:pPr>
      <w:r>
        <w:rPr>
          <w:rFonts w:ascii="Cambria" w:cs="Cambria" w:eastAsia="Cambria" w:hAnsi="Cambria"/>
          <w:b w:val="false"/>
          <w:bCs w:val="false"/>
          <w:sz w:val="22"/>
          <w:szCs w:val="22"/>
        </w:rPr>
        <w:t xml:space="preserve">5.4 View: Controlled Interaction Among Independent Participants</w:t>
      </w:r>
      <w:r>
        <w:rPr>
          <w:rFonts w:ascii="Cambria" w:cs="Cambria" w:eastAsia="Cambria" w:hAnsi="Cambria"/>
          <w:sz w:val="22"/>
          <w:szCs w:val="22"/>
        </w:rPr>
        <w:t xml:space="preserve">	100</w:t>
      </w:r>
    </w:p>
    <w:p>
      <w:pPr>
        <w:tabs>
          <w:tab w:val="right" w:pos="9360" w:leader="dot"/>
        </w:tabs>
        <w:spacing w:after="60"/>
        <w:ind w:left="360"/>
      </w:pPr>
      <w:r>
        <w:rPr>
          <w:rFonts w:ascii="Cambria" w:cs="Cambria" w:eastAsia="Cambria" w:hAnsi="Cambria"/>
          <w:b w:val="false"/>
          <w:bCs w:val="false"/>
          <w:sz w:val="22"/>
          <w:szCs w:val="22"/>
        </w:rPr>
        <w:t xml:space="preserve">5.5 Controller: Trusted Multi-Party Authorisation Enforcement</w:t>
      </w:r>
      <w:r>
        <w:rPr>
          <w:rFonts w:ascii="Cambria" w:cs="Cambria" w:eastAsia="Cambria" w:hAnsi="Cambria"/>
          <w:sz w:val="22"/>
          <w:szCs w:val="22"/>
        </w:rPr>
        <w:t xml:space="preserve">	101</w:t>
      </w:r>
    </w:p>
    <w:p>
      <w:pPr>
        <w:tabs>
          <w:tab w:val="right" w:pos="9360" w:leader="dot"/>
        </w:tabs>
        <w:spacing w:after="60"/>
        <w:ind w:left="360"/>
      </w:pPr>
      <w:r>
        <w:rPr>
          <w:rFonts w:ascii="Cambria" w:cs="Cambria" w:eastAsia="Cambria" w:hAnsi="Cambria"/>
          <w:b w:val="false"/>
          <w:bCs w:val="false"/>
          <w:sz w:val="22"/>
          <w:szCs w:val="22"/>
        </w:rPr>
        <w:t xml:space="preserve">5.6 Multi-Party Consent as Distributed Trust Establishment</w:t>
      </w:r>
      <w:r>
        <w:rPr>
          <w:rFonts w:ascii="Cambria" w:cs="Cambria" w:eastAsia="Cambria" w:hAnsi="Cambria"/>
          <w:sz w:val="22"/>
          <w:szCs w:val="22"/>
        </w:rPr>
        <w:t xml:space="preserve">	102</w:t>
      </w:r>
    </w:p>
    <w:p>
      <w:pPr>
        <w:tabs>
          <w:tab w:val="right" w:pos="9360" w:leader="dot"/>
        </w:tabs>
        <w:spacing w:after="60"/>
        <w:ind w:left="360"/>
      </w:pPr>
      <w:r>
        <w:rPr>
          <w:rFonts w:ascii="Cambria" w:cs="Cambria" w:eastAsia="Cambria" w:hAnsi="Cambria"/>
          <w:b w:val="false"/>
          <w:bCs w:val="false"/>
          <w:sz w:val="22"/>
          <w:szCs w:val="22"/>
        </w:rPr>
        <w:t xml:space="preserve">5.7 Policy-Aware Consent Enforcement</w:t>
      </w:r>
      <w:r>
        <w:rPr>
          <w:rFonts w:ascii="Cambria" w:cs="Cambria" w:eastAsia="Cambria" w:hAnsi="Cambria"/>
          <w:sz w:val="22"/>
          <w:szCs w:val="22"/>
        </w:rPr>
        <w:t xml:space="preserve">	103</w:t>
      </w:r>
    </w:p>
    <w:p>
      <w:pPr>
        <w:tabs>
          <w:tab w:val="right" w:pos="9360" w:leader="dot"/>
        </w:tabs>
        <w:spacing w:after="60"/>
        <w:ind w:left="360"/>
      </w:pPr>
      <w:r>
        <w:rPr>
          <w:rFonts w:ascii="Cambria" w:cs="Cambria" w:eastAsia="Cambria" w:hAnsi="Cambria"/>
          <w:b w:val="false"/>
          <w:bCs w:val="false"/>
          <w:sz w:val="22"/>
          <w:szCs w:val="22"/>
        </w:rPr>
        <w:t xml:space="preserve">5.8 Authorisation Evidence and Auditability</w:t>
      </w:r>
      <w:r>
        <w:rPr>
          <w:rFonts w:ascii="Cambria" w:cs="Cambria" w:eastAsia="Cambria" w:hAnsi="Cambria"/>
          <w:sz w:val="22"/>
          <w:szCs w:val="22"/>
        </w:rPr>
        <w:t xml:space="preserve">	104</w:t>
      </w:r>
    </w:p>
    <w:p>
      <w:pPr>
        <w:tabs>
          <w:tab w:val="right" w:pos="9360" w:leader="dot"/>
        </w:tabs>
        <w:spacing w:after="60"/>
        <w:ind w:left="360"/>
      </w:pPr>
      <w:r>
        <w:rPr>
          <w:rFonts w:ascii="Cambria" w:cs="Cambria" w:eastAsia="Cambria" w:hAnsi="Cambria"/>
          <w:b w:val="false"/>
          <w:bCs w:val="false"/>
          <w:sz w:val="22"/>
          <w:szCs w:val="22"/>
        </w:rPr>
        <w:t xml:space="preserve">5.9 Architectural Security Properties</w:t>
      </w:r>
      <w:r>
        <w:rPr>
          <w:rFonts w:ascii="Cambria" w:cs="Cambria" w:eastAsia="Cambria" w:hAnsi="Cambria"/>
          <w:sz w:val="22"/>
          <w:szCs w:val="22"/>
        </w:rPr>
        <w:t xml:space="preserve">	104</w:t>
      </w:r>
    </w:p>
    <w:p>
      <w:pPr>
        <w:tabs>
          <w:tab w:val="right" w:pos="9360" w:leader="dot"/>
        </w:tabs>
        <w:spacing w:after="60"/>
        <w:ind w:left="360"/>
      </w:pPr>
      <w:r>
        <w:rPr>
          <w:rFonts w:ascii="Cambria" w:cs="Cambria" w:eastAsia="Cambria" w:hAnsi="Cambria"/>
          <w:b w:val="false"/>
          <w:bCs w:val="false"/>
          <w:sz w:val="22"/>
          <w:szCs w:val="22"/>
        </w:rPr>
        <w:t xml:space="preserve">5.10 MVC Architecture and the Research Objectives</w:t>
      </w:r>
      <w:r>
        <w:rPr>
          <w:rFonts w:ascii="Cambria" w:cs="Cambria" w:eastAsia="Cambria" w:hAnsi="Cambria"/>
          <w:sz w:val="22"/>
          <w:szCs w:val="22"/>
        </w:rPr>
        <w:t xml:space="preserve">	105</w:t>
      </w:r>
    </w:p>
    <w:p>
      <w:pPr>
        <w:tabs>
          <w:tab w:val="right" w:pos="9360" w:leader="dot"/>
        </w:tabs>
        <w:spacing w:after="60"/>
        <w:ind w:left="360"/>
      </w:pPr>
      <w:r>
        <w:rPr>
          <w:rFonts w:ascii="Cambria" w:cs="Cambria" w:eastAsia="Cambria" w:hAnsi="Cambria"/>
          <w:b w:val="false"/>
          <w:bCs w:val="false"/>
          <w:sz w:val="22"/>
          <w:szCs w:val="22"/>
        </w:rPr>
        <w:t xml:space="preserve">5.11 Architectural Contribution and Scope</w:t>
      </w:r>
      <w:r>
        <w:rPr>
          <w:rFonts w:ascii="Cambria" w:cs="Cambria" w:eastAsia="Cambria" w:hAnsi="Cambria"/>
          <w:sz w:val="22"/>
          <w:szCs w:val="22"/>
        </w:rPr>
        <w:t xml:space="preserve">	106</w:t>
      </w:r>
    </w:p>
    <w:p>
      <w:pPr>
        <w:tabs>
          <w:tab w:val="right" w:pos="9360" w:leader="dot"/>
        </w:tabs>
        <w:spacing w:after="60"/>
        <w:ind w:left="0"/>
      </w:pPr>
      <w:r>
        <w:rPr>
          <w:rFonts w:ascii="Cambria" w:cs="Cambria" w:eastAsia="Cambria" w:hAnsi="Cambria"/>
          <w:b/>
          <w:bCs/>
          <w:sz w:val="24"/>
          <w:szCs w:val="24"/>
        </w:rPr>
        <w:t xml:space="preserve">6 Proposed Solution</w:t>
      </w:r>
      <w:r>
        <w:rPr>
          <w:rFonts w:ascii="Cambria" w:cs="Cambria" w:eastAsia="Cambria" w:hAnsi="Cambria"/>
          <w:sz w:val="22"/>
          <w:szCs w:val="22"/>
        </w:rPr>
        <w:t xml:space="preserve">	109</w:t>
      </w:r>
    </w:p>
    <w:p>
      <w:pPr>
        <w:tabs>
          <w:tab w:val="right" w:pos="9360" w:leader="dot"/>
        </w:tabs>
        <w:spacing w:after="60"/>
        <w:ind w:left="360"/>
      </w:pPr>
      <w:r>
        <w:rPr>
          <w:rFonts w:ascii="Cambria" w:cs="Cambria" w:eastAsia="Cambria" w:hAnsi="Cambria"/>
          <w:b w:val="false"/>
          <w:bCs w:val="false"/>
          <w:sz w:val="22"/>
          <w:szCs w:val="22"/>
        </w:rPr>
        <w:t xml:space="preserve">6.1 Trust-Centric Consent Model for RO1</w:t>
      </w:r>
      <w:r>
        <w:rPr>
          <w:rFonts w:ascii="Cambria" w:cs="Cambria" w:eastAsia="Cambria" w:hAnsi="Cambria"/>
          <w:sz w:val="22"/>
          <w:szCs w:val="22"/>
        </w:rPr>
        <w:t xml:space="preserve">	109</w:t>
      </w:r>
    </w:p>
    <w:p>
      <w:pPr>
        <w:tabs>
          <w:tab w:val="right" w:pos="9360" w:leader="dot"/>
        </w:tabs>
        <w:spacing w:after="60"/>
        <w:ind w:left="720"/>
      </w:pPr>
      <w:r>
        <w:rPr>
          <w:rFonts w:ascii="Cambria" w:cs="Cambria" w:eastAsia="Cambria" w:hAnsi="Cambria"/>
          <w:b w:val="false"/>
          <w:bCs w:val="false"/>
          <w:sz w:val="20"/>
          <w:szCs w:val="20"/>
        </w:rPr>
        <w:t xml:space="preserve">6.1.1 RO1 Consent Creation Workflow</w:t>
      </w:r>
      <w:r>
        <w:rPr>
          <w:rFonts w:ascii="Cambria" w:cs="Cambria" w:eastAsia="Cambria" w:hAnsi="Cambria"/>
          <w:sz w:val="20"/>
          <w:szCs w:val="20"/>
        </w:rPr>
        <w:t xml:space="preserve">	109</w:t>
      </w:r>
    </w:p>
    <w:p>
      <w:pPr>
        <w:tabs>
          <w:tab w:val="right" w:pos="9360" w:leader="dot"/>
        </w:tabs>
        <w:spacing w:after="60"/>
        <w:ind w:left="720"/>
      </w:pPr>
      <w:r>
        <w:rPr>
          <w:rFonts w:ascii="Cambria" w:cs="Cambria" w:eastAsia="Cambria" w:hAnsi="Cambria"/>
          <w:b w:val="false"/>
          <w:bCs w:val="false"/>
          <w:sz w:val="20"/>
          <w:szCs w:val="20"/>
        </w:rPr>
        <w:t xml:space="preserve">6.1.2 Procedure for Trust-Aware Consent Creation</w:t>
      </w:r>
      <w:r>
        <w:rPr>
          <w:rFonts w:ascii="Cambria" w:cs="Cambria" w:eastAsia="Cambria" w:hAnsi="Cambria"/>
          <w:sz w:val="20"/>
          <w:szCs w:val="20"/>
        </w:rPr>
        <w:t xml:space="preserve">	111</w:t>
      </w:r>
    </w:p>
    <w:p>
      <w:pPr>
        <w:tabs>
          <w:tab w:val="right" w:pos="9360" w:leader="dot"/>
        </w:tabs>
        <w:spacing w:after="60"/>
        <w:ind w:left="720"/>
      </w:pPr>
      <w:r>
        <w:rPr>
          <w:rFonts w:ascii="Cambria" w:cs="Cambria" w:eastAsia="Cambria" w:hAnsi="Cambria"/>
          <w:b w:val="false"/>
          <w:bCs w:val="false"/>
          <w:sz w:val="20"/>
          <w:szCs w:val="20"/>
        </w:rPr>
        <w:t xml:space="preserve">6.1.3 Algorithm 1: Trust-Aware Consent Creation</w:t>
      </w:r>
      <w:r>
        <w:rPr>
          <w:rFonts w:ascii="Cambria" w:cs="Cambria" w:eastAsia="Cambria" w:hAnsi="Cambria"/>
          <w:sz w:val="20"/>
          <w:szCs w:val="20"/>
        </w:rPr>
        <w:t xml:space="preserve">	114</w:t>
      </w:r>
    </w:p>
    <w:p>
      <w:pPr>
        <w:tabs>
          <w:tab w:val="right" w:pos="9360" w:leader="dot"/>
        </w:tabs>
        <w:spacing w:after="60"/>
        <w:ind w:left="360"/>
      </w:pPr>
      <w:r>
        <w:rPr>
          <w:rFonts w:ascii="Cambria" w:cs="Cambria" w:eastAsia="Cambria" w:hAnsi="Cambria"/>
          <w:b w:val="false"/>
          <w:bCs w:val="false"/>
          <w:sz w:val="22"/>
          <w:szCs w:val="22"/>
        </w:rPr>
        <w:t xml:space="preserve">6.2 Decentralised Identity and Authority Trust for RO2</w:t>
      </w:r>
      <w:r>
        <w:rPr>
          <w:rFonts w:ascii="Cambria" w:cs="Cambria" w:eastAsia="Cambria" w:hAnsi="Cambria"/>
          <w:sz w:val="22"/>
          <w:szCs w:val="22"/>
        </w:rPr>
        <w:t xml:space="preserve">	114</w:t>
      </w:r>
    </w:p>
    <w:p>
      <w:pPr>
        <w:tabs>
          <w:tab w:val="right" w:pos="9360" w:leader="dot"/>
        </w:tabs>
        <w:spacing w:after="60"/>
        <w:ind w:left="720"/>
      </w:pPr>
      <w:r>
        <w:rPr>
          <w:rFonts w:ascii="Cambria" w:cs="Cambria" w:eastAsia="Cambria" w:hAnsi="Cambria"/>
          <w:b w:val="false"/>
          <w:bCs w:val="false"/>
          <w:sz w:val="20"/>
          <w:szCs w:val="20"/>
        </w:rPr>
        <w:t xml:space="preserve">6.2.1 RO2 Identity and Authority Verification Workflow</w:t>
      </w:r>
      <w:r>
        <w:rPr>
          <w:rFonts w:ascii="Cambria" w:cs="Cambria" w:eastAsia="Cambria" w:hAnsi="Cambria"/>
          <w:sz w:val="20"/>
          <w:szCs w:val="20"/>
        </w:rPr>
        <w:t xml:space="preserve">	115</w:t>
      </w:r>
    </w:p>
    <w:p>
      <w:pPr>
        <w:tabs>
          <w:tab w:val="right" w:pos="9360" w:leader="dot"/>
        </w:tabs>
        <w:spacing w:after="60"/>
        <w:ind w:left="720"/>
      </w:pPr>
      <w:r>
        <w:rPr>
          <w:rFonts w:ascii="Cambria" w:cs="Cambria" w:eastAsia="Cambria" w:hAnsi="Cambria"/>
          <w:b w:val="false"/>
          <w:bCs w:val="false"/>
          <w:sz w:val="20"/>
          <w:szCs w:val="20"/>
        </w:rPr>
        <w:t xml:space="preserve">6.2.2 Procedure for DID and VC Identity and Authority Verification</w:t>
      </w:r>
      <w:r>
        <w:rPr>
          <w:rFonts w:ascii="Cambria" w:cs="Cambria" w:eastAsia="Cambria" w:hAnsi="Cambria"/>
          <w:sz w:val="20"/>
          <w:szCs w:val="20"/>
        </w:rPr>
        <w:t xml:space="preserve">	115</w:t>
      </w:r>
    </w:p>
    <w:p>
      <w:pPr>
        <w:tabs>
          <w:tab w:val="right" w:pos="9360" w:leader="dot"/>
        </w:tabs>
        <w:spacing w:after="60"/>
        <w:ind w:left="720"/>
      </w:pPr>
      <w:r>
        <w:rPr>
          <w:rFonts w:ascii="Cambria" w:cs="Cambria" w:eastAsia="Cambria" w:hAnsi="Cambria"/>
          <w:b w:val="false"/>
          <w:bCs w:val="false"/>
          <w:sz w:val="20"/>
          <w:szCs w:val="20"/>
        </w:rPr>
        <w:t xml:space="preserve">6.2.3 Algorithm 2: DID and VC Identity and Authority Verification</w:t>
      </w:r>
      <w:r>
        <w:rPr>
          <w:rFonts w:ascii="Cambria" w:cs="Cambria" w:eastAsia="Cambria" w:hAnsi="Cambria"/>
          <w:sz w:val="20"/>
          <w:szCs w:val="20"/>
        </w:rPr>
        <w:t xml:space="preserve">	118</w:t>
      </w:r>
    </w:p>
    <w:p>
      <w:pPr>
        <w:tabs>
          <w:tab w:val="right" w:pos="9360" w:leader="dot"/>
        </w:tabs>
        <w:spacing w:after="60"/>
        <w:ind w:left="360"/>
      </w:pPr>
      <w:r>
        <w:rPr>
          <w:rFonts w:ascii="Cambria" w:cs="Cambria" w:eastAsia="Cambria" w:hAnsi="Cambria"/>
          <w:b w:val="false"/>
          <w:bCs w:val="false"/>
          <w:sz w:val="22"/>
          <w:szCs w:val="22"/>
        </w:rPr>
        <w:t xml:space="preserve">6.3 Trustworthy Multi-Party Authorisation for RO3</w:t>
      </w:r>
      <w:r>
        <w:rPr>
          <w:rFonts w:ascii="Cambria" w:cs="Cambria" w:eastAsia="Cambria" w:hAnsi="Cambria"/>
          <w:sz w:val="22"/>
          <w:szCs w:val="22"/>
        </w:rPr>
        <w:t xml:space="preserve">	119</w:t>
      </w:r>
    </w:p>
    <w:p>
      <w:pPr>
        <w:tabs>
          <w:tab w:val="right" w:pos="9360" w:leader="dot"/>
        </w:tabs>
        <w:spacing w:after="60"/>
        <w:ind w:left="720"/>
      </w:pPr>
      <w:r>
        <w:rPr>
          <w:rFonts w:ascii="Cambria" w:cs="Cambria" w:eastAsia="Cambria" w:hAnsi="Cambria"/>
          <w:b w:val="false"/>
          <w:bCs w:val="false"/>
          <w:sz w:val="20"/>
          <w:szCs w:val="20"/>
        </w:rPr>
        <w:t xml:space="preserve">6.3.1 RO3 Multi-Party Authorisation Workflow</w:t>
      </w:r>
      <w:r>
        <w:rPr>
          <w:rFonts w:ascii="Cambria" w:cs="Cambria" w:eastAsia="Cambria" w:hAnsi="Cambria"/>
          <w:sz w:val="20"/>
          <w:szCs w:val="20"/>
        </w:rPr>
        <w:t xml:space="preserve">	119</w:t>
      </w:r>
    </w:p>
    <w:p>
      <w:pPr>
        <w:tabs>
          <w:tab w:val="right" w:pos="9360" w:leader="dot"/>
        </w:tabs>
        <w:spacing w:after="60"/>
        <w:ind w:left="720"/>
      </w:pPr>
      <w:r>
        <w:rPr>
          <w:rFonts w:ascii="Cambria" w:cs="Cambria" w:eastAsia="Cambria" w:hAnsi="Cambria"/>
          <w:b w:val="false"/>
          <w:bCs w:val="false"/>
          <w:sz w:val="20"/>
          <w:szCs w:val="20"/>
        </w:rPr>
        <w:t xml:space="preserve">6.3.2 Procedure for Threshold-Based Multi-Party Authorisation</w:t>
      </w:r>
      <w:r>
        <w:rPr>
          <w:rFonts w:ascii="Cambria" w:cs="Cambria" w:eastAsia="Cambria" w:hAnsi="Cambria"/>
          <w:sz w:val="20"/>
          <w:szCs w:val="20"/>
        </w:rPr>
        <w:t xml:space="preserve">	120</w:t>
      </w:r>
    </w:p>
    <w:p>
      <w:pPr>
        <w:tabs>
          <w:tab w:val="right" w:pos="9360" w:leader="dot"/>
        </w:tabs>
        <w:spacing w:after="60"/>
        <w:ind w:left="720"/>
      </w:pPr>
      <w:r>
        <w:rPr>
          <w:rFonts w:ascii="Cambria" w:cs="Cambria" w:eastAsia="Cambria" w:hAnsi="Cambria"/>
          <w:b w:val="false"/>
          <w:bCs w:val="false"/>
          <w:sz w:val="20"/>
          <w:szCs w:val="20"/>
        </w:rPr>
        <w:t xml:space="preserve">6.3.3 Algorithm 3: Threshold-Based Multi-Party Authorisation</w:t>
      </w:r>
      <w:r>
        <w:rPr>
          <w:rFonts w:ascii="Cambria" w:cs="Cambria" w:eastAsia="Cambria" w:hAnsi="Cambria"/>
          <w:sz w:val="20"/>
          <w:szCs w:val="20"/>
        </w:rPr>
        <w:t xml:space="preserve">	123</w:t>
      </w:r>
    </w:p>
    <w:p>
      <w:pPr>
        <w:tabs>
          <w:tab w:val="right" w:pos="9360" w:leader="dot"/>
        </w:tabs>
        <w:spacing w:after="60"/>
        <w:ind w:left="360"/>
      </w:pPr>
      <w:r>
        <w:rPr>
          <w:rFonts w:ascii="Cambria" w:cs="Cambria" w:eastAsia="Cambria" w:hAnsi="Cambria"/>
          <w:b w:val="false"/>
          <w:bCs w:val="false"/>
          <w:sz w:val="22"/>
          <w:szCs w:val="22"/>
        </w:rPr>
        <w:t xml:space="preserve">6.4 Policy- and Context-Aware Access Control for RO4</w:t>
      </w:r>
      <w:r>
        <w:rPr>
          <w:rFonts w:ascii="Cambria" w:cs="Cambria" w:eastAsia="Cambria" w:hAnsi="Cambria"/>
          <w:sz w:val="22"/>
          <w:szCs w:val="22"/>
        </w:rPr>
        <w:t xml:space="preserve">	124</w:t>
      </w:r>
    </w:p>
    <w:p>
      <w:pPr>
        <w:tabs>
          <w:tab w:val="right" w:pos="9360" w:leader="dot"/>
        </w:tabs>
        <w:spacing w:after="60"/>
        <w:ind w:left="720"/>
      </w:pPr>
      <w:r>
        <w:rPr>
          <w:rFonts w:ascii="Cambria" w:cs="Cambria" w:eastAsia="Cambria" w:hAnsi="Cambria"/>
          <w:b w:val="false"/>
          <w:bCs w:val="false"/>
          <w:sz w:val="20"/>
          <w:szCs w:val="20"/>
        </w:rPr>
        <w:t xml:space="preserve">6.4.1 RO4 Policy-Aware Access Workflow</w:t>
      </w:r>
      <w:r>
        <w:rPr>
          <w:rFonts w:ascii="Cambria" w:cs="Cambria" w:eastAsia="Cambria" w:hAnsi="Cambria"/>
          <w:sz w:val="20"/>
          <w:szCs w:val="20"/>
        </w:rPr>
        <w:t xml:space="preserve">	125</w:t>
      </w:r>
    </w:p>
    <w:p>
      <w:pPr>
        <w:tabs>
          <w:tab w:val="right" w:pos="9360" w:leader="dot"/>
        </w:tabs>
        <w:spacing w:after="60"/>
        <w:ind w:left="720"/>
      </w:pPr>
      <w:r>
        <w:rPr>
          <w:rFonts w:ascii="Cambria" w:cs="Cambria" w:eastAsia="Cambria" w:hAnsi="Cambria"/>
          <w:b w:val="false"/>
          <w:bCs w:val="false"/>
          <w:sz w:val="20"/>
          <w:szCs w:val="20"/>
        </w:rPr>
        <w:t xml:space="preserve">6.4.2 Algorithm 4: Policy-Aware Access Decision</w:t>
      </w:r>
      <w:r>
        <w:rPr>
          <w:rFonts w:ascii="Cambria" w:cs="Cambria" w:eastAsia="Cambria" w:hAnsi="Cambria"/>
          <w:sz w:val="20"/>
          <w:szCs w:val="20"/>
        </w:rPr>
        <w:t xml:space="preserve">	126</w:t>
      </w:r>
    </w:p>
    <w:p>
      <w:pPr>
        <w:tabs>
          <w:tab w:val="right" w:pos="9360" w:leader="dot"/>
        </w:tabs>
        <w:spacing w:after="60"/>
        <w:ind w:left="720"/>
      </w:pPr>
      <w:r>
        <w:rPr>
          <w:rFonts w:ascii="Cambria" w:cs="Cambria" w:eastAsia="Cambria" w:hAnsi="Cambria"/>
          <w:b w:val="false"/>
          <w:bCs w:val="false"/>
          <w:sz w:val="20"/>
          <w:szCs w:val="20"/>
        </w:rPr>
        <w:t xml:space="preserve">6.4.3 Procedure for Policy-Aware Access Decision</w:t>
      </w:r>
      <w:r>
        <w:rPr>
          <w:rFonts w:ascii="Cambria" w:cs="Cambria" w:eastAsia="Cambria" w:hAnsi="Cambria"/>
          <w:sz w:val="20"/>
          <w:szCs w:val="20"/>
        </w:rPr>
        <w:t xml:space="preserve">	127</w:t>
      </w:r>
    </w:p>
    <w:p>
      <w:pPr>
        <w:tabs>
          <w:tab w:val="right" w:pos="9360" w:leader="dot"/>
        </w:tabs>
        <w:spacing w:after="60"/>
        <w:ind w:left="360"/>
      </w:pPr>
      <w:r>
        <w:rPr>
          <w:rFonts w:ascii="Cambria" w:cs="Cambria" w:eastAsia="Cambria" w:hAnsi="Cambria"/>
          <w:b w:val="false"/>
          <w:bCs w:val="false"/>
          <w:sz w:val="22"/>
          <w:szCs w:val="22"/>
        </w:rPr>
        <w:t xml:space="preserve">6.5 Temporal and Lifecycle Trust for RO5</w:t>
      </w:r>
      <w:r>
        <w:rPr>
          <w:rFonts w:ascii="Cambria" w:cs="Cambria" w:eastAsia="Cambria" w:hAnsi="Cambria"/>
          <w:sz w:val="22"/>
          <w:szCs w:val="22"/>
        </w:rPr>
        <w:t xml:space="preserve">	130</w:t>
      </w:r>
    </w:p>
    <w:p>
      <w:pPr>
        <w:tabs>
          <w:tab w:val="right" w:pos="9360" w:leader="dot"/>
        </w:tabs>
        <w:spacing w:after="60"/>
        <w:ind w:left="720"/>
      </w:pPr>
      <w:r>
        <w:rPr>
          <w:rFonts w:ascii="Cambria" w:cs="Cambria" w:eastAsia="Cambria" w:hAnsi="Cambria"/>
          <w:b w:val="false"/>
          <w:bCs w:val="false"/>
          <w:sz w:val="20"/>
          <w:szCs w:val="20"/>
        </w:rPr>
        <w:t xml:space="preserve">6.5.1 RO5 Temporal and Lifecycle Workflow</w:t>
      </w:r>
      <w:r>
        <w:rPr>
          <w:rFonts w:ascii="Cambria" w:cs="Cambria" w:eastAsia="Cambria" w:hAnsi="Cambria"/>
          <w:sz w:val="20"/>
          <w:szCs w:val="20"/>
        </w:rPr>
        <w:t xml:space="preserve">	131</w:t>
      </w:r>
    </w:p>
    <w:p>
      <w:pPr>
        <w:tabs>
          <w:tab w:val="right" w:pos="9360" w:leader="dot"/>
        </w:tabs>
        <w:spacing w:after="60"/>
        <w:ind w:left="720"/>
      </w:pPr>
      <w:r>
        <w:rPr>
          <w:rFonts w:ascii="Cambria" w:cs="Cambria" w:eastAsia="Cambria" w:hAnsi="Cambria"/>
          <w:b w:val="false"/>
          <w:bCs w:val="false"/>
          <w:sz w:val="20"/>
          <w:szCs w:val="20"/>
        </w:rPr>
        <w:t xml:space="preserve">6.5.2 Procedure for Temporal and Lifecycle Validation</w:t>
      </w:r>
      <w:r>
        <w:rPr>
          <w:rFonts w:ascii="Cambria" w:cs="Cambria" w:eastAsia="Cambria" w:hAnsi="Cambria"/>
          <w:sz w:val="20"/>
          <w:szCs w:val="20"/>
        </w:rPr>
        <w:t xml:space="preserve">	132</w:t>
      </w:r>
    </w:p>
    <w:p>
      <w:pPr>
        <w:tabs>
          <w:tab w:val="right" w:pos="9360" w:leader="dot"/>
        </w:tabs>
        <w:spacing w:after="60"/>
        <w:ind w:left="720"/>
      </w:pPr>
      <w:r>
        <w:rPr>
          <w:rFonts w:ascii="Cambria" w:cs="Cambria" w:eastAsia="Cambria" w:hAnsi="Cambria"/>
          <w:b w:val="false"/>
          <w:bCs w:val="false"/>
          <w:sz w:val="20"/>
          <w:szCs w:val="20"/>
        </w:rPr>
        <w:t xml:space="preserve">6.5.3 Algorithm 5: Temporal and Lifecycle Validation</w:t>
      </w:r>
      <w:r>
        <w:rPr>
          <w:rFonts w:ascii="Cambria" w:cs="Cambria" w:eastAsia="Cambria" w:hAnsi="Cambria"/>
          <w:sz w:val="20"/>
          <w:szCs w:val="20"/>
        </w:rPr>
        <w:t xml:space="preserve">	134</w:t>
      </w:r>
    </w:p>
    <w:p>
      <w:pPr>
        <w:tabs>
          <w:tab w:val="right" w:pos="9360" w:leader="dot"/>
        </w:tabs>
        <w:spacing w:after="60"/>
        <w:ind w:left="360"/>
      </w:pPr>
      <w:r>
        <w:rPr>
          <w:rFonts w:ascii="Cambria" w:cs="Cambria" w:eastAsia="Cambria" w:hAnsi="Cambria"/>
          <w:b w:val="false"/>
          <w:bCs w:val="false"/>
          <w:sz w:val="22"/>
          <w:szCs w:val="22"/>
        </w:rPr>
        <w:t xml:space="preserve">6.6 Formal Security Assurance and Empirical Validation for RO6</w:t>
      </w:r>
      <w:r>
        <w:rPr>
          <w:rFonts w:ascii="Cambria" w:cs="Cambria" w:eastAsia="Cambria" w:hAnsi="Cambria"/>
          <w:sz w:val="22"/>
          <w:szCs w:val="22"/>
        </w:rPr>
        <w:t xml:space="preserve">	135</w:t>
      </w:r>
    </w:p>
    <w:p>
      <w:pPr>
        <w:tabs>
          <w:tab w:val="right" w:pos="9360" w:leader="dot"/>
        </w:tabs>
        <w:spacing w:after="60"/>
        <w:ind w:left="720"/>
      </w:pPr>
      <w:r>
        <w:rPr>
          <w:rFonts w:ascii="Cambria" w:cs="Cambria" w:eastAsia="Cambria" w:hAnsi="Cambria"/>
          <w:b w:val="false"/>
          <w:bCs w:val="false"/>
          <w:sz w:val="20"/>
          <w:szCs w:val="20"/>
        </w:rPr>
        <w:t xml:space="preserve">6.6.1 RO6 Assurance and Validation Workflow</w:t>
      </w:r>
      <w:r>
        <w:rPr>
          <w:rFonts w:ascii="Cambria" w:cs="Cambria" w:eastAsia="Cambria" w:hAnsi="Cambria"/>
          <w:sz w:val="20"/>
          <w:szCs w:val="20"/>
        </w:rPr>
        <w:t xml:space="preserve">	136</w:t>
      </w:r>
    </w:p>
    <w:p>
      <w:pPr>
        <w:tabs>
          <w:tab w:val="right" w:pos="9360" w:leader="dot"/>
        </w:tabs>
        <w:spacing w:after="60"/>
        <w:ind w:left="720"/>
      </w:pPr>
      <w:r>
        <w:rPr>
          <w:rFonts w:ascii="Cambria" w:cs="Cambria" w:eastAsia="Cambria" w:hAnsi="Cambria"/>
          <w:b w:val="false"/>
          <w:bCs w:val="false"/>
          <w:sz w:val="20"/>
          <w:szCs w:val="20"/>
        </w:rPr>
        <w:t xml:space="preserve">6.6.2 Procedure for Formal and Empirical Authorisation Validation</w:t>
      </w:r>
      <w:r>
        <w:rPr>
          <w:rFonts w:ascii="Cambria" w:cs="Cambria" w:eastAsia="Cambria" w:hAnsi="Cambria"/>
          <w:sz w:val="20"/>
          <w:szCs w:val="20"/>
        </w:rPr>
        <w:t xml:space="preserve">	136</w:t>
      </w:r>
    </w:p>
    <w:p>
      <w:pPr>
        <w:tabs>
          <w:tab w:val="right" w:pos="9360" w:leader="dot"/>
        </w:tabs>
        <w:spacing w:after="60"/>
        <w:ind w:left="720"/>
      </w:pPr>
      <w:r>
        <w:rPr>
          <w:rFonts w:ascii="Cambria" w:cs="Cambria" w:eastAsia="Cambria" w:hAnsi="Cambria"/>
          <w:b w:val="false"/>
          <w:bCs w:val="false"/>
          <w:sz w:val="20"/>
          <w:szCs w:val="20"/>
        </w:rPr>
        <w:t xml:space="preserve">6.6.3 Algorithm 6: Formal and Empirical Authorisation Validation</w:t>
      </w:r>
      <w:r>
        <w:rPr>
          <w:rFonts w:ascii="Cambria" w:cs="Cambria" w:eastAsia="Cambria" w:hAnsi="Cambria"/>
          <w:sz w:val="20"/>
          <w:szCs w:val="20"/>
        </w:rPr>
        <w:t xml:space="preserve">	141</w:t>
      </w:r>
    </w:p>
    <w:p>
      <w:pPr>
        <w:tabs>
          <w:tab w:val="right" w:pos="9360" w:leader="dot"/>
        </w:tabs>
        <w:spacing w:after="60"/>
        <w:ind w:left="360"/>
      </w:pPr>
      <w:r>
        <w:rPr>
          <w:rFonts w:ascii="Cambria" w:cs="Cambria" w:eastAsia="Cambria" w:hAnsi="Cambria"/>
          <w:b w:val="false"/>
          <w:bCs w:val="false"/>
          <w:sz w:val="22"/>
          <w:szCs w:val="22"/>
        </w:rPr>
        <w:t xml:space="preserve">6.7 Algorithms and the Research Objectives</w:t>
      </w:r>
      <w:r>
        <w:rPr>
          <w:rFonts w:ascii="Cambria" w:cs="Cambria" w:eastAsia="Cambria" w:hAnsi="Cambria"/>
          <w:sz w:val="22"/>
          <w:szCs w:val="22"/>
        </w:rPr>
        <w:t xml:space="preserve">	142</w:t>
      </w:r>
    </w:p>
    <w:p>
      <w:pPr>
        <w:tabs>
          <w:tab w:val="right" w:pos="9360" w:leader="dot"/>
        </w:tabs>
        <w:spacing w:after="60"/>
        <w:ind w:left="360"/>
      </w:pPr>
      <w:r>
        <w:rPr>
          <w:rFonts w:ascii="Cambria" w:cs="Cambria" w:eastAsia="Cambria" w:hAnsi="Cambria"/>
          <w:b w:val="false"/>
          <w:bCs w:val="false"/>
          <w:color w:val="000000"/>
          <w:sz w:val="22"/>
          <w:szCs w:val="22"/>
        </w:rPr>
        <w:t xml:space="preserve">6.8 Implementation and Live Demonstration of the Proposed Solution</w:t>
      </w:r>
      <w:r>
        <w:rPr>
          <w:rFonts w:ascii="Cambria" w:cs="Cambria" w:eastAsia="Cambria" w:hAnsi="Cambria"/>
          <w:color w:val="000000"/>
          <w:sz w:val="22"/>
          <w:szCs w:val="22"/>
        </w:rPr>
        <w:t xml:space="preserve">	144</w:t>
      </w:r>
    </w:p>
    <w:p>
      <w:pPr>
        <w:tabs>
          <w:tab w:val="right" w:pos="9360" w:leader="dot"/>
        </w:tabs>
        <w:spacing w:after="60"/>
        <w:ind w:left="720"/>
      </w:pPr>
      <w:r>
        <w:rPr>
          <w:rFonts w:ascii="Cambria" w:cs="Cambria" w:eastAsia="Cambria" w:hAnsi="Cambria"/>
          <w:b w:val="false"/>
          <w:bCs w:val="false"/>
          <w:color w:val="000000"/>
          <w:sz w:val="20"/>
          <w:szCs w:val="20"/>
        </w:rPr>
        <w:t xml:space="preserve">6.8.1 The HALAH System</w:t>
      </w:r>
      <w:r>
        <w:rPr>
          <w:rFonts w:ascii="Cambria" w:cs="Cambria" w:eastAsia="Cambria" w:hAnsi="Cambria"/>
          <w:color w:val="000000"/>
          <w:sz w:val="20"/>
          <w:szCs w:val="20"/>
        </w:rPr>
        <w:t xml:space="preserve">	144</w:t>
      </w:r>
    </w:p>
    <w:p>
      <w:pPr>
        <w:tabs>
          <w:tab w:val="right" w:pos="9360" w:leader="dot"/>
        </w:tabs>
        <w:spacing w:after="60"/>
        <w:ind w:left="720"/>
      </w:pPr>
      <w:r>
        <w:rPr>
          <w:rFonts w:ascii="Cambria" w:cs="Cambria" w:eastAsia="Cambria" w:hAnsi="Cambria"/>
          <w:b w:val="false"/>
          <w:bCs w:val="false"/>
          <w:color w:val="000000"/>
          <w:sz w:val="20"/>
          <w:szCs w:val="20"/>
        </w:rPr>
        <w:t xml:space="preserve">6.8.2 Create Smart Consent Contract: Patient Subsystem</w:t>
      </w:r>
      <w:r>
        <w:rPr>
          <w:rFonts w:ascii="Cambria" w:cs="Cambria" w:eastAsia="Cambria" w:hAnsi="Cambria"/>
          <w:color w:val="000000"/>
          <w:sz w:val="20"/>
          <w:szCs w:val="20"/>
        </w:rPr>
        <w:t xml:space="preserve">	148</w:t>
      </w:r>
    </w:p>
    <w:p>
      <w:pPr>
        <w:tabs>
          <w:tab w:val="right" w:pos="9360" w:leader="dot"/>
        </w:tabs>
        <w:spacing w:after="60"/>
        <w:ind w:left="720"/>
      </w:pPr>
      <w:r>
        <w:rPr>
          <w:rFonts w:ascii="Cambria" w:cs="Cambria" w:eastAsia="Cambria" w:hAnsi="Cambria"/>
          <w:b w:val="false"/>
          <w:bCs w:val="false"/>
          <w:color w:val="000000"/>
          <w:sz w:val="20"/>
          <w:szCs w:val="20"/>
        </w:rPr>
        <w:t xml:space="preserve">6.8.3 Guardian Cryptographic Approval</w:t>
      </w:r>
      <w:r>
        <w:rPr>
          <w:rFonts w:ascii="Cambria" w:cs="Cambria" w:eastAsia="Cambria" w:hAnsi="Cambria"/>
          <w:color w:val="000000"/>
          <w:sz w:val="20"/>
          <w:szCs w:val="20"/>
        </w:rPr>
        <w:t xml:space="preserve">	150</w:t>
      </w:r>
    </w:p>
    <w:p>
      <w:pPr>
        <w:tabs>
          <w:tab w:val="right" w:pos="9360" w:leader="dot"/>
        </w:tabs>
        <w:spacing w:after="60"/>
        <w:ind w:left="720"/>
      </w:pPr>
      <w:r>
        <w:rPr>
          <w:rFonts w:ascii="Cambria" w:cs="Cambria" w:eastAsia="Cambria" w:hAnsi="Cambria"/>
          <w:b w:val="false"/>
          <w:bCs w:val="false"/>
          <w:color w:val="000000"/>
          <w:sz w:val="20"/>
          <w:szCs w:val="20"/>
        </w:rPr>
        <w:t xml:space="preserve">6.8.4 Secure Patient Data Access for the Doctor</w:t>
      </w:r>
      <w:r>
        <w:rPr>
          <w:rFonts w:ascii="Cambria" w:cs="Cambria" w:eastAsia="Cambria" w:hAnsi="Cambria"/>
          <w:color w:val="000000"/>
          <w:sz w:val="20"/>
          <w:szCs w:val="20"/>
        </w:rPr>
        <w:t xml:space="preserve">	154</w:t>
      </w:r>
    </w:p>
    <w:p>
      <w:pPr>
        <w:tabs>
          <w:tab w:val="right" w:pos="9360" w:leader="dot"/>
        </w:tabs>
        <w:spacing w:after="60"/>
        <w:ind w:left="720"/>
      </w:pPr>
      <w:r>
        <w:rPr>
          <w:rFonts w:ascii="Cambria" w:cs="Cambria" w:eastAsia="Cambria" w:hAnsi="Cambria"/>
          <w:b w:val="false"/>
          <w:bCs w:val="false"/>
          <w:color w:val="000000"/>
          <w:sz w:val="20"/>
          <w:szCs w:val="20"/>
        </w:rPr>
        <w:t xml:space="preserve">6.8.5 Negative Demonstration: Jurisdiction Violation</w:t>
      </w:r>
      <w:r>
        <w:rPr>
          <w:rFonts w:ascii="Cambria" w:cs="Cambria" w:eastAsia="Cambria" w:hAnsi="Cambria"/>
          <w:color w:val="000000"/>
          <w:sz w:val="20"/>
          <w:szCs w:val="20"/>
        </w:rPr>
        <w:t xml:space="preserve">	159</w:t>
      </w:r>
    </w:p>
    <w:p>
      <w:pPr>
        <w:tabs>
          <w:tab w:val="right" w:pos="9360" w:leader="dot"/>
        </w:tabs>
        <w:spacing w:after="60"/>
        <w:ind w:left="720"/>
      </w:pPr>
      <w:r>
        <w:rPr>
          <w:rFonts w:ascii="Cambria" w:cs="Cambria" w:eastAsia="Cambria" w:hAnsi="Cambria"/>
          <w:b w:val="false"/>
          <w:bCs w:val="false"/>
          <w:color w:val="000000"/>
          <w:sz w:val="20"/>
          <w:szCs w:val="20"/>
        </w:rPr>
        <w:t xml:space="preserve">6.8.6 Consent Revocation</w:t>
      </w:r>
      <w:r>
        <w:rPr>
          <w:rFonts w:ascii="Cambria" w:cs="Cambria" w:eastAsia="Cambria" w:hAnsi="Cambria"/>
          <w:color w:val="000000"/>
          <w:sz w:val="20"/>
          <w:szCs w:val="20"/>
        </w:rPr>
        <w:t xml:space="preserve">	160</w:t>
      </w:r>
    </w:p>
    <w:p>
      <w:pPr>
        <w:tabs>
          <w:tab w:val="right" w:pos="9360" w:leader="dot"/>
        </w:tabs>
        <w:spacing w:after="60"/>
        <w:ind w:left="720"/>
      </w:pPr>
      <w:r>
        <w:rPr>
          <w:rFonts w:ascii="Cambria" w:cs="Cambria" w:eastAsia="Cambria" w:hAnsi="Cambria"/>
          <w:b w:val="false"/>
          <w:bCs w:val="false"/>
          <w:color w:val="000000"/>
          <w:sz w:val="20"/>
          <w:szCs w:val="20"/>
        </w:rPr>
        <w:t xml:space="preserve">6.8.7 Blockchain Audit and Consent Lifecycle for the Auditor</w:t>
      </w:r>
      <w:r>
        <w:rPr>
          <w:rFonts w:ascii="Cambria" w:cs="Cambria" w:eastAsia="Cambria" w:hAnsi="Cambria"/>
          <w:color w:val="000000"/>
          <w:sz w:val="20"/>
          <w:szCs w:val="20"/>
        </w:rPr>
        <w:t xml:space="preserve">	164</w:t>
      </w:r>
    </w:p>
    <w:p>
      <w:pPr>
        <w:tabs>
          <w:tab w:val="right" w:pos="9360" w:leader="dot"/>
        </w:tabs>
        <w:spacing w:after="60"/>
        <w:ind w:left="720"/>
      </w:pPr>
      <w:r>
        <w:rPr>
          <w:rFonts w:ascii="Cambria" w:cs="Cambria" w:eastAsia="Cambria" w:hAnsi="Cambria"/>
          <w:b w:val="false"/>
          <w:bCs w:val="false"/>
          <w:color w:val="000000"/>
          <w:sz w:val="20"/>
          <w:szCs w:val="20"/>
        </w:rPr>
        <w:t xml:space="preserve">6.8.8 Detailed Audit Records</w:t>
      </w:r>
      <w:r>
        <w:rPr>
          <w:rFonts w:ascii="Cambria" w:cs="Cambria" w:eastAsia="Cambria" w:hAnsi="Cambria"/>
          <w:color w:val="000000"/>
          <w:sz w:val="20"/>
          <w:szCs w:val="20"/>
        </w:rPr>
        <w:t xml:space="preserve">	166</w:t>
      </w:r>
    </w:p>
    <w:p>
      <w:pPr>
        <w:tabs>
          <w:tab w:val="right" w:pos="9360" w:leader="dot"/>
        </w:tabs>
        <w:spacing w:after="60"/>
        <w:ind w:left="720"/>
      </w:pPr>
      <w:r>
        <w:rPr>
          <w:rFonts w:ascii="Cambria" w:cs="Cambria" w:eastAsia="Cambria" w:hAnsi="Cambria"/>
          <w:b w:val="false"/>
          <w:bCs w:val="false"/>
          <w:color w:val="000000"/>
          <w:sz w:val="20"/>
          <w:szCs w:val="20"/>
        </w:rPr>
        <w:t xml:space="preserve">6.8.9 Complete Audit Ledger and Independent Verification</w:t>
      </w:r>
      <w:r>
        <w:rPr>
          <w:rFonts w:ascii="Cambria" w:cs="Cambria" w:eastAsia="Cambria" w:hAnsi="Cambria"/>
          <w:color w:val="000000"/>
          <w:sz w:val="20"/>
          <w:szCs w:val="20"/>
        </w:rPr>
        <w:t xml:space="preserve">	166</w:t>
      </w:r>
    </w:p>
    <w:p>
      <w:pPr>
        <w:tabs>
          <w:tab w:val="right" w:pos="9360" w:leader="dot"/>
        </w:tabs>
        <w:spacing w:after="60"/>
        <w:ind w:left="720"/>
      </w:pPr>
      <w:r>
        <w:rPr>
          <w:rFonts w:ascii="Cambria" w:cs="Cambria" w:eastAsia="Cambria" w:hAnsi="Cambria"/>
          <w:b w:val="false"/>
          <w:bCs w:val="false"/>
          <w:color w:val="000000"/>
          <w:sz w:val="20"/>
          <w:szCs w:val="20"/>
        </w:rPr>
        <w:t xml:space="preserve">6.8.10 Correspondence Between the Subsystems and the Framework</w:t>
      </w:r>
      <w:r>
        <w:rPr>
          <w:rFonts w:ascii="Cambria" w:cs="Cambria" w:eastAsia="Cambria" w:hAnsi="Cambria"/>
          <w:color w:val="000000"/>
          <w:sz w:val="20"/>
          <w:szCs w:val="20"/>
        </w:rPr>
        <w:t xml:space="preserve">	167</w:t>
      </w:r>
    </w:p>
    <w:p>
      <w:pPr>
        <w:tabs>
          <w:tab w:val="right" w:pos="9360" w:leader="dot"/>
        </w:tabs>
        <w:spacing w:after="60"/>
        <w:ind w:left="720"/>
      </w:pPr>
      <w:r>
        <w:rPr>
          <w:rFonts w:ascii="Cambria" w:cs="Cambria" w:eastAsia="Cambria" w:hAnsi="Cambria"/>
          <w:b w:val="false"/>
          <w:bCs w:val="false"/>
          <w:color w:val="000000"/>
          <w:sz w:val="20"/>
          <w:szCs w:val="20"/>
        </w:rPr>
        <w:t xml:space="preserve">6.8.11 Overall System Demonstration</w:t>
      </w:r>
      <w:r>
        <w:rPr>
          <w:rFonts w:ascii="Cambria" w:cs="Cambria" w:eastAsia="Cambria" w:hAnsi="Cambria"/>
          <w:color w:val="000000"/>
          <w:sz w:val="20"/>
          <w:szCs w:val="20"/>
        </w:rPr>
        <w:t xml:space="preserve">	168</w:t>
      </w:r>
    </w:p>
    <w:p>
      <w:pPr>
        <w:tabs>
          <w:tab w:val="right" w:pos="9360" w:leader="dot"/>
        </w:tabs>
        <w:spacing w:after="60"/>
        <w:ind w:left="720"/>
      </w:pPr>
      <w:r>
        <w:rPr>
          <w:rFonts w:ascii="Cambria" w:cs="Cambria" w:eastAsia="Cambria" w:hAnsi="Cambria"/>
          <w:b w:val="false"/>
          <w:bCs w:val="false"/>
          <w:color w:val="000000"/>
          <w:sz w:val="20"/>
          <w:szCs w:val="20"/>
        </w:rPr>
        <w:t xml:space="preserve">6.8.12 Verification Links</w:t>
      </w:r>
      <w:r>
        <w:rPr>
          <w:rFonts w:ascii="Cambria" w:cs="Cambria" w:eastAsia="Cambria" w:hAnsi="Cambria"/>
          <w:color w:val="000000"/>
          <w:sz w:val="20"/>
          <w:szCs w:val="20"/>
        </w:rPr>
        <w:t xml:space="preserve">	169</w:t>
      </w:r>
    </w:p>
    <w:p>
      <w:pPr>
        <w:tabs>
          <w:tab w:val="right" w:pos="9360" w:leader="dot"/>
        </w:tabs>
        <w:spacing w:after="60"/>
        <w:ind w:left="0"/>
      </w:pPr>
      <w:r>
        <w:rPr>
          <w:rFonts w:ascii="Cambria" w:cs="Cambria" w:eastAsia="Cambria" w:hAnsi="Cambria"/>
          <w:b/>
          <w:bCs/>
          <w:sz w:val="24"/>
          <w:szCs w:val="24"/>
        </w:rPr>
        <w:t xml:space="preserve">7 Current Progress Status</w:t>
      </w:r>
      <w:r>
        <w:rPr>
          <w:rFonts w:ascii="Cambria" w:cs="Cambria" w:eastAsia="Cambria" w:hAnsi="Cambria"/>
          <w:sz w:val="22"/>
          <w:szCs w:val="22"/>
        </w:rPr>
        <w:t xml:space="preserve">	171</w:t>
      </w:r>
    </w:p>
    <w:p>
      <w:pPr>
        <w:tabs>
          <w:tab w:val="right" w:pos="9360" w:leader="dot"/>
        </w:tabs>
        <w:spacing w:after="60"/>
        <w:ind w:left="360"/>
      </w:pPr>
      <w:r>
        <w:rPr>
          <w:rFonts w:ascii="Cambria" w:cs="Cambria" w:eastAsia="Cambria" w:hAnsi="Cambria"/>
          <w:b w:val="false"/>
          <w:bCs w:val="false"/>
          <w:sz w:val="22"/>
          <w:szCs w:val="22"/>
        </w:rPr>
        <w:t xml:space="preserve">7.1 Progress of RO1: Trust-Centric Consent Model</w:t>
      </w:r>
      <w:r>
        <w:rPr>
          <w:rFonts w:ascii="Cambria" w:cs="Cambria" w:eastAsia="Cambria" w:hAnsi="Cambria"/>
          <w:sz w:val="22"/>
          <w:szCs w:val="22"/>
        </w:rPr>
        <w:t xml:space="preserve">	171</w:t>
      </w:r>
    </w:p>
    <w:p>
      <w:pPr>
        <w:tabs>
          <w:tab w:val="right" w:pos="9360" w:leader="dot"/>
        </w:tabs>
        <w:spacing w:after="60"/>
        <w:ind w:left="360"/>
      </w:pPr>
      <w:r>
        <w:rPr>
          <w:rFonts w:ascii="Cambria" w:cs="Cambria" w:eastAsia="Cambria" w:hAnsi="Cambria"/>
          <w:b w:val="false"/>
          <w:bCs w:val="false"/>
          <w:sz w:val="22"/>
          <w:szCs w:val="22"/>
        </w:rPr>
        <w:t xml:space="preserve">7.2 Progress of RO2: Decentralised Identity and Authority Trust</w:t>
      </w:r>
      <w:r>
        <w:rPr>
          <w:rFonts w:ascii="Cambria" w:cs="Cambria" w:eastAsia="Cambria" w:hAnsi="Cambria"/>
          <w:sz w:val="22"/>
          <w:szCs w:val="22"/>
        </w:rPr>
        <w:t xml:space="preserve">	171</w:t>
      </w:r>
    </w:p>
    <w:p>
      <w:pPr>
        <w:tabs>
          <w:tab w:val="right" w:pos="9360" w:leader="dot"/>
        </w:tabs>
        <w:spacing w:after="60"/>
        <w:ind w:left="360"/>
      </w:pPr>
      <w:r>
        <w:rPr>
          <w:rFonts w:ascii="Cambria" w:cs="Cambria" w:eastAsia="Cambria" w:hAnsi="Cambria"/>
          <w:b w:val="false"/>
          <w:bCs w:val="false"/>
          <w:sz w:val="22"/>
          <w:szCs w:val="22"/>
        </w:rPr>
        <w:t xml:space="preserve">7.3 Progress of RO3: Trustworthy Multi-Party Authorisation</w:t>
      </w:r>
      <w:r>
        <w:rPr>
          <w:rFonts w:ascii="Cambria" w:cs="Cambria" w:eastAsia="Cambria" w:hAnsi="Cambria"/>
          <w:sz w:val="22"/>
          <w:szCs w:val="22"/>
        </w:rPr>
        <w:t xml:space="preserve">	172</w:t>
      </w:r>
    </w:p>
    <w:p>
      <w:pPr>
        <w:tabs>
          <w:tab w:val="right" w:pos="9360" w:leader="dot"/>
        </w:tabs>
        <w:spacing w:after="60"/>
        <w:ind w:left="360"/>
      </w:pPr>
      <w:r>
        <w:rPr>
          <w:rFonts w:ascii="Cambria" w:cs="Cambria" w:eastAsia="Cambria" w:hAnsi="Cambria"/>
          <w:b w:val="false"/>
          <w:bCs w:val="false"/>
          <w:sz w:val="22"/>
          <w:szCs w:val="22"/>
        </w:rPr>
        <w:t xml:space="preserve">7.4 Progress of RO4: Policy- and Context-Aware Access Control</w:t>
      </w:r>
      <w:r>
        <w:rPr>
          <w:rFonts w:ascii="Cambria" w:cs="Cambria" w:eastAsia="Cambria" w:hAnsi="Cambria"/>
          <w:sz w:val="22"/>
          <w:szCs w:val="22"/>
        </w:rPr>
        <w:t xml:space="preserve">	173</w:t>
      </w:r>
    </w:p>
    <w:p>
      <w:pPr>
        <w:tabs>
          <w:tab w:val="right" w:pos="9360" w:leader="dot"/>
        </w:tabs>
        <w:spacing w:after="60"/>
        <w:ind w:left="360"/>
      </w:pPr>
      <w:r>
        <w:rPr>
          <w:rFonts w:ascii="Cambria" w:cs="Cambria" w:eastAsia="Cambria" w:hAnsi="Cambria"/>
          <w:b w:val="false"/>
          <w:bCs w:val="false"/>
          <w:sz w:val="22"/>
          <w:szCs w:val="22"/>
        </w:rPr>
        <w:t xml:space="preserve">7.5 Progress of RO5: Temporal and Lifecycle Trust</w:t>
      </w:r>
      <w:r>
        <w:rPr>
          <w:rFonts w:ascii="Cambria" w:cs="Cambria" w:eastAsia="Cambria" w:hAnsi="Cambria"/>
          <w:sz w:val="22"/>
          <w:szCs w:val="22"/>
        </w:rPr>
        <w:t xml:space="preserve">	173</w:t>
      </w:r>
    </w:p>
    <w:p>
      <w:pPr>
        <w:tabs>
          <w:tab w:val="right" w:pos="9360" w:leader="dot"/>
        </w:tabs>
        <w:spacing w:after="60"/>
        <w:ind w:left="360"/>
      </w:pPr>
      <w:r>
        <w:rPr>
          <w:rFonts w:ascii="Cambria" w:cs="Cambria" w:eastAsia="Cambria" w:hAnsi="Cambria"/>
          <w:b w:val="false"/>
          <w:bCs w:val="false"/>
          <w:sz w:val="22"/>
          <w:szCs w:val="22"/>
        </w:rPr>
        <w:t xml:space="preserve">7.6 Progress of RO6: Formal Security Assurance and Empirical Validation</w:t>
      </w:r>
      <w:r>
        <w:rPr>
          <w:rFonts w:ascii="Cambria" w:cs="Cambria" w:eastAsia="Cambria" w:hAnsi="Cambria"/>
          <w:sz w:val="22"/>
          <w:szCs w:val="22"/>
        </w:rPr>
        <w:t xml:space="preserve">	174</w:t>
      </w:r>
    </w:p>
    <w:p>
      <w:pPr>
        <w:tabs>
          <w:tab w:val="right" w:pos="9360" w:leader="dot"/>
        </w:tabs>
        <w:spacing w:after="60"/>
        <w:ind w:left="0"/>
      </w:pPr>
      <w:r>
        <w:rPr>
          <w:rFonts w:ascii="Cambria" w:cs="Cambria" w:eastAsia="Cambria" w:hAnsi="Cambria"/>
          <w:b/>
          <w:bCs/>
          <w:sz w:val="24"/>
          <w:szCs w:val="24"/>
        </w:rPr>
        <w:t xml:space="preserve">8 Publications Summary</w:t>
      </w:r>
      <w:r>
        <w:rPr>
          <w:rFonts w:ascii="Cambria" w:cs="Cambria" w:eastAsia="Cambria" w:hAnsi="Cambria"/>
          <w:sz w:val="22"/>
          <w:szCs w:val="22"/>
        </w:rPr>
        <w:t xml:space="preserve">	176</w:t>
      </w:r>
    </w:p>
    <w:p>
      <w:pPr>
        <w:tabs>
          <w:tab w:val="right" w:pos="9360" w:leader="dot"/>
        </w:tabs>
        <w:spacing w:after="60"/>
        <w:ind w:left="0"/>
      </w:pPr>
      <w:r>
        <w:rPr>
          <w:rFonts w:ascii="Cambria" w:cs="Cambria" w:eastAsia="Cambria" w:hAnsi="Cambria"/>
          <w:b/>
          <w:bCs/>
          <w:sz w:val="24"/>
          <w:szCs w:val="24"/>
        </w:rPr>
        <w:t xml:space="preserve">9 Research Plan</w:t>
      </w:r>
      <w:r>
        <w:rPr>
          <w:rFonts w:ascii="Cambria" w:cs="Cambria" w:eastAsia="Cambria" w:hAnsi="Cambria"/>
          <w:sz w:val="22"/>
          <w:szCs w:val="22"/>
        </w:rPr>
        <w:t xml:space="preserve">	177</w:t>
      </w:r>
    </w:p>
    <w:p>
      <w:pPr>
        <w:tabs>
          <w:tab w:val="right" w:pos="9360" w:leader="dot"/>
        </w:tabs>
        <w:spacing w:after="60"/>
        <w:ind w:left="360"/>
      </w:pPr>
      <w:r>
        <w:rPr>
          <w:rFonts w:ascii="Cambria" w:cs="Cambria" w:eastAsia="Cambria" w:hAnsi="Cambria"/>
          <w:b w:val="false"/>
          <w:bCs w:val="false"/>
          <w:sz w:val="22"/>
          <w:szCs w:val="22"/>
        </w:rPr>
        <w:t xml:space="preserve">9.1 Current Stage: Completed and Current Work</w:t>
      </w:r>
      <w:r>
        <w:rPr>
          <w:rFonts w:ascii="Cambria" w:cs="Cambria" w:eastAsia="Cambria" w:hAnsi="Cambria"/>
          <w:sz w:val="22"/>
          <w:szCs w:val="22"/>
        </w:rPr>
        <w:t xml:space="preserve">	177</w:t>
      </w:r>
    </w:p>
    <w:p>
      <w:pPr>
        <w:tabs>
          <w:tab w:val="right" w:pos="9360" w:leader="dot"/>
        </w:tabs>
        <w:spacing w:after="60"/>
        <w:ind w:left="360"/>
      </w:pPr>
      <w:r>
        <w:rPr>
          <w:rFonts w:ascii="Cambria" w:cs="Cambria" w:eastAsia="Cambria" w:hAnsi="Cambria"/>
          <w:b w:val="false"/>
          <w:bCs w:val="false"/>
          <w:sz w:val="22"/>
          <w:szCs w:val="22"/>
        </w:rPr>
        <w:t xml:space="preserve">9.2 Next Stage: Planned Work</w:t>
      </w:r>
      <w:r>
        <w:rPr>
          <w:rFonts w:ascii="Cambria" w:cs="Cambria" w:eastAsia="Cambria" w:hAnsi="Cambria"/>
          <w:sz w:val="22"/>
          <w:szCs w:val="22"/>
        </w:rPr>
        <w:t xml:space="preserve">	177</w:t>
      </w:r>
    </w:p>
    <w:p>
      <w:pPr>
        <w:tabs>
          <w:tab w:val="right" w:pos="9360" w:leader="dot"/>
        </w:tabs>
        <w:spacing w:after="60"/>
        <w:ind w:left="0"/>
      </w:pPr>
      <w:r>
        <w:rPr>
          <w:rFonts w:ascii="Cambria" w:cs="Cambria" w:eastAsia="Cambria" w:hAnsi="Cambria"/>
          <w:b/>
          <w:bCs/>
          <w:sz w:val="24"/>
          <w:szCs w:val="24"/>
        </w:rPr>
        <w:t xml:space="preserve">Appendix A — Traceability to the Implemented System</w:t>
      </w:r>
      <w:r>
        <w:rPr>
          <w:rFonts w:ascii="Cambria" w:cs="Cambria" w:eastAsia="Cambria" w:hAnsi="Cambria"/>
          <w:sz w:val="22"/>
          <w:szCs w:val="22"/>
        </w:rPr>
        <w:t xml:space="preserve">	181</w:t>
      </w:r>
    </w:p>
    <w:p>
      <w:pPr>
        <w:tabs>
          <w:tab w:val="right" w:pos="9360" w:leader="dot"/>
        </w:tabs>
        <w:spacing w:after="60"/>
        <w:ind w:left="0"/>
      </w:pPr>
      <w:r>
        <w:rPr>
          <w:rFonts w:ascii="Cambria" w:cs="Cambria" w:eastAsia="Cambria" w:hAnsi="Cambria"/>
          <w:b/>
          <w:bCs/>
          <w:sz w:val="24"/>
          <w:szCs w:val="24"/>
        </w:rPr>
        <w:t xml:space="preserve">References</w:t>
      </w:r>
      <w:r>
        <w:rPr>
          <w:rFonts w:ascii="Cambria" w:cs="Cambria" w:eastAsia="Cambria" w:hAnsi="Cambria"/>
          <w:sz w:val="22"/>
          <w:szCs w:val="22"/>
        </w:rPr>
        <w:t xml:space="preserve">	182</w:t>
      </w:r>
    </w:p>
    <w:p>
      <w:pPr>
        <w:pStyle w:val="Heading1"/>
        <w:pageBreakBefore/>
        <w:spacing w:after="160" w:before="400"/>
      </w:pPr>
      <w:r>
        <w:rPr>
          <w:rFonts w:ascii="Cambria" w:cs="Cambria" w:eastAsia="Cambria" w:hAnsi="Cambria"/>
          <w:sz w:val="24"/>
          <w:szCs w:val="24"/>
        </w:rPr>
        <w:t xml:space="preserve">1  Introduction</w:t>
      </w:r>
    </w:p>
    <w:p>
      <w:pPr>
        <w:pStyle w:val="Heading2"/>
        <w:spacing w:after="160" w:before="280"/>
      </w:pPr>
      <w:r>
        <w:rPr>
          <w:rFonts w:ascii="Cambria" w:cs="Cambria" w:eastAsia="Cambria" w:hAnsi="Cambria"/>
          <w:sz w:val="24"/>
          <w:szCs w:val="24"/>
        </w:rPr>
        <w:t xml:space="preserve">1.1  Research Context</w:t>
      </w:r>
    </w:p>
    <w:p>
      <w:pPr>
        <w:spacing w:after="140" w:line="300"/>
        <w:jc w:val="both"/>
      </w:pPr>
      <w:r>
        <w:rPr>
          <w:rFonts w:ascii="Cambria" w:cs="Cambria" w:eastAsia="Cambria" w:hAnsi="Cambria"/>
          <w:sz w:val="24"/>
          <w:szCs w:val="24"/>
        </w:rP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w:t>
      </w:r>
      <w:r>
        <w:rPr>
          <w:rFonts w:ascii="Cambria" w:cs="Cambria" w:eastAsia="Cambria" w:hAnsi="Cambria"/>
          <w:color w:val="E6007E"/>
          <w:sz w:val="24"/>
          <w:szCs w:val="24"/>
        </w:rPr>
        <w:t xml:space="preserve">how that information is used [6, 19, 26]</w:t>
      </w:r>
      <w:r>
        <w:rPr>
          <w:rFonts w:ascii="Cambria" w:cs="Cambria" w:eastAsia="Cambria" w:hAnsi="Cambria"/>
          <w:sz w:val="24"/>
          <w:szCs w:val="24"/>
        </w:rPr>
        <w:t xml:space="preserve">.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spacing w:after="140" w:line="300"/>
        <w:jc w:val="both"/>
      </w:pPr>
      <w:r>
        <w:rPr>
          <w:rFonts w:ascii="Cambria" w:cs="Cambria" w:eastAsia="Cambria" w:hAnsi="Cambria"/>
          <w:sz w:val="24"/>
          <w:szCs w:val="24"/>
        </w:rP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w:t>
      </w:r>
      <w:r>
        <w:rPr>
          <w:rFonts w:ascii="Cambria" w:cs="Cambria" w:eastAsia="Cambria" w:hAnsi="Cambria"/>
          <w:color w:val="E6007E"/>
          <w:sz w:val="24"/>
          <w:szCs w:val="24"/>
        </w:rPr>
        <w:t xml:space="preserve">to participate in data-sharing processes [31, 21]</w:t>
      </w:r>
      <w:r>
        <w:rPr>
          <w:rFonts w:ascii="Cambria" w:cs="Cambria" w:eastAsia="Cambria" w:hAnsi="Cambria"/>
          <w:sz w:val="24"/>
          <w:szCs w:val="24"/>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w:t>
      </w:r>
      <w:r>
        <w:rPr>
          <w:rFonts w:ascii="Cambria" w:cs="Cambria" w:eastAsia="Cambria" w:hAnsi="Cambria"/>
          <w:color w:val="E6007E"/>
          <w:sz w:val="24"/>
          <w:szCs w:val="24"/>
        </w:rPr>
        <w:t xml:space="preserve">control [24, 22, 12, 25]</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Traditional access-control architectures are commonly based on centralised identity providers, institution-specific authentication systems, and relatively static </w:t>
      </w:r>
      <w:r>
        <w:rPr>
          <w:rFonts w:ascii="Cambria" w:cs="Cambria" w:eastAsia="Cambria" w:hAnsi="Cambria"/>
          <w:color w:val="E6007E"/>
          <w:sz w:val="24"/>
          <w:szCs w:val="24"/>
        </w:rPr>
        <w:t xml:space="preserve">permission-management mechanisms [28, 25]</w:t>
      </w:r>
      <w:r>
        <w:rPr>
          <w:rFonts w:ascii="Cambria" w:cs="Cambria" w:eastAsia="Cambria" w:hAnsi="Cambria"/>
          <w:sz w:val="24"/>
          <w:szCs w:val="24"/>
        </w:rPr>
        <w:t xml:space="preserve">.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spacing w:after="140" w:line="300"/>
        <w:jc w:val="both"/>
      </w:pPr>
      <w:r>
        <w:rPr>
          <w:rFonts w:ascii="Cambria" w:cs="Cambria" w:eastAsia="Cambria" w:hAnsi="Cambria"/>
          <w:sz w:val="24"/>
          <w:szCs w:val="24"/>
        </w:rPr>
        <w:t xml:space="preserve">This problem is particularly relevant in healthcare, where data-sharing decisions may require the coordinated participation of patients, guardians, healthcare professionals, institutional authorities, and </w:t>
      </w:r>
      <w:r>
        <w:rPr>
          <w:rFonts w:ascii="Cambria" w:cs="Cambria" w:eastAsia="Cambria" w:hAnsi="Cambria"/>
          <w:color w:val="E6007E"/>
          <w:sz w:val="24"/>
          <w:szCs w:val="24"/>
        </w:rPr>
        <w:t xml:space="preserve">other authorised stakeholders [31, 9]</w:t>
      </w:r>
      <w:r>
        <w:rPr>
          <w:rFonts w:ascii="Cambria" w:cs="Cambria" w:eastAsia="Cambria" w:hAnsi="Cambria"/>
          <w:sz w:val="24"/>
          <w:szCs w:val="24"/>
        </w:rPr>
        <w:t xml:space="preserve">.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spacing w:after="140" w:line="300"/>
        <w:jc w:val="both"/>
      </w:pPr>
      <w:r>
        <w:rPr>
          <w:rFonts w:ascii="Cambria" w:cs="Cambria" w:eastAsia="Cambria" w:hAnsi="Cambria"/>
          <w:sz w:val="24"/>
          <w:szCs w:val="24"/>
        </w:rP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w:t>
      </w:r>
      <w:r>
        <w:rPr>
          <w:rFonts w:ascii="Cambria" w:cs="Cambria" w:eastAsia="Cambria" w:hAnsi="Cambria"/>
          <w:color w:val="E6007E"/>
          <w:sz w:val="24"/>
          <w:szCs w:val="24"/>
        </w:rPr>
        <w:t xml:space="preserve">resources [2, 7, 3, 20, 5]</w:t>
      </w:r>
      <w:r>
        <w:rPr>
          <w:rFonts w:ascii="Cambria" w:cs="Cambria" w:eastAsia="Cambria" w:hAnsi="Cambria"/>
          <w:sz w:val="24"/>
          <w:szCs w:val="24"/>
        </w:rPr>
        <w:t xml:space="preserve">. More broadly, blockchain-based approaches have demonstrated the potential to improve the integrity, transparency, and traceability of decentralised </w:t>
      </w:r>
      <w:r>
        <w:rPr>
          <w:rFonts w:ascii="Cambria" w:cs="Cambria" w:eastAsia="Cambria" w:hAnsi="Cambria"/>
          <w:color w:val="E6007E"/>
          <w:sz w:val="24"/>
          <w:szCs w:val="24"/>
        </w:rPr>
        <w:t xml:space="preserve">data-management processes [1, 26]</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spacing w:after="140" w:line="300"/>
        <w:jc w:val="both"/>
      </w:pPr>
      <w:r>
        <w:rPr>
          <w:rFonts w:ascii="Cambria" w:cs="Cambria" w:eastAsia="Cambria" w:hAnsi="Cambria"/>
          <w:sz w:val="24"/>
          <w:szCs w:val="24"/>
        </w:rP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w:t>
      </w:r>
      <w:r>
        <w:rPr>
          <w:rFonts w:ascii="Cambria" w:cs="Cambria" w:eastAsia="Cambria" w:hAnsi="Cambria"/>
          <w:color w:val="E6007E"/>
          <w:sz w:val="24"/>
          <w:szCs w:val="24"/>
        </w:rPr>
        <w:t xml:space="preserve">an active and evaluable component of a broader authorisation process, extending the dynamic consent perspective [13, 24].</w:t>
      </w:r>
    </w:p>
    <w:p>
      <w:pPr>
        <w:pStyle w:val="Heading2"/>
        <w:spacing w:after="160" w:before="280"/>
      </w:pPr>
      <w:r>
        <w:rPr>
          <w:rFonts w:ascii="Cambria" w:cs="Cambria" w:eastAsia="Cambria" w:hAnsi="Cambria"/>
          <w:sz w:val="24"/>
          <w:szCs w:val="24"/>
        </w:rPr>
        <w:t xml:space="preserve">1.2  Problem Statement</w:t>
      </w:r>
    </w:p>
    <w:p>
      <w:pPr>
        <w:spacing w:after="140" w:line="300"/>
        <w:jc w:val="both"/>
      </w:pPr>
      <w:r>
        <w:rPr>
          <w:rFonts w:ascii="Cambria" w:cs="Cambria" w:eastAsia="Cambria" w:hAnsi="Cambria"/>
          <w:sz w:val="24"/>
          <w:szCs w:val="24"/>
        </w:rP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w:t>
      </w:r>
      <w:r>
        <w:rPr>
          <w:rFonts w:ascii="Cambria" w:cs="Cambria" w:eastAsia="Cambria" w:hAnsi="Cambria"/>
          <w:color w:val="E6007E"/>
          <w:sz w:val="24"/>
          <w:szCs w:val="24"/>
        </w:rPr>
        <w:t xml:space="preserve">but in most systems consent remains a passive artefact indicating that a permission or approval has been created, and even where it is represented as an evaluable object [71, 37, 44, 58] its evaluation is not conjoined with a multi-party authority condition and is not formally assured</w:t>
      </w:r>
      <w:r>
        <w:rPr>
          <w:rFonts w:ascii="Cambria" w:cs="Cambria" w:eastAsia="Cambria" w:hAnsi="Cambria"/>
          <w:sz w:val="24"/>
          <w:szCs w:val="24"/>
        </w:rPr>
        <w:t xml:space="preserve">.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spacing w:after="140" w:line="300"/>
        <w:jc w:val="both"/>
      </w:pPr>
      <w:r>
        <w:rPr>
          <w:rFonts w:ascii="Cambria" w:cs="Cambria" w:eastAsia="Cambria" w:hAnsi="Cambria"/>
          <w:sz w:val="24"/>
          <w:szCs w:val="24"/>
        </w:rPr>
        <w:t xml:space="preserve">This creates a fundamental distinction between consent representation and trustworthy authorisation enforcement.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spacing w:after="140" w:line="300"/>
        <w:jc w:val="both"/>
      </w:pPr>
      <w:r>
        <w:rPr>
          <w:rFonts w:ascii="Cambria" w:cs="Cambria" w:eastAsia="Cambria" w:hAnsi="Cambria"/>
          <w:sz w:val="24"/>
          <w:szCs w:val="24"/>
        </w:rP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spacing w:after="140" w:line="300"/>
        <w:jc w:val="both"/>
      </w:pPr>
      <w:r>
        <w:rPr>
          <w:rFonts w:ascii="Cambria" w:cs="Cambria" w:eastAsia="Cambria" w:hAnsi="Cambria"/>
          <w:sz w:val="24"/>
          <w:szCs w:val="24"/>
        </w:rP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spacing w:after="140" w:line="300"/>
        <w:jc w:val="both"/>
      </w:pPr>
      <w:r>
        <w:rPr>
          <w:rFonts w:ascii="Cambria" w:cs="Cambria" w:eastAsia="Cambria" w:hAnsi="Cambria"/>
          <w:color w:val="E6007E"/>
          <w:sz w:val="24"/>
          <w:szCs w:val="24"/>
        </w:rPr>
        <w:t xml:space="preserve">The central problem addressed by this research is therefore the absence of a mechanism in which identity, authority, multi-party approval, policy, temporal and lifecycle conditions are conjoined in every access decision and in which that conjunction is assured both formally and empirically; the review in Chapter 2 shows that the individual conditions, and several partial combinations of them [58, 61, 45], already exist.</w:t>
      </w:r>
      <w:r>
        <w:rPr>
          <w:rFonts w:ascii="Cambria" w:cs="Cambria" w:eastAsia="Cambria" w:hAnsi="Cambria"/>
          <w:sz w:val="24"/>
          <w:szCs w:val="24"/>
        </w:rPr>
        <w:t xml:space="preserve"> </w:t>
      </w:r>
      <w:r>
        <w:rPr>
          <w:rFonts w:ascii="Cambria" w:cs="Cambria" w:eastAsia="Cambria" w:hAnsi="Cambria"/>
          <w:color w:val="E6007E"/>
          <w:sz w:val="24"/>
          <w:szCs w:val="24"/>
        </w:rPr>
        <w:t xml:space="preserve">Existing approaches provide important technological components, including decentralised identity and verifiable credentials [58, 76], blockchain-based consent records [53, 71], multi-party approval mechanisms of several kinds [53, 61, 69, 43], and policy-based access control [44, 57, 63, 15], as reviewed in Chapter 2.</w:t>
      </w:r>
      <w:r>
        <w:rPr>
          <w:rFonts w:ascii="Cambria" w:cs="Cambria" w:eastAsia="Cambria" w:hAnsi="Cambria"/>
          <w:sz w:val="24"/>
          <w:szCs w:val="24"/>
        </w:rPr>
        <w:t xml:space="preserve"> </w:t>
      </w:r>
      <w:r>
        <w:rPr>
          <w:rFonts w:ascii="Cambria" w:cs="Cambria" w:eastAsia="Cambria" w:hAnsi="Cambria"/>
          <w:color w:val="E6007E"/>
          <w:sz w:val="24"/>
          <w:szCs w:val="24"/>
        </w:rPr>
        <w:t xml:space="preserve">However, these mechanisms are usually investigated separately, and where they are combined in one system [58, 61, 45, 66] the combination excludes multi-party approval as a standing condition of the decision and is neither formally proved nor tested as an authorisation decision.</w:t>
      </w:r>
    </w:p>
    <w:p>
      <w:pPr>
        <w:spacing w:after="140" w:line="300"/>
        <w:jc w:val="both"/>
      </w:pPr>
      <w:r>
        <w:rPr>
          <w:rFonts w:ascii="Cambria" w:cs="Cambria" w:eastAsia="Cambria" w:hAnsi="Cambria"/>
          <w:sz w:val="24"/>
          <w:szCs w:val="24"/>
        </w:rP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spacing w:after="140" w:line="300"/>
        <w:jc w:val="both"/>
      </w:pPr>
      <w:r>
        <w:rPr>
          <w:rFonts w:ascii="Cambria" w:cs="Cambria" w:eastAsia="Cambria" w:hAnsi="Cambria"/>
          <w:sz w:val="24"/>
          <w:szCs w:val="24"/>
        </w:rP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p>
      <w:pPr>
        <w:spacing w:after="140" w:line="300"/>
        <w:jc w:val="both"/>
      </w:pPr>
      <w:r>
        <w:rPr>
          <w:rFonts w:ascii="Cambria" w:cs="Cambria" w:eastAsia="Cambria" w:hAnsi="Cambria"/>
          <w:color w:val="0000CC"/>
          <w:sz w:val="24"/>
          <w:szCs w:val="24"/>
        </w:rPr>
        <w:t xml:space="preserve">In this context, the overarching research question is how a trust-oriented computing framework can establish and enforce trustworthy multi-party consent for decentralised healthcare data sharing under identity, authority, and policy constraints. This question is decomposed into six sub-research questions in Chapter 3 and mapped to the research objectives RO1 to RO6 in Chapter 4.</w:t>
      </w:r>
    </w:p>
    <w:p>
      <w:pPr>
        <w:pStyle w:val="Heading2"/>
        <w:spacing w:after="160" w:before="280"/>
      </w:pPr>
      <w:r>
        <w:rPr>
          <w:rFonts w:ascii="Cambria" w:cs="Cambria" w:eastAsia="Cambria" w:hAnsi="Cambria"/>
          <w:sz w:val="24"/>
          <w:szCs w:val="24"/>
        </w:rPr>
        <w:t xml:space="preserve">1.3  Research Motivation</w:t>
      </w:r>
    </w:p>
    <w:p>
      <w:pPr>
        <w:spacing w:after="140" w:line="300"/>
        <w:jc w:val="both"/>
      </w:pPr>
      <w:r>
        <w:rPr>
          <w:rFonts w:ascii="Cambria" w:cs="Cambria" w:eastAsia="Cambria" w:hAnsi="Cambria"/>
          <w:color w:val="E6007E"/>
          <w:sz w:val="24"/>
          <w:szCs w:val="24"/>
        </w:rPr>
        <w:t xml:space="preserve">The purpose of this section is to explain why a trust-oriented authorisation framework is required and to introduce its dimensions. It should be noted at the outset that, in addition to the four foundational dimensions RO1 to RO4 that are introduced below, the proposed framework has been extended to incorporate temporal validity and lifecycle trust (RO5), which was originally planned for the next stage.</w:t>
      </w:r>
      <w:r>
        <w:rPr>
          <w:rFonts w:ascii="Cambria" w:cs="Cambria" w:eastAsia="Cambria" w:hAnsi="Cambria"/>
          <w:color w:val="000000"/>
          <w:sz w:val="24"/>
          <w:szCs w:val="24"/>
        </w:rPr>
        <w:t xml:space="preserve"> In particular, validity periods and expiration are enforced at the point of evaluation and mirrored on-chain, revocation is executed as a verifiable blockchain transaction, and consent progresses through controlled state transitions. This is important because trust cannot be regarded as permanently established at the moment a consent is created.</w:t>
      </w:r>
    </w:p>
    <w:p>
      <w:pPr>
        <w:spacing w:after="140" w:line="300"/>
        <w:jc w:val="both"/>
      </w:pPr>
      <w:r>
        <w:rPr>
          <w:rFonts w:ascii="Cambria" w:cs="Cambria" w:eastAsia="Cambria" w:hAnsi="Cambria"/>
          <w:color w:val="E6007E"/>
          <w:sz w:val="24"/>
          <w:szCs w:val="24"/>
        </w:rPr>
        <w:t xml:space="preserve">Adversarial and negative testing has been undertaken using the HALAH prototype (the Patient Consent Management Platform for History Access by Authorised Healthcare Providers described in Section 6.8), encompassing per-dimension denial scenarios, guardian signature-rejection tests, and tests of tampered and expired zero-knowledge proofs,</w:t>
      </w:r>
      <w:r>
        <w:rPr>
          <w:rFonts w:ascii="Cambria" w:cs="Cambria" w:eastAsia="Cambria" w:hAnsi="Cambria"/>
          <w:color w:val="000000"/>
          <w:sz w:val="24"/>
          <w:szCs w:val="24"/>
        </w:rPr>
        <w:t xml:space="preserve"> together with </w:t>
      </w:r>
      <w:r>
        <w:rPr>
          <w:rFonts w:ascii="Cambria" w:cs="Cambria" w:eastAsia="Cambria" w:hAnsi="Cambria"/>
          <w:color w:val="E6007E"/>
          <w:sz w:val="24"/>
          <w:szCs w:val="24"/>
        </w:rPr>
        <w:t xml:space="preserve">a live negative evaluation on the Ethereum Sepolia testnet</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Formal security analysis, by contrast, has not yet been undertaken and remains the subject of the next research stage.</w:t>
      </w:r>
    </w:p>
    <w:p>
      <w:pPr>
        <w:spacing w:after="140" w:line="300"/>
        <w:jc w:val="both"/>
      </w:pPr>
      <w:r>
        <w:rPr>
          <w:rFonts w:ascii="Cambria" w:cs="Cambria" w:eastAsia="Cambria" w:hAnsi="Cambria"/>
          <w:sz w:val="24"/>
          <w:szCs w:val="24"/>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spacing w:after="140" w:line="300"/>
        <w:jc w:val="both"/>
      </w:pPr>
      <w:r>
        <w:rPr>
          <w:rFonts w:ascii="Cambria" w:cs="Cambria" w:eastAsia="Cambria" w:hAnsi="Cambria"/>
          <w:color w:val="0000CC"/>
          <w:sz w:val="24"/>
          <w:szCs w:val="24"/>
        </w:rPr>
        <w:t xml:space="preserve">The term Trust Computing is used in this report to denote the evaluation of trust as a computable outcome of explicitly verified conditions on identity, authority, collective approval, policy and lifecycle, and it should be distinguished from trusted computing in the hardware sense, such as trusted execution environments and attestation, which lies outside the scope of the review in Chapter 2.</w:t>
      </w:r>
    </w:p>
    <w:p>
      <w:pPr>
        <w:spacing w:after="140" w:line="300"/>
        <w:jc w:val="both"/>
      </w:pPr>
      <w:r>
        <w:rPr>
          <w:rFonts w:ascii="Cambria" w:cs="Cambria" w:eastAsia="Cambria" w:hAnsi="Cambria"/>
          <w:sz w:val="24"/>
          <w:szCs w:val="24"/>
        </w:rP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w:t>
      </w:r>
      <w:r>
        <w:rPr>
          <w:rFonts w:ascii="Cambria" w:cs="Cambria" w:eastAsia="Cambria" w:hAnsi="Cambria"/>
          <w:color w:val="E6007E"/>
          <w:sz w:val="24"/>
          <w:szCs w:val="24"/>
        </w:rPr>
        <w:t xml:space="preserve">Multi-party authorisation concerns whether the required threshold of independently verified participants, defined by the patient in the consent object, has jointly established the authorisation condition at the time of each access decision rather than only at registration or in an emergency.</w:t>
      </w:r>
      <w:r>
        <w:rPr>
          <w:rFonts w:ascii="Cambria" w:cs="Cambria" w:eastAsia="Cambria" w:hAnsi="Cambria"/>
          <w:sz w:val="24"/>
          <w:szCs w:val="24"/>
        </w:rPr>
        <w:t xml:space="preserve">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spacing w:after="140" w:line="300"/>
        <w:jc w:val="both"/>
      </w:pPr>
      <w:r>
        <w:rPr>
          <w:rFonts w:ascii="Cambria" w:cs="Cambria" w:eastAsia="Cambria" w:hAnsi="Cambria"/>
          <w:sz w:val="24"/>
          <w:szCs w:val="24"/>
        </w:rP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spacing w:after="140" w:line="300"/>
        <w:jc w:val="both"/>
      </w:pPr>
      <w:r>
        <w:rPr>
          <w:rFonts w:ascii="Cambria" w:cs="Cambria" w:eastAsia="Cambria" w:hAnsi="Cambria"/>
          <w:sz w:val="24"/>
          <w:szCs w:val="24"/>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w:t>
      </w:r>
    </w:p>
    <w:p>
      <w:pPr>
        <w:spacing w:after="140" w:line="300"/>
        <w:jc w:val="both"/>
      </w:pPr>
      <w:r>
        <w:rPr>
          <w:rFonts w:ascii="Cambria" w:cs="Cambria" w:eastAsia="Cambria" w:hAnsi="Cambria"/>
          <w:color w:val="E6007E"/>
          <w:sz w:val="24"/>
          <w:szCs w:val="24"/>
        </w:rPr>
        <w:t xml:space="preserve">These four dimensions (RO1 to RO4) collectively define the foundational scope of the proposed framework, which is then extended by temporal and lifecycle trust (RO5) and by formal security assurance and empirical validation (RO6).</w:t>
      </w:r>
      <w:r>
        <w:rPr>
          <w:rFonts w:ascii="Cambria" w:cs="Cambria" w:eastAsia="Cambria" w:hAnsi="Cambria"/>
          <w:sz w:val="24"/>
          <w:szCs w:val="24"/>
        </w:rPr>
        <w:t xml:space="preserve">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spacing w:after="140" w:line="300"/>
        <w:jc w:val="both"/>
      </w:pPr>
      <w:r>
        <w:rPr>
          <w:rFonts w:ascii="Cambria" w:cs="Cambria" w:eastAsia="Cambria" w:hAnsi="Cambria"/>
          <w:color w:val="E6007E"/>
          <w:sz w:val="24"/>
          <w:szCs w:val="24"/>
        </w:rPr>
        <w:t xml:space="preserve">In addition, trust cannot be regarded as static over time. A consent that was valid when initially approved may subsequently become invalid due to expiration, revocation, or a change in its authorised lifecycle state, and this temporal dimension is addressed by RO5.</w:t>
      </w:r>
    </w:p>
    <w:p>
      <w:pPr>
        <w:spacing w:after="140" w:line="300"/>
        <w:jc w:val="both"/>
      </w:pPr>
      <w:r>
        <w:rPr>
          <w:rFonts w:ascii="Cambria" w:cs="Cambria" w:eastAsia="Cambria" w:hAnsi="Cambria"/>
          <w:sz w:val="24"/>
          <w:szCs w:val="24"/>
        </w:rPr>
        <w:t xml:space="preserve">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w:t>
      </w:r>
    </w:p>
    <w:p>
      <w:pPr>
        <w:spacing w:after="140" w:line="300"/>
        <w:jc w:val="both"/>
      </w:pPr>
      <w:r>
        <w:rPr>
          <w:rFonts w:ascii="Cambria" w:cs="Cambria" w:eastAsia="Cambria" w:hAnsi="Cambria"/>
          <w:sz w:val="24"/>
          <w:szCs w:val="24"/>
        </w:rPr>
        <w:t xml:space="preserve">This separation establishes a clear progression between the current and subsequent stages of the research.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color w:val="0000CC"/>
          <w:sz w:val="24"/>
          <w:szCs w:val="24"/>
        </w:rPr>
        <w:t xml:space="preserve">In this report, the current stage denotes the work delivered at the CA2 milestone, and the next stage, referred to as CA3, denotes the subsequent research stage in which the remaining objectives are completed.</w:t>
      </w:r>
    </w:p>
    <w:p>
      <w:pPr>
        <w:spacing w:after="140" w:line="300"/>
        <w:jc w:val="both"/>
      </w:pPr>
      <w:r>
        <w:rPr>
          <w:rFonts w:ascii="Cambria" w:cs="Cambria" w:eastAsia="Cambria" w:hAnsi="Cambria"/>
          <w:sz w:val="24"/>
          <w:szCs w:val="24"/>
        </w:rP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in which these independently verifiable conditions contribute collectively to a defensible and explainable decision about whether a particular healthcare data-access request should be permitted.</w:t>
      </w:r>
    </w:p>
    <w:p>
      <w:pPr>
        <w:spacing w:after="140" w:line="300"/>
        <w:jc w:val="both"/>
      </w:pPr>
      <w:r>
        <w:rPr>
          <w:rFonts w:ascii="Cambria" w:cs="Cambria" w:eastAsia="Cambria" w:hAnsi="Cambria"/>
          <w:color w:val="0000CC"/>
          <w:sz w:val="24"/>
          <w:szCs w:val="24"/>
        </w:rPr>
        <w:t xml:space="preserve">The remainder of this report is organised as follows. Chapter 2 presents the systematic literature review and derives six requirements for trustworthy multi-party consent authorisation, Chapter 3 formulates the research gap and research questions, Chapter 4 states the research objectives, Chapter 5 describes the MVC-based research architecture, Chapter 6 presents the proposed solution, its algorithms and the live HALAH demonstration, and Chapters 7 to 9 report the current progress, publications and the research plan for the next stage.</w:t>
      </w:r>
    </w:p>
    <w:p>
      <w:pPr>
        <w:spacing w:after="140" w:line="300"/>
        <w:jc w:val="both"/>
      </w:pPr>
      <w:r>
        <w:rPr>
          <w:rFonts w:ascii="Cambria" w:cs="Cambria" w:eastAsia="Cambria" w:hAnsi="Cambria"/>
          <w:color w:val="0000CC"/>
          <w:sz w:val="24"/>
          <w:szCs w:val="24"/>
        </w:rPr>
        <w:t xml:space="preserve">It should be noted that the scope of the current stage is bounded. The HALAH prototype is deployed on the Ethereum Sepolia testnet with synthetic healthcare records, the guardian approval rule is currently implemented as N-of-N over the guardian set G, and the security properties of the framework are demonstrated through scenario-based, negative and adversarial testing rather than through formal proof, which is deferred to the next stage.</w:t>
      </w:r>
    </w:p>
    <w:p>
      <w:pPr>
        <w:keepNext/>
        <w:spacing w:after="80" w:before="160"/>
        <w:jc w:val="center"/>
      </w:pPr>
      <w:r>
        <w:rPr>
          <w:rFonts w:ascii="Cambria" w:cs="Cambria" w:eastAsia="Cambria" w:hAnsi="Cambria"/>
          <w:b/>
          <w:bCs/>
          <w:color w:val="000000"/>
          <w:sz w:val="21"/>
          <w:szCs w:val="21"/>
        </w:rPr>
        <w:t xml:space="preserve">Table 1: </w:t>
      </w:r>
      <w:r>
        <w:rPr>
          <w:rFonts w:ascii="Cambria" w:cs="Cambria" w:eastAsia="Cambria" w:hAnsi="Cambria"/>
          <w:color w:val="000000"/>
          <w:sz w:val="21"/>
          <w:szCs w:val="21"/>
        </w:rPr>
        <w:t xml:space="preserve">Research Scope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Stage</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Dimension</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Purpose and Core Objective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RO1: Trust-Centric Consent Model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decentralised identifiers and verifiable credentials while explicitly separating identity authentication from authorisation authority.</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trust by requiring multiple independently verified participants to satisfy predefined authorisation conditions before sensitive healthcare data access can be granted.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RO4: Policy- and Context-Aware Access Control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authorisation model with validity periods, expiration, revocation, and controlled consent-state transitions to support dynamic and lifecycle-aware trust evaluation.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 (empirical) / Next (formal)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and analyse the security and authorisation properties of the proposed framework and empirically evaluate the complete HALAH implementation using representative healthcare data-sharing, negative, and adversarial scenarios.</w:t>
            </w:r>
          </w:p>
        </w:tc>
      </w:tr>
    </w:tbl>
    <w:p>
      <w:pPr>
        <w:spacing w:after="180"/>
      </w:pPr>
    </w:p>
    <w:p>
      <w:pPr>
        <w:spacing w:after="140" w:line="300"/>
        <w:jc w:val="both"/>
      </w:pPr>
      <w:r>
        <w:rPr>
          <w:rFonts w:ascii="Cambria" w:cs="Cambria" w:eastAsia="Cambria" w:hAnsi="Cambria"/>
          <w:color w:val="000000"/>
          <w:sz w:val="24"/>
          <w:szCs w:val="24"/>
        </w:rPr>
        <w:t xml:space="preserve">Table 1 summarises the research dimensions, distinguishing those realised in the implemented HALAH prototype from the formal security assurance that remains for the subsequent research.</w:t>
      </w:r>
    </w:p>
    <w:p>
      <w:pPr>
        <w:pStyle w:val="Heading1"/>
        <w:pageBreakBefore/>
        <w:spacing w:after="160" w:before="400"/>
      </w:pPr>
      <w:r>
        <w:rPr>
          <w:rFonts w:ascii="Cambria" w:cs="Cambria" w:eastAsia="Cambria" w:hAnsi="Cambria"/>
          <w:sz w:val="24"/>
          <w:szCs w:val="24"/>
        </w:rPr>
        <w:t xml:space="preserve">2  Systematic Literature Review</w:t>
      </w:r>
    </w:p>
    <w:p>
      <w:pPr>
        <w:pStyle w:val="Heading2"/>
        <w:spacing w:after="160" w:before="280"/>
      </w:pPr>
      <w:r>
        <w:rPr>
          <w:rFonts w:ascii="Cambria" w:cs="Cambria" w:eastAsia="Cambria" w:hAnsi="Cambria"/>
          <w:sz w:val="24"/>
          <w:szCs w:val="24"/>
        </w:rPr>
        <w:t xml:space="preserve">2.1  Overview</w:t>
      </w:r>
    </w:p>
    <w:p>
      <w:pPr>
        <w:spacing w:after="140" w:line="300"/>
        <w:jc w:val="both"/>
      </w:pPr>
      <w:r>
        <w:rPr>
          <w:rFonts w:ascii="Cambria" w:cs="Cambria" w:eastAsia="Cambria" w:hAnsi="Cambria"/>
          <w:sz w:val="24"/>
          <w:szCs w:val="24"/>
        </w:rPr>
        <w:t xml:space="preserve">The systematic literature review examines the current state of research on trustworthy and decentralised data sharing, with particular attention to healthcare consent management, </w:t>
      </w:r>
      <w:r>
        <w:rPr>
          <w:rFonts w:ascii="Cambria" w:cs="Cambria" w:eastAsia="Cambria" w:hAnsi="Cambria"/>
          <w:color w:val="E6007E"/>
          <w:sz w:val="24"/>
          <w:szCs w:val="24"/>
        </w:rPr>
        <w:t xml:space="preserve">blockchain-based consent governance, decentralised identity and authority, multi-party authorisation, policy- and context-aware access control, temporal validity and consent lifecycle, and formal security assurance and empirical validation</w:t>
      </w:r>
      <w:r>
        <w:rPr>
          <w:rFonts w:ascii="Cambria" w:cs="Cambria" w:eastAsia="Cambria" w:hAnsi="Cambria"/>
          <w:sz w:val="24"/>
          <w:szCs w:val="24"/>
        </w:rPr>
        <w:t xml:space="preserve">.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spacing w:after="140" w:line="300"/>
        <w:jc w:val="both"/>
      </w:pPr>
      <w:r>
        <w:rPr>
          <w:rFonts w:ascii="Cambria" w:cs="Cambria" w:eastAsia="Cambria" w:hAnsi="Cambria"/>
          <w:sz w:val="24"/>
          <w:szCs w:val="24"/>
        </w:rP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w:t>
      </w:r>
      <w:r>
        <w:rPr>
          <w:rFonts w:ascii="Cambria" w:cs="Cambria" w:eastAsia="Cambria" w:hAnsi="Cambria"/>
          <w:color w:val="000000"/>
          <w:sz w:val="24"/>
          <w:szCs w:val="24"/>
        </w:rPr>
        <w:t xml:space="preserve">decentralised trust</w:t>
      </w:r>
      <w:r>
        <w:rPr>
          <w:rFonts w:ascii="Cambria" w:cs="Cambria" w:eastAsia="Cambria" w:hAnsi="Cambria"/>
          <w:sz w:val="24"/>
          <w:szCs w:val="24"/>
        </w:rPr>
        <w:t xml:space="preserve">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spacing w:after="140" w:line="300"/>
        <w:jc w:val="both"/>
      </w:pPr>
      <w:r>
        <w:rPr>
          <w:rFonts w:ascii="Cambria" w:cs="Cambria" w:eastAsia="Cambria" w:hAnsi="Cambria"/>
          <w:sz w:val="24"/>
          <w:szCs w:val="24"/>
        </w:rP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spacing w:after="140" w:line="300"/>
        <w:jc w:val="both"/>
      </w:pPr>
      <w:r>
        <w:rPr>
          <w:rFonts w:ascii="Cambria" w:cs="Cambria" w:eastAsia="Cambria" w:hAnsi="Cambria"/>
          <w:color w:val="000000"/>
          <w:sz w:val="24"/>
          <w:szCs w:val="24"/>
        </w:rPr>
        <w:t xml:space="preserve">The structure of this chapter is as follows. Section 2.2 presents the six key requirements that a trustworthy multi-party consent authorisation framework should satisfy, which serve as the basis of comparison throughout the review. Section 2.3 describes the process that was adopted to search, shortlist and categorise the studies, including the review questions, the databases, the search string, the eligibility criteria and the PRISMA-based selection. Section 2.4 reviews the shortlisted studies in six thematic streams and assesses each study against the six requirements. Section 2.5 synthesises the review and identifies the research gap from the requirement perspective, and Section 2.6 concludes the chapter.</w:t>
      </w:r>
    </w:p>
    <w:p>
      <w:pPr>
        <w:pStyle w:val="Heading2"/>
        <w:spacing w:after="160" w:before="280"/>
      </w:pPr>
      <w:r>
        <w:rPr>
          <w:rFonts w:ascii="Cambria" w:cs="Cambria" w:eastAsia="Cambria" w:hAnsi="Cambria"/>
          <w:color w:val="000000"/>
          <w:sz w:val="24"/>
          <w:szCs w:val="24"/>
        </w:rPr>
        <w:t xml:space="preserve">2.2  Key Requirements for Trustworthy Multi-Party Consent Authorisation</w:t>
      </w:r>
    </w:p>
    <w:p>
      <w:pPr>
        <w:spacing w:after="140" w:line="300"/>
        <w:jc w:val="both"/>
      </w:pPr>
      <w:r>
        <w:rPr>
          <w:rFonts w:ascii="Cambria" w:cs="Cambria" w:eastAsia="Cambria" w:hAnsi="Cambria"/>
          <w:color w:val="000000"/>
          <w:sz w:val="24"/>
          <w:szCs w:val="24"/>
        </w:rPr>
        <w:t xml:space="preserve">This section discusses the requirements that a trustworthy authorisation framework for multi-party patient consent should satisfy. These requirements form the basis on which the existing studies are compared in this SLR. They are derived from the research problem introduced in Chapter 1, and each of them corresponds to one of the six sub-research questions that are formulated in Chapter 3. A consent decision in healthcare is not a single event. It passes through three phases: the phase in which the consent is specified and approved, the phase in which it is enforced at the time of a data-access request, and the phase in which its validity is maintained or withdrawn over time. The six requirements below cover these three phases.</w:t>
      </w:r>
    </w:p>
    <w:p>
      <w:pPr>
        <w:pStyle w:val="Heading3"/>
        <w:spacing w:after="160" w:before="280"/>
      </w:pPr>
      <w:r>
        <w:rPr>
          <w:rFonts w:ascii="Cambria" w:cs="Cambria" w:eastAsia="Cambria" w:hAnsi="Cambria"/>
          <w:color w:val="000000"/>
          <w:sz w:val="24"/>
          <w:szCs w:val="24"/>
        </w:rPr>
        <w:t xml:space="preserve">2.2.1  Representation of consent as an evaluable authorisation object (Req: 1)</w:t>
      </w:r>
    </w:p>
    <w:p>
      <w:pPr>
        <w:spacing w:after="140" w:line="300"/>
        <w:jc w:val="both"/>
      </w:pPr>
      <w:r>
        <w:rPr>
          <w:rFonts w:ascii="Cambria" w:cs="Cambria" w:eastAsia="Cambria" w:hAnsi="Cambria"/>
          <w:color w:val="000000"/>
          <w:sz w:val="24"/>
          <w:szCs w:val="24"/>
        </w:rPr>
        <w:t xml:space="preserve">Patient consent is commonly stored as a permission record, a consent receipt, or a transaction on a ledger. Such a record establishes that a consent decision occurred, but it does not by itself state the conditions under which a later access request should be trusted. A trustworthy framework therefore requires that consent is represented as a structured object whose components, namely the participating identities, the authority requirements, the permitted purpose and data scope, the temporal validity, the jurisdiction and the supporting evidence, can be evaluated independently at the time of each request. This is important because the same consent may be valid for one request and invalid for another, depending on who is asking, for what purpose and at what time.</w:t>
      </w:r>
    </w:p>
    <w:p>
      <w:pPr>
        <w:pStyle w:val="Heading3"/>
        <w:spacing w:after="160" w:before="280"/>
      </w:pPr>
      <w:r>
        <w:rPr>
          <w:rFonts w:ascii="Cambria" w:cs="Cambria" w:eastAsia="Cambria" w:hAnsi="Cambria"/>
          <w:color w:val="000000"/>
          <w:sz w:val="24"/>
          <w:szCs w:val="24"/>
        </w:rPr>
        <w:t xml:space="preserve">2.2.2  Decentralised verification of identity and authority (Req: 2)</w:t>
      </w:r>
    </w:p>
    <w:p>
      <w:pPr>
        <w:spacing w:after="140" w:line="300"/>
        <w:jc w:val="both"/>
      </w:pPr>
      <w:r>
        <w:rPr>
          <w:rFonts w:ascii="Cambria" w:cs="Cambria" w:eastAsia="Cambria" w:hAnsi="Cambria"/>
          <w:color w:val="000000"/>
          <w:sz w:val="24"/>
          <w:szCs w:val="24"/>
        </w:rPr>
        <w:t xml:space="preserve">The participants in a consent decision, including the patient, the guardians, the healthcare professional and the institution, must be identifiable without relying on a single central identity provider. Decentralised identifiers and verifiable credentials provide this capability. A framework should, however, distinguish between establishing who a participant is and establishing what that participant is permitted to do. A verified identity does not imply authority over a patient's data. Consequently, a trustworthy framework requires that identity verification and authority verification are treated as separate conditions, each with its own evidence.</w:t>
      </w:r>
    </w:p>
    <w:p>
      <w:pPr>
        <w:pStyle w:val="Heading3"/>
        <w:spacing w:after="160" w:before="280"/>
      </w:pPr>
      <w:r>
        <w:rPr>
          <w:rFonts w:ascii="Cambria" w:cs="Cambria" w:eastAsia="Cambria" w:hAnsi="Cambria"/>
          <w:color w:val="000000"/>
          <w:sz w:val="24"/>
          <w:szCs w:val="24"/>
        </w:rPr>
        <w:t xml:space="preserve">2.2.3  Multi-party authorisation through a verifiable threshold (Req: 3)</w:t>
      </w:r>
    </w:p>
    <w:p>
      <w:pPr>
        <w:spacing w:after="140" w:line="300"/>
        <w:jc w:val="both"/>
      </w:pPr>
      <w:r>
        <w:rPr>
          <w:rFonts w:ascii="Cambria" w:cs="Cambria" w:eastAsia="Cambria" w:hAnsi="Cambria"/>
          <w:color w:val="000000"/>
          <w:sz w:val="24"/>
          <w:szCs w:val="24"/>
        </w:rPr>
        <w:t xml:space="preserve">In many healthcare situations, a single party cannot lawfully authorise access on its own. Access to the records of a minor, for example, may require the approval of more than one guardian. A framework should therefore support collective approval in which a predefined number of designated parties must each provide an independently verifiable approval before the consent becomes active. This requirement goes beyond a workflow in which several people click an approval button. The approval condition must be represented within the consent object and must be checkable by any party at a later time.</w:t>
      </w:r>
    </w:p>
    <w:p>
      <w:pPr>
        <w:pStyle w:val="Heading3"/>
        <w:spacing w:after="160" w:before="280"/>
      </w:pPr>
      <w:r>
        <w:rPr>
          <w:rFonts w:ascii="Cambria" w:cs="Cambria" w:eastAsia="Cambria" w:hAnsi="Cambria"/>
          <w:color w:val="000000"/>
          <w:sz w:val="24"/>
          <w:szCs w:val="24"/>
        </w:rPr>
        <w:t xml:space="preserve">2.2.4  Policy- and context-aware enforcement at the time of access (Req: 4)</w:t>
      </w:r>
    </w:p>
    <w:p>
      <w:pPr>
        <w:spacing w:after="140" w:line="300"/>
        <w:jc w:val="both"/>
      </w:pPr>
      <w:r>
        <w:rPr>
          <w:rFonts w:ascii="Cambria" w:cs="Cambria" w:eastAsia="Cambria" w:hAnsi="Cambria"/>
          <w:color w:val="000000"/>
          <w:sz w:val="24"/>
          <w:szCs w:val="24"/>
        </w:rPr>
        <w:t xml:space="preserve">Even when the identities are valid and the required approvals have been obtained, an access request should be granted only if it conforms to the purpose and the data scope that the patient authorised, and to the contextual constraints that apply to the request, such as the jurisdiction in which the data may be used. A framework should evaluate every request against these constraints rather than relying on the existence of a valid consent record. </w:t>
      </w:r>
      <w:r>
        <w:rPr>
          <w:rFonts w:ascii="Cambria" w:cs="Cambria" w:eastAsia="Cambria" w:hAnsi="Cambria"/>
          <w:color w:val="E6007E"/>
          <w:sz w:val="24"/>
          <w:szCs w:val="24"/>
        </w:rPr>
        <w:t xml:space="preserve">This is important because many unauthorised disclosures in practice are caused not by unknown requesters but by legitimate requesters who exceed the scope of what was permitted, which is the insider risk that risk-aware and usage-control models seek to address [11].</w:t>
      </w:r>
    </w:p>
    <w:p>
      <w:pPr>
        <w:pStyle w:val="Heading3"/>
        <w:spacing w:after="160" w:before="280"/>
      </w:pPr>
      <w:r>
        <w:rPr>
          <w:rFonts w:ascii="Cambria" w:cs="Cambria" w:eastAsia="Cambria" w:hAnsi="Cambria"/>
          <w:color w:val="000000"/>
          <w:sz w:val="24"/>
          <w:szCs w:val="24"/>
        </w:rPr>
        <w:t xml:space="preserve">2.2.5  Temporal validity and lifecycle control of consent (Req: 5)</w:t>
      </w:r>
    </w:p>
    <w:p>
      <w:pPr>
        <w:spacing w:after="140" w:line="300"/>
        <w:jc w:val="both"/>
      </w:pPr>
      <w:r>
        <w:rPr>
          <w:rFonts w:ascii="Cambria" w:cs="Cambria" w:eastAsia="Cambria" w:hAnsi="Cambria"/>
          <w:color w:val="000000"/>
          <w:sz w:val="24"/>
          <w:szCs w:val="24"/>
        </w:rPr>
        <w:t xml:space="preserve">Trust in a consent decision is not permanent. A consent may expire, may be revoked by the patient, or may pass through intermediate states before it becomes active. A framework should enforce the validity interval of a consent at every request, should make revocation effective immediately and verifiably, and should permit only controlled transitions between lifecycle states. Without this requirement, a consent that was valid when it was granted continues to authorise access long after the patient has withdrawn it.</w:t>
      </w:r>
    </w:p>
    <w:p>
      <w:pPr>
        <w:pStyle w:val="Heading3"/>
        <w:spacing w:after="160" w:before="280"/>
      </w:pPr>
      <w:r>
        <w:rPr>
          <w:rFonts w:ascii="Cambria" w:cs="Cambria" w:eastAsia="Cambria" w:hAnsi="Cambria"/>
          <w:color w:val="000000"/>
          <w:sz w:val="24"/>
          <w:szCs w:val="24"/>
        </w:rPr>
        <w:t xml:space="preserve">2.2.6  Verifiable auditability and security assurance (Req: 6)</w:t>
      </w:r>
    </w:p>
    <w:p>
      <w:pPr>
        <w:spacing w:after="140" w:line="300"/>
        <w:jc w:val="both"/>
      </w:pPr>
      <w:r>
        <w:rPr>
          <w:rFonts w:ascii="Cambria" w:cs="Cambria" w:eastAsia="Cambria" w:hAnsi="Cambria"/>
          <w:color w:val="000000"/>
          <w:sz w:val="24"/>
          <w:szCs w:val="24"/>
        </w:rPr>
        <w:t xml:space="preserve">Finally, every consent decision and every access decision should leave evidence that can be verified independently of the application that produced it. A tamper-evident ledger provides such evidence for the events themselves. In addition, the security properties of the framework, such as the impossibility of access after revocation or without sufficient approvals, should be validated, either formally or through systematic adversarial testing. A framework that only demonstrates the successful cases does not establish that the unsuccessful cases are correctly refused.</w:t>
      </w:r>
    </w:p>
    <w:p>
      <w:pPr>
        <w:spacing w:after="140" w:line="300"/>
        <w:jc w:val="both"/>
      </w:pPr>
      <w:r>
        <w:rPr>
          <w:rFonts w:ascii="Cambria" w:cs="Cambria" w:eastAsia="Cambria" w:hAnsi="Cambria"/>
          <w:color w:val="000000"/>
          <w:sz w:val="24"/>
          <w:szCs w:val="24"/>
        </w:rPr>
        <w:t xml:space="preserve">These six requirements form the basis of the investigation into the existing approaches in the literature. Therefore, the question of whether each reviewed study assists in addressing these requirements is answered in the study tables of Section 2.4 and in the gap analysis of Section 2.5. The next section details the process that was adopted to identify and shortlist the studies reviewed in this SLR.</w:t>
      </w:r>
    </w:p>
    <w:p>
      <w:pPr>
        <w:pStyle w:val="Heading2"/>
        <w:spacing w:after="160" w:before="280"/>
      </w:pPr>
      <w:r>
        <w:rPr>
          <w:rFonts w:ascii="Cambria" w:cs="Cambria" w:eastAsia="Cambria" w:hAnsi="Cambria"/>
          <w:sz w:val="24"/>
          <w:szCs w:val="24"/>
        </w:rPr>
        <w:t xml:space="preserve">2.3  Systematic Literature Review Methodology</w:t>
      </w:r>
    </w:p>
    <w:p>
      <w:pPr>
        <w:spacing w:after="140" w:line="300"/>
        <w:jc w:val="both"/>
      </w:pPr>
      <w:r>
        <w:rPr>
          <w:rFonts w:ascii="Cambria" w:cs="Cambria" w:eastAsia="Cambria" w:hAnsi="Cambria"/>
          <w:color w:val="0000CC"/>
          <w:sz w:val="24"/>
          <w:szCs w:val="24"/>
        </w:rPr>
        <w:t xml:space="preserve">The review corpus comprises the 44 primary studies [35]–[78] that were identified, screened and coded through the process described in the remainder of this section, together with three secondary studies [79, 80, 81] that were retained for background only and that are not counted as primary evidence. All 44 primary studies were published between 2020 and 2026, which is the publication period fixed in the review protocol. Of the 44 studies, 19 were retrieved through IEEE Xplore, 21 through Scopus, three through ProQuest and one through the ACM Digital Library, after the duplicate records that these databases share with SpringerLink, ScienceDirect and Web of Science had been removed. In the remainder of this chapter, each primary study is referred to by the label Sn (S1 to S44) together with its reference number, so that the reader can move between the tables, the text and the reference list without ambiguity. Of these 44 studies, 25 are analysed in depth in Section 2.4 and 19 are retained as supporting evidence, as explained in Section 2.3.6.</w:t>
      </w:r>
    </w:p>
    <w:p>
      <w:pPr>
        <w:pStyle w:val="Heading3"/>
        <w:spacing w:after="160" w:before="280"/>
      </w:pPr>
      <w:r>
        <w:rPr>
          <w:rFonts w:ascii="Cambria" w:cs="Cambria" w:eastAsia="Cambria" w:hAnsi="Cambria"/>
          <w:color w:val="0000CC"/>
          <w:sz w:val="24"/>
          <w:szCs w:val="24"/>
        </w:rPr>
        <w:t xml:space="preserve">2.3.1  Review Design and Reporting Framework</w:t>
      </w:r>
    </w:p>
    <w:p>
      <w:pPr>
        <w:spacing w:after="140" w:line="300"/>
        <w:jc w:val="both"/>
      </w:pPr>
      <w:r>
        <w:rPr>
          <w:rFonts w:ascii="Cambria" w:cs="Cambria" w:eastAsia="Cambria" w:hAnsi="Cambria"/>
          <w:color w:val="0000CC"/>
          <w:sz w:val="24"/>
          <w:szCs w:val="24"/>
        </w:rPr>
        <w:t xml:space="preserve">A systematic literature review (SLR) was conducted to identify, classify and critically evaluate existing research on trustworthy multi-party authorisation for patient consent in healthcare data sharing. The review was designed to establish the conceptual and technical foundations of the proposed framework, and to determine, for each of the key requirements defined in Section 2.2, the extent to which the existing approaches already satisfy that requirement. In particular, the review considered not only whether a study addresses consent representation, identity, multi-party approval, policy enforcement, temporal validity or security assurance, but also whether these mechanisms are integrated into a single authorisation decision that can be trusted.</w:t>
      </w:r>
    </w:p>
    <w:p>
      <w:pPr>
        <w:spacing w:after="140" w:line="300"/>
        <w:jc w:val="both"/>
      </w:pPr>
      <w:r>
        <w:rPr>
          <w:rFonts w:ascii="Cambria" w:cs="Cambria" w:eastAsia="Cambria" w:hAnsi="Cambria"/>
          <w:color w:val="0000CC"/>
          <w:sz w:val="24"/>
          <w:szCs w:val="24"/>
        </w:rPr>
        <w:t xml:space="preserve">The review process was structured according to the Preferred Reporting Items for Systematic Reviews and Meta-Analyses (PRISMA 2020) statement [34]. PRISMA 2020 was adopted to improve the transparency, reproducibility and traceability of the identification, screening, eligibility assessment and inclusion stages. The review was governed by a written protocol (Protocol v1.1), which fixed the review questions, the databases, the master search query, the inclusion and exclusion criteria, the data extraction codebook and the quality assessment items before any screening took place. All records, decisions and counts were maintained in a single PRISMA 2020 master workbook so that every number reported in this section can be traced to a record and to a decision.</w:t>
      </w:r>
    </w:p>
    <w:p>
      <w:pPr>
        <w:spacing w:after="140" w:line="300"/>
        <w:jc w:val="both"/>
      </w:pPr>
      <w:r>
        <w:rPr>
          <w:rFonts w:ascii="Cambria" w:cs="Cambria" w:eastAsia="Cambria" w:hAnsi="Cambria"/>
          <w:color w:val="0000CC"/>
          <w:sz w:val="24"/>
          <w:szCs w:val="24"/>
        </w:rPr>
        <w:t xml:space="preserve">Screening and coding were performed by a review panel of six members, each of whom was responsible for one perspective of the review, namely review methodology, trust modelling, identity and multi-party authorisation, policy and temporal enforcement, formal and empirical assurance, and a chair who issued the final decision on each record. Every exclusion carries a reason code (EC1 to EC9, defined in Section 2.3.5) and every inclusion carries the page reference on which the positive coding is based. Where a panel member disagreed with the chair, the dissent was recorded against the record and retained in the log rather than being overwritten. All panel decisions were entered in a decision log (D-001 to D-166) that records the date, the subject, the position of each panel member, the evidence cited and the outcome, and the author retained the right to ratify, veto or reopen any decision by its identifier. The counts reported in this chapter are those of the checkpoint of 10 September 2026 (decision D-166).</w:t>
      </w:r>
    </w:p>
    <w:p>
      <w:pPr>
        <w:pStyle w:val="Heading3"/>
        <w:spacing w:after="160" w:before="280"/>
      </w:pPr>
      <w:r>
        <w:rPr>
          <w:rFonts w:ascii="Cambria" w:cs="Cambria" w:eastAsia="Cambria" w:hAnsi="Cambria"/>
          <w:color w:val="0000CC"/>
          <w:sz w:val="24"/>
          <w:szCs w:val="24"/>
        </w:rPr>
        <w:t xml:space="preserve">2.3.2  Questions for Review</w:t>
      </w:r>
    </w:p>
    <w:p>
      <w:pPr>
        <w:spacing w:after="140" w:line="300"/>
        <w:jc w:val="both"/>
      </w:pPr>
      <w:r>
        <w:rPr>
          <w:rFonts w:ascii="Cambria" w:cs="Cambria" w:eastAsia="Cambria" w:hAnsi="Cambria"/>
          <w:color w:val="0000CC"/>
          <w:sz w:val="24"/>
          <w:szCs w:val="24"/>
        </w:rPr>
        <w:t xml:space="preserve">This systematic literature review is guided by the following seven questions, </w:t>
      </w:r>
      <w:r>
        <w:rPr>
          <w:rFonts w:ascii="Cambria" w:cs="Cambria" w:eastAsia="Cambria" w:hAnsi="Cambria"/>
          <w:color w:val="E6007E"/>
          <w:sz w:val="24"/>
          <w:szCs w:val="24"/>
        </w:rPr>
        <w:t xml:space="preserve">which correspond to the six sub-research questions and the six research objectives of this study, the sixth of which is addressed by two review questions</w:t>
      </w:r>
      <w:r>
        <w:rPr>
          <w:rFonts w:ascii="Cambria" w:cs="Cambria" w:eastAsia="Cambria" w:hAnsi="Cambria"/>
          <w:color w:val="0000CC"/>
          <w:sz w:val="24"/>
          <w:szCs w:val="24"/>
        </w:rPr>
        <w:t xml:space="preserve">:</w:t>
      </w:r>
    </w:p>
    <w:p>
      <w:pPr>
        <w:spacing w:after="140" w:line="300"/>
        <w:jc w:val="both"/>
      </w:pPr>
      <w:r>
        <w:rPr>
          <w:rFonts w:ascii="Cambria" w:cs="Cambria" w:eastAsia="Cambria" w:hAnsi="Cambria"/>
          <w:color w:val="0000CC"/>
          <w:sz w:val="24"/>
          <w:szCs w:val="24"/>
        </w:rPr>
        <w:t xml:space="preserve">1. How do existing systems represent patient consent, that is, as a static record of a decision that has occurred or as a dynamic authorisation object that can be evaluated at the time of access?</w:t>
      </w:r>
    </w:p>
    <w:p>
      <w:pPr>
        <w:spacing w:after="140" w:line="300"/>
        <w:jc w:val="both"/>
      </w:pPr>
      <w:r>
        <w:rPr>
          <w:rFonts w:ascii="Cambria" w:cs="Cambria" w:eastAsia="Cambria" w:hAnsi="Cambria"/>
          <w:color w:val="0000CC"/>
          <w:sz w:val="24"/>
          <w:szCs w:val="24"/>
        </w:rPr>
        <w:t xml:space="preserve">2. What mechanisms are used to establish the identity and the authority of the participants in a consent decision, and is authentication distinguished from authorisation?</w:t>
      </w:r>
    </w:p>
    <w:p>
      <w:pPr>
        <w:spacing w:after="140" w:line="300"/>
        <w:jc w:val="both"/>
      </w:pPr>
      <w:r>
        <w:rPr>
          <w:rFonts w:ascii="Cambria" w:cs="Cambria" w:eastAsia="Cambria" w:hAnsi="Cambria"/>
          <w:color w:val="0000CC"/>
          <w:sz w:val="24"/>
          <w:szCs w:val="24"/>
        </w:rPr>
        <w:t xml:space="preserve">3. How do existing systems support joint or multi-party patient authorisation, and what prevents a single party from authorising access unilaterally?</w:t>
      </w:r>
    </w:p>
    <w:p>
      <w:pPr>
        <w:spacing w:after="140" w:line="300"/>
        <w:jc w:val="both"/>
      </w:pPr>
      <w:r>
        <w:rPr>
          <w:rFonts w:ascii="Cambria" w:cs="Cambria" w:eastAsia="Cambria" w:hAnsi="Cambria"/>
          <w:color w:val="0000CC"/>
          <w:sz w:val="24"/>
          <w:szCs w:val="24"/>
        </w:rPr>
        <w:t xml:space="preserve">4. How are policy, purpose, role, data scope and context enforced within the authorisation decision, rather than merely recorded alongside it?</w:t>
      </w:r>
    </w:p>
    <w:p>
      <w:pPr>
        <w:spacing w:after="140" w:line="300"/>
        <w:jc w:val="both"/>
      </w:pPr>
      <w:r>
        <w:rPr>
          <w:rFonts w:ascii="Cambria" w:cs="Cambria" w:eastAsia="Cambria" w:hAnsi="Cambria"/>
          <w:color w:val="0000CC"/>
          <w:sz w:val="24"/>
          <w:szCs w:val="24"/>
        </w:rPr>
        <w:t xml:space="preserve">5. How are temporal validity, consent states, expiration, withdrawal, revocation and renewal managed after a consent has been granted?</w:t>
      </w:r>
    </w:p>
    <w:p>
      <w:pPr>
        <w:spacing w:after="140" w:line="300"/>
        <w:jc w:val="both"/>
      </w:pPr>
      <w:r>
        <w:rPr>
          <w:rFonts w:ascii="Cambria" w:cs="Cambria" w:eastAsia="Cambria" w:hAnsi="Cambria"/>
          <w:color w:val="0000CC"/>
          <w:sz w:val="24"/>
          <w:szCs w:val="24"/>
        </w:rPr>
        <w:t xml:space="preserve">6. How are the security properties of existing consent and access-control systems defined and validated against identity, authorisation, policy, replay, expiry and state attacks?</w:t>
      </w:r>
    </w:p>
    <w:p>
      <w:pPr>
        <w:spacing w:after="140" w:line="300"/>
        <w:jc w:val="both"/>
      </w:pPr>
      <w:r>
        <w:rPr>
          <w:rFonts w:ascii="Cambria" w:cs="Cambria" w:eastAsia="Cambria" w:hAnsi="Cambria"/>
          <w:color w:val="0000CC"/>
          <w:sz w:val="24"/>
          <w:szCs w:val="24"/>
        </w:rPr>
        <w:t xml:space="preserve">7. How are the proposed approaches implemented and empirically evaluated in terms of authorisation correctness, security behaviour, audit evidence, interoperability and performance?</w:t>
      </w:r>
    </w:p>
    <w:p>
      <w:pPr>
        <w:spacing w:after="140" w:line="300"/>
        <w:jc w:val="both"/>
      </w:pPr>
      <w:r>
        <w:rPr>
          <w:rFonts w:ascii="Cambria" w:cs="Cambria" w:eastAsia="Cambria" w:hAnsi="Cambria"/>
          <w:color w:val="0000CC"/>
          <w:sz w:val="24"/>
          <w:szCs w:val="24"/>
        </w:rPr>
        <w:t xml:space="preserve">Questions 1 to 5 correspond to Req 1 to Req 5 of Section 2.2 respectively, while Questions 6 and 7 together correspond to Req 6, which combines formal security assurance with empirical validation. In addition to these seven questions, the synthesis in Section 2.5 addresses an unnumbered gap-testing question, namely the extent to which any single study integrates all of the dimensions above in one validated authorisation mechanism. This question is not a review question in its own right, because it operationalises the research gap rather than a separate objective, and it is answered only after the seven questions have been answered for every included study. Therefore, the review focused on the relationship between the individual security mechanisms rather than treating identity, consent, multi-party approval, policy and lifecycle control as isolated technologies.</w:t>
      </w:r>
    </w:p>
    <w:p>
      <w:pPr>
        <w:pStyle w:val="Heading3"/>
        <w:spacing w:after="160" w:before="280"/>
      </w:pPr>
      <w:r>
        <w:rPr>
          <w:rFonts w:ascii="Cambria" w:cs="Cambria" w:eastAsia="Cambria" w:hAnsi="Cambria"/>
          <w:color w:val="0000CC"/>
          <w:sz w:val="24"/>
          <w:szCs w:val="24"/>
        </w:rPr>
        <w:t xml:space="preserve">2.3.3  Search Databases and Search Strategy</w:t>
      </w:r>
    </w:p>
    <w:p>
      <w:pPr>
        <w:spacing w:after="140" w:line="300"/>
        <w:jc w:val="both"/>
      </w:pPr>
      <w:r>
        <w:rPr>
          <w:rFonts w:ascii="Cambria" w:cs="Cambria" w:eastAsia="Cambria" w:hAnsi="Cambria"/>
          <w:color w:val="0000CC"/>
          <w:sz w:val="24"/>
          <w:szCs w:val="24"/>
        </w:rPr>
        <w:t xml:space="preserve">The literature search was conducted using the following seven academic databases: 1) IEEE Xplore, 2) SpringerLink, 3) ProQuest Science and Technology, 4) ScienceDirect, 5) Scopus, 6) Web of Science, and 7) ACM Digital Library. In addition, Google Scholar was used as a discovery arm for snowballing and for testing the sensitivity of the search, but not as a structured retrieval source; its results are reported under the PRISMA 2020 heading of records identified through other methods and are not summed into the database total.</w:t>
      </w:r>
    </w:p>
    <w:p>
      <w:pPr>
        <w:spacing w:after="140" w:line="300"/>
        <w:jc w:val="both"/>
      </w:pPr>
      <w:r>
        <w:rPr>
          <w:rFonts w:ascii="Cambria" w:cs="Cambria" w:eastAsia="Cambria" w:hAnsi="Cambria"/>
          <w:color w:val="0000CC"/>
          <w:sz w:val="24"/>
          <w:szCs w:val="24"/>
        </w:rPr>
        <w:t xml:space="preserve">These databases were selected because they provide complementary coverage of computer science, cybersecurity, distributed systems, healthcare informatics and information management research. IEEE Xplore and the ACM Digital Library were used to identify studies on multi-party trust architectures, cryptographic mechanisms, decentralised identity and access control. SpringerLink and ScienceDirect were used to identify research on healthcare information systems, privacy and data governance. ProQuest was included to capture peer-reviewed journal literature that is not indexed by the publisher databases. Scopus and Web of Science were used to improve the coverage of multidisciplinary and medical-informatics venues, which the sentinel test described in Section 2.3.4 confirmed to be necessary for the healthcare-oriented consent studies.</w:t>
      </w:r>
    </w:p>
    <w:p>
      <w:pPr>
        <w:spacing w:after="140" w:line="300"/>
        <w:jc w:val="both"/>
      </w:pPr>
      <w:r>
        <w:rPr>
          <w:rFonts w:ascii="Cambria" w:cs="Cambria" w:eastAsia="Cambria" w:hAnsi="Cambria"/>
          <w:color w:val="0000CC"/>
          <w:sz w:val="24"/>
          <w:szCs w:val="24"/>
        </w:rPr>
        <w:t xml:space="preserve">A single master query was defined and executed on every database, adapted only to the field syntax of each platform. The query consists of three concept blocks joined by the AND operator. The first block captures the healthcare data domain (healthcare, health care, health data, medical data, patient data, electronic health record, electronic medical record, EHR and EMR). The second block captures the consent and authorisation concepts (patient consent, consent management, dynamic consent, authorization, authorisation and access control). The third block captures the trust and multi-party concepts (trust, trustworthy, trusted, multi-party, multiparty, joint consent, guardian, threshold, decentralized, decentralised, blockchain, smart contract, decentralized identifier, verifiable credential and self-sovereign identity). Within each block the terms are joined by the OR operator, and both British and American spellings are included. The master query, as executed in the command search of IEEE Xplore over all metadata fields, is shown in Figure 1 and reads as follows:</w:t>
      </w:r>
    </w:p>
    <w:p>
      <w:pPr>
        <w:keepNext/>
        <w:spacing w:after="60" w:before="140"/>
        <w:jc w:val="center"/>
      </w:pPr>
      <w:r>
        <w:drawing>
          <wp:inline distT="0" distB="0" distL="0" distR="0">
            <wp:extent cx="5715000" cy="3219450"/>
            <wp:effectExtent t="0" r="0" b="0" l="0"/>
            <wp:docPr id="1" name="gfig1f.png" descr="Figure 1: SLR search string definition: the three concept blocks of the master query and their combination across the seven databases" title="Figure 1: SLR search string definition: the three concept blocks of the master query and their combination across the seven data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 SLR search string definition: the three concept blocks of the master query and their combination across the seven databases</w:t>
      </w:r>
    </w:p>
    <w:p>
      <w:pPr>
        <w:spacing w:after="140" w:line="300"/>
        <w:jc w:val="both"/>
      </w:pPr>
      <w:r>
        <w:rPr>
          <w:rFonts w:ascii="Cambria" w:cs="Cambria" w:eastAsia="Cambria" w:hAnsi="Cambria"/>
          <w:color w:val="0000CC"/>
          <w:sz w:val="24"/>
          <w:szCs w:val="24"/>
        </w:rPr>
        <w:t xml:space="preserve">"("healthcare" OR "health care" OR "health data" OR "medical data" OR "patient data" OR "electronic health record" OR "electronic medical record" OR EHR OR EMR) AND ("patient consent" OR "consent management" OR "dynamic consent" OR "authorization" OR "authorisation" OR "access control") AND ("trust" OR "trustworthy" OR "trusted" OR "multi-party" OR "multiparty" OR "joint consent" OR "guardian" OR "threshold" OR "decentralized" OR "decentralised" OR "blockchain" OR "smart contract" OR "decentralized identifier" OR "verifiable credential" OR "self-sovereign identity")"</w:t>
      </w:r>
    </w:p>
    <w:p>
      <w:pPr>
        <w:spacing w:after="140" w:line="300"/>
        <w:jc w:val="both"/>
      </w:pPr>
      <w:r>
        <w:rPr>
          <w:rFonts w:ascii="Cambria" w:cs="Cambria" w:eastAsia="Cambria" w:hAnsi="Cambria"/>
          <w:color w:val="0000CC"/>
          <w:sz w:val="24"/>
          <w:szCs w:val="24"/>
        </w:rPr>
        <w:t xml:space="preserve">The same three blocks were entered in the TITLE-ABS-KEY field of Scopus, in the Topic field of Web of Science, in the NOFT (all fields except full text) field of ProQuest, and in the Title, Abstract and Keyword fields of the ACM Digital Library. It should be noted that two platforms could not accept the full Boolean expression. SpringerLink rejected long nested queries, and the master query was therefore executed as five short sub-queries that pair the consent, access-control and verifiable-credential terms with the healthcare and blockchain terms. ScienceDirect limits the number of Boolean connectors, and the master query was likewise executed as five sub-queries in the title, abstract and keyword field, with residual term compressions documented. In both cases the within-source overlap between sub-queries was removed at merge, and the low marginal yield of ScienceDirect was expected because Scopus already indexes the same publisher content. For Google Scholar the query was compressed to the platform character limit. It should also be noted that the review protocol originally listed eight family-specific sensitivity queries for IEEE Xplore; these were superseded by the single master query and were never executed, and this is declared as a documented deviation from the protocol rather than an unexecuted step.</w:t>
      </w:r>
    </w:p>
    <w:p>
      <w:pPr>
        <w:pStyle w:val="Heading3"/>
        <w:spacing w:after="160" w:before="280"/>
      </w:pPr>
      <w:r>
        <w:rPr>
          <w:rFonts w:ascii="Cambria" w:cs="Cambria" w:eastAsia="Cambria" w:hAnsi="Cambria"/>
          <w:color w:val="0000CC"/>
          <w:sz w:val="24"/>
          <w:szCs w:val="24"/>
        </w:rPr>
        <w:t xml:space="preserve">2.3.4  Search Period and Search Execution</w:t>
      </w:r>
    </w:p>
    <w:p>
      <w:pPr>
        <w:spacing w:after="140" w:line="300"/>
        <w:jc w:val="both"/>
      </w:pPr>
      <w:r>
        <w:rPr>
          <w:rFonts w:ascii="Cambria" w:cs="Cambria" w:eastAsia="Cambria" w:hAnsi="Cambria"/>
          <w:color w:val="0000CC"/>
          <w:sz w:val="24"/>
          <w:szCs w:val="24"/>
        </w:rPr>
        <w:t xml:space="preserve">The search was restricted to studies published between January 2020 and the search date in 2026. This period was selected to capture the development of blockchain-based consent management, decentralised identity and consent-aware access control from the first fully decentralised multi-party consent proposals in 2020 onwards, while maintaining a contemporary evidence base. Earlier seminal studies, such as the 2016 MedRec proposal, fall outside this period by design and are considered only as background through snowballing, and this date-range decision is recorded in the protocol.</w:t>
      </w:r>
    </w:p>
    <w:p>
      <w:pPr>
        <w:spacing w:after="140" w:line="300"/>
        <w:jc w:val="both"/>
      </w:pPr>
      <w:r>
        <w:rPr>
          <w:rFonts w:ascii="Cambria" w:cs="Cambria" w:eastAsia="Cambria" w:hAnsi="Cambria"/>
          <w:color w:val="0000CC"/>
          <w:sz w:val="24"/>
          <w:szCs w:val="24"/>
        </w:rPr>
        <w:t xml:space="preserve">The searches were executed on 24 and 25 August 2026 for IEEE Xplore, Scopus, Web of Science, ProQuest, ScienceDirect, SpringerLink and Google Scholar, and on 5 September 2026 for the ACM Digital Library, </w:t>
      </w:r>
      <w:r>
        <w:rPr>
          <w:rFonts w:ascii="Cambria" w:cs="Cambria" w:eastAsia="Cambria" w:hAnsi="Cambria"/>
          <w:color w:val="E6007E"/>
          <w:sz w:val="24"/>
          <w:szCs w:val="24"/>
        </w:rPr>
        <w:t xml:space="preserve">which was added as a late arm after the six other database searches had been frozen, and this late addition is declared as a limitation of the search strategy</w:t>
      </w:r>
      <w:r>
        <w:rPr>
          <w:rFonts w:ascii="Cambria" w:cs="Cambria" w:eastAsia="Cambria" w:hAnsi="Cambria"/>
          <w:color w:val="0000CC"/>
          <w:sz w:val="24"/>
          <w:szCs w:val="24"/>
        </w:rPr>
        <w:t xml:space="preserve">. Each query was frozen with a search identifier and a version number (IEEE-M v2, SCOPUS-M v3, WOS-M v2, PROQ-M v2, SD-M v2, SPR-M v3, GS-M v2 and ACM-M v1) before its export was accepted, and a changed query was always recorded as a new version rather than overwriting the previous one. Superseded versions were archived with their cause; for example, the first two Scopus versions were rejected because a subject-area limit had removed the medical-venue records, and an initial ProQuest run over the full text was rejected because its scope was inconsistent with the title, abstract and keyword scope of the other databases. The document-type filters (journal articles and conference papers) and the English-language filter were applied within each platform where available.</w:t>
      </w:r>
    </w:p>
    <w:p>
      <w:pPr>
        <w:spacing w:after="140" w:line="300"/>
        <w:jc w:val="both"/>
      </w:pPr>
      <w:r>
        <w:rPr>
          <w:rFonts w:ascii="Cambria" w:cs="Cambria" w:eastAsia="Cambria" w:hAnsi="Cambria"/>
          <w:color w:val="0000CC"/>
          <w:sz w:val="24"/>
          <w:szCs w:val="24"/>
        </w:rPr>
        <w:t xml:space="preserve">The exported records were merged into a single screening register. IEEE Xplore returned 1,806 records, of which 1,805 were captured in two export batches merged by DOI. SpringerLink returned 2,895 records across the five sub-queries, exported in seven batches without abstracts because of a platform limitation, and reduced to 2,515 records after within-source deduplication. ProQuest returned 1,180 records, ScienceDirect 65 records (23 after within-source deduplication), Scopus 2,133 records, Web of Science 1,137 records, which had to be exported by e-mail because the direct download was blocked by the library proxy, and the ACM Digital Library 40 records. Google Scholar returned approximately 8,160 results, of which the first 100 by relevance were screened manually under a pre-declared stopping rule and recorded by screenshot. Duplicate records across databases were identified first by DOI and then by normalised title, and the most complete bibliographic record was retained.</w:t>
      </w:r>
    </w:p>
    <w:p>
      <w:pPr>
        <w:spacing w:after="140" w:line="300"/>
        <w:jc w:val="both"/>
      </w:pPr>
      <w:r>
        <w:rPr>
          <w:rFonts w:ascii="Cambria" w:cs="Cambria" w:eastAsia="Cambria" w:hAnsi="Cambria"/>
          <w:color w:val="0000CC"/>
          <w:sz w:val="24"/>
          <w:szCs w:val="24"/>
        </w:rPr>
        <w:t xml:space="preserve">The purpose of the sentinel test was to validate the recall of the master query before it was frozen. Twelve sentinel papers that were already known to be relevant to the review questions, each representing one trust dimension, were defined in advance, and the frozen query was tested for whether it retrieved each of them. The four healthcare-scoped sentinels, namely Madine et al. [53], Jaiman and Urovi [49], Tith et al. [71] and Albalwy et al. [37], were retrieved by the master query, the first two through IEEE Xplore and all four through Scopus, Web of Science and ProQuest, and all four were present in the merged register. The sentinels that were not retrieved were diagnosed individually: </w:t>
      </w:r>
      <w:r>
        <w:rPr>
          <w:rFonts w:ascii="Cambria" w:cs="Cambria" w:eastAsia="Cambria" w:hAnsi="Cambria"/>
          <w:color w:val="E6007E"/>
          <w:sz w:val="24"/>
          <w:szCs w:val="24"/>
        </w:rPr>
        <w:t xml:space="preserve">in five of the eight cases the paper is not healthcare-scoped in its title, abstract and keywords, or it is an identity-generic study in which healthcare is only an application domain, so that the healthcare block of the query correctly excludes it; one sentinel lacks the trust and multi-party terms of the third block; one is the 2016 MedRec proposal, which lies outside the date range by design; and for one sentinel the cause of the miss had not been established at the checkpoint and is recorded as an open item</w:t>
      </w:r>
      <w:r>
        <w:rPr>
          <w:rFonts w:ascii="Cambria" w:cs="Cambria" w:eastAsia="Cambria" w:hAnsi="Cambria"/>
          <w:color w:val="0000CC"/>
          <w:sz w:val="24"/>
          <w:szCs w:val="24"/>
        </w:rPr>
        <w:t xml:space="preserve">. These misses were therefore attributed to venue or scope and not to a defect of the query, and the protocol rule that no query is tuned to rescue a single paper was observed; such papers enter the review only through snowballing. Therefore, the sentinel test provides the recall evidence for the master query in place of the family-specific sensitivity searches that were not executed.</w:t>
      </w:r>
    </w:p>
    <w:p>
      <w:pPr>
        <w:pStyle w:val="Heading3"/>
        <w:spacing w:after="160" w:before="280"/>
      </w:pPr>
      <w:r>
        <w:rPr>
          <w:rFonts w:ascii="Cambria" w:cs="Cambria" w:eastAsia="Cambria" w:hAnsi="Cambria"/>
          <w:color w:val="0000CC"/>
          <w:sz w:val="24"/>
          <w:szCs w:val="24"/>
        </w:rPr>
        <w:t xml:space="preserve">2.3.5  Eligibility Criteria</w:t>
      </w:r>
    </w:p>
    <w:p>
      <w:pPr>
        <w:spacing w:after="140" w:line="300"/>
        <w:jc w:val="both"/>
      </w:pPr>
      <w:r>
        <w:rPr>
          <w:rFonts w:ascii="Cambria" w:cs="Cambria" w:eastAsia="Cambria" w:hAnsi="Cambria"/>
          <w:color w:val="0000CC"/>
          <w:sz w:val="24"/>
          <w:szCs w:val="24"/>
        </w:rPr>
        <w:t xml:space="preserve">The eligibility criteria were defined in the review protocol before the screening process began, to ensure consistency in the selection of studies across the title, abstract and full-text stages. The criteria were designed to identify research that is directly relevant to the review questions, and each exclusion decision in the screening register carries the code of the criterion under which it was made.</w:t>
      </w:r>
    </w:p>
    <w:p>
      <w:pPr>
        <w:spacing w:after="140" w:line="300"/>
        <w:jc w:val="both"/>
      </w:pPr>
      <w:r>
        <w:rPr>
          <w:rFonts w:ascii="Cambria" w:cs="Cambria" w:eastAsia="Cambria" w:hAnsi="Cambria"/>
          <w:color w:val="0000CC"/>
          <w:sz w:val="24"/>
          <w:szCs w:val="24"/>
        </w:rPr>
        <w:t xml:space="preserve">A study was included if it satisfied all of the following criteria:</w:t>
      </w:r>
    </w:p>
    <w:p>
      <w:pPr>
        <w:spacing w:after="140" w:line="300"/>
        <w:jc w:val="both"/>
      </w:pPr>
      <w:r>
        <w:rPr>
          <w:rFonts w:ascii="Cambria" w:cs="Cambria" w:eastAsia="Cambria" w:hAnsi="Cambria"/>
          <w:color w:val="0000CC"/>
          <w:sz w:val="24"/>
          <w:szCs w:val="24"/>
        </w:rPr>
        <w:t xml:space="preserve">1. IC1: Addresses healthcare, health/patient/clinical/medical data, EHR/EMR or closely related healthcare information systems.</w:t>
      </w:r>
    </w:p>
    <w:p>
      <w:pPr>
        <w:spacing w:after="140" w:line="300"/>
        <w:jc w:val="both"/>
      </w:pPr>
      <w:r>
        <w:rPr>
          <w:rFonts w:ascii="Cambria" w:cs="Cambria" w:eastAsia="Cambria" w:hAnsi="Cambria"/>
          <w:color w:val="0000CC"/>
          <w:sz w:val="24"/>
          <w:szCs w:val="24"/>
        </w:rPr>
        <w:t xml:space="preserve">2. IC2: Addresses patient consent, authorization, access control, trust, authority, permission or governance relevant to data access.</w:t>
      </w:r>
    </w:p>
    <w:p>
      <w:pPr>
        <w:spacing w:after="140" w:line="300"/>
        <w:jc w:val="both"/>
      </w:pPr>
      <w:r>
        <w:rPr>
          <w:rFonts w:ascii="Cambria" w:cs="Cambria" w:eastAsia="Cambria" w:hAnsi="Cambria"/>
          <w:color w:val="0000CC"/>
          <w:sz w:val="24"/>
          <w:szCs w:val="24"/>
        </w:rPr>
        <w:t xml:space="preserve">3. IC3: Contributes a mechanism, architecture, model, protocol, algorithm, formal model, implemented system or empirical evaluation relevant to at least one SLR review question.</w:t>
      </w:r>
    </w:p>
    <w:p>
      <w:pPr>
        <w:spacing w:after="140" w:line="300"/>
        <w:jc w:val="both"/>
      </w:pPr>
      <w:r>
        <w:rPr>
          <w:rFonts w:ascii="Cambria" w:cs="Cambria" w:eastAsia="Cambria" w:hAnsi="Cambria"/>
          <w:color w:val="0000CC"/>
          <w:sz w:val="24"/>
          <w:szCs w:val="24"/>
        </w:rPr>
        <w:t xml:space="preserve">4. IC4: Peer-reviewed journal or conference paper.</w:t>
      </w:r>
    </w:p>
    <w:p>
      <w:pPr>
        <w:spacing w:after="140" w:line="300"/>
        <w:jc w:val="both"/>
      </w:pPr>
      <w:r>
        <w:rPr>
          <w:rFonts w:ascii="Cambria" w:cs="Cambria" w:eastAsia="Cambria" w:hAnsi="Cambria"/>
          <w:color w:val="0000CC"/>
          <w:sz w:val="24"/>
          <w:szCs w:val="24"/>
        </w:rPr>
        <w:t xml:space="preserve">5. IC5: Available in English.</w:t>
      </w:r>
    </w:p>
    <w:p>
      <w:pPr>
        <w:spacing w:after="140" w:line="300"/>
        <w:jc w:val="both"/>
      </w:pPr>
      <w:r>
        <w:rPr>
          <w:rFonts w:ascii="Cambria" w:cs="Cambria" w:eastAsia="Cambria" w:hAnsi="Cambria"/>
          <w:color w:val="0000CC"/>
          <w:sz w:val="24"/>
          <w:szCs w:val="24"/>
        </w:rPr>
        <w:t xml:space="preserve">6. IC6: Full text available for final inclusion.</w:t>
      </w:r>
    </w:p>
    <w:p>
      <w:pPr>
        <w:spacing w:after="140" w:line="300"/>
        <w:jc w:val="both"/>
      </w:pPr>
      <w:r>
        <w:rPr>
          <w:rFonts w:ascii="Cambria" w:cs="Cambria" w:eastAsia="Cambria" w:hAnsi="Cambria"/>
          <w:color w:val="0000CC"/>
          <w:sz w:val="24"/>
          <w:szCs w:val="24"/>
        </w:rPr>
        <w:t xml:space="preserve">7. IC7: Within the protocol publication period (2020–2026) except separately documented seminal/snowball studies.</w:t>
      </w:r>
    </w:p>
    <w:p>
      <w:pPr>
        <w:spacing w:after="140" w:line="300"/>
        <w:jc w:val="both"/>
      </w:pPr>
      <w:r>
        <w:rPr>
          <w:rFonts w:ascii="Cambria" w:cs="Cambria" w:eastAsia="Cambria" w:hAnsi="Cambria"/>
          <w:color w:val="0000CC"/>
          <w:sz w:val="24"/>
          <w:szCs w:val="24"/>
        </w:rPr>
        <w:t xml:space="preserve">A study was excluded if it satisfied one or more of the following criteria:</w:t>
      </w:r>
    </w:p>
    <w:p>
      <w:pPr>
        <w:spacing w:after="140" w:line="300"/>
        <w:jc w:val="both"/>
      </w:pPr>
      <w:r>
        <w:rPr>
          <w:rFonts w:ascii="Cambria" w:cs="Cambria" w:eastAsia="Cambria" w:hAnsi="Cambria"/>
          <w:color w:val="0000CC"/>
          <w:sz w:val="24"/>
          <w:szCs w:val="24"/>
        </w:rPr>
        <w:t xml:space="preserve">1. EC1: Outside healthcare.</w:t>
      </w:r>
    </w:p>
    <w:p>
      <w:pPr>
        <w:spacing w:after="140" w:line="300"/>
        <w:jc w:val="both"/>
      </w:pPr>
      <w:r>
        <w:rPr>
          <w:rFonts w:ascii="Cambria" w:cs="Cambria" w:eastAsia="Cambria" w:hAnsi="Cambria"/>
          <w:color w:val="0000CC"/>
          <w:sz w:val="24"/>
          <w:szCs w:val="24"/>
        </w:rPr>
        <w:t xml:space="preserve">2. EC2: General blockchain/identity/security/privacy with no meaningful authorization/access-control/consent relevance.</w:t>
      </w:r>
    </w:p>
    <w:p>
      <w:pPr>
        <w:spacing w:after="140" w:line="300"/>
        <w:jc w:val="both"/>
      </w:pPr>
      <w:r>
        <w:rPr>
          <w:rFonts w:ascii="Cambria" w:cs="Cambria" w:eastAsia="Cambria" w:hAnsi="Cambria"/>
          <w:color w:val="0000CC"/>
          <w:sz w:val="24"/>
          <w:szCs w:val="24"/>
        </w:rPr>
        <w:t xml:space="preserve">3. EC3: Blockchain consensus but not authorization trust.</w:t>
      </w:r>
    </w:p>
    <w:p>
      <w:pPr>
        <w:spacing w:after="140" w:line="300"/>
        <w:jc w:val="both"/>
      </w:pPr>
      <w:r>
        <w:rPr>
          <w:rFonts w:ascii="Cambria" w:cs="Cambria" w:eastAsia="Cambria" w:hAnsi="Cambria"/>
          <w:color w:val="0000CC"/>
          <w:sz w:val="24"/>
          <w:szCs w:val="24"/>
        </w:rPr>
        <w:t xml:space="preserve">4. EC4: Identity authentication only; no meaningful healthcare authorization relevance.</w:t>
      </w:r>
    </w:p>
    <w:p>
      <w:pPr>
        <w:spacing w:after="140" w:line="300"/>
        <w:jc w:val="both"/>
      </w:pPr>
      <w:r>
        <w:rPr>
          <w:rFonts w:ascii="Cambria" w:cs="Cambria" w:eastAsia="Cambria" w:hAnsi="Cambria"/>
          <w:color w:val="0000CC"/>
          <w:sz w:val="24"/>
          <w:szCs w:val="24"/>
        </w:rPr>
        <w:t xml:space="preserve">5. EC5: Editorial, poster, presentation, magazine, news, tutorial or non-peer-reviewed item.</w:t>
      </w:r>
    </w:p>
    <w:p>
      <w:pPr>
        <w:spacing w:after="140" w:line="300"/>
        <w:jc w:val="both"/>
      </w:pPr>
      <w:r>
        <w:rPr>
          <w:rFonts w:ascii="Cambria" w:cs="Cambria" w:eastAsia="Cambria" w:hAnsi="Cambria"/>
          <w:color w:val="0000CC"/>
          <w:sz w:val="24"/>
          <w:szCs w:val="24"/>
        </w:rPr>
        <w:t xml:space="preserve">6. EC6: Duplicate publication.</w:t>
      </w:r>
    </w:p>
    <w:p>
      <w:pPr>
        <w:spacing w:after="140" w:line="300"/>
        <w:jc w:val="both"/>
      </w:pPr>
      <w:r>
        <w:rPr>
          <w:rFonts w:ascii="Cambria" w:cs="Cambria" w:eastAsia="Cambria" w:hAnsi="Cambria"/>
          <w:color w:val="0000CC"/>
          <w:sz w:val="24"/>
          <w:szCs w:val="24"/>
        </w:rPr>
        <w:t xml:space="preserve">7. EC7: Secondary review (kept separately for background/snowballing).</w:t>
      </w:r>
    </w:p>
    <w:p>
      <w:pPr>
        <w:spacing w:after="140" w:line="300"/>
        <w:jc w:val="both"/>
      </w:pPr>
      <w:r>
        <w:rPr>
          <w:rFonts w:ascii="Cambria" w:cs="Cambria" w:eastAsia="Cambria" w:hAnsi="Cambria"/>
          <w:color w:val="0000CC"/>
          <w:sz w:val="24"/>
          <w:szCs w:val="24"/>
        </w:rPr>
        <w:t xml:space="preserve">8. EC8: Full text unobtainable after reasonable attempts.</w:t>
      </w:r>
    </w:p>
    <w:p>
      <w:pPr>
        <w:spacing w:after="140" w:line="300"/>
        <w:jc w:val="both"/>
      </w:pPr>
      <w:r>
        <w:rPr>
          <w:rFonts w:ascii="Cambria" w:cs="Cambria" w:eastAsia="Cambria" w:hAnsi="Cambria"/>
          <w:color w:val="0000CC"/>
          <w:sz w:val="24"/>
          <w:szCs w:val="24"/>
        </w:rPr>
        <w:t xml:space="preserve">9. EC9: Superficial mention of healthcare or consent; no evidence for SLR questions.</w:t>
      </w:r>
    </w:p>
    <w:p>
      <w:pPr>
        <w:spacing w:after="140" w:line="300"/>
        <w:jc w:val="both"/>
      </w:pPr>
      <w:r>
        <w:rPr>
          <w:rFonts w:ascii="Cambria" w:cs="Cambria" w:eastAsia="Cambria" w:hAnsi="Cambria"/>
          <w:color w:val="0000CC"/>
          <w:sz w:val="24"/>
          <w:szCs w:val="24"/>
        </w:rPr>
        <w:t xml:space="preserve">Two rules governed the application of these criteria. First, a study was never excluded because it does not support the proposed research gap; the criteria concern relevance, document type and availability only, and a study whose findings contradict or weaken the gap was retained and coded in the same way as any other study. Second, any record whose eligibility was uncertain at a given stage was advanced to the next stage rather than excluded. In this context, it should be noted that several word-sense traps were identified during calibration and were frozen as screening rules: regulatory or insurance authorisation is not data authorisation, blockchain consensus is not consent, encryption is not authorisation, and informed consent to a clinical procedure without a data-access dimension falls under EC9. Secondary reviews excluded under EC7 were kept in a separate list for backward snowballing, and three of them [79, 80, 81] are cited as background in this chapter.</w:t>
      </w:r>
    </w:p>
    <w:p>
      <w:pPr>
        <w:pStyle w:val="Heading3"/>
        <w:spacing w:after="160" w:before="280"/>
      </w:pPr>
      <w:r>
        <w:rPr>
          <w:rFonts w:ascii="Cambria" w:cs="Cambria" w:eastAsia="Cambria" w:hAnsi="Cambria"/>
          <w:color w:val="0000CC"/>
          <w:sz w:val="24"/>
          <w:szCs w:val="24"/>
        </w:rPr>
        <w:t xml:space="preserve">2.3.6  Screening and Study Selection</w:t>
      </w:r>
    </w:p>
    <w:p>
      <w:pPr>
        <w:spacing w:after="140" w:line="300"/>
        <w:jc w:val="both"/>
      </w:pPr>
      <w:r>
        <w:rPr>
          <w:rFonts w:ascii="Cambria" w:cs="Cambria" w:eastAsia="Cambria" w:hAnsi="Cambria"/>
          <w:color w:val="0000CC"/>
          <w:sz w:val="24"/>
          <w:szCs w:val="24"/>
        </w:rPr>
        <w:t xml:space="preserve">The screening process consisted of four sequential stages: deduplication, title screening, abstract screening and full-text eligibility assessment. The counts reported below are those recorded in the PRISMA 2020 master workbook at the checkpoint of 10 September 2026 (decision D-166), and the arithmetic of each stage was verified against the screening register.</w:t>
      </w:r>
    </w:p>
    <w:p>
      <w:pPr>
        <w:spacing w:after="140" w:line="300"/>
        <w:jc w:val="both"/>
      </w:pPr>
      <w:r>
        <w:rPr>
          <w:rFonts w:ascii="Cambria" w:cs="Cambria" w:eastAsia="Cambria" w:hAnsi="Cambria"/>
          <w:color w:val="0000CC"/>
          <w:sz w:val="24"/>
          <w:szCs w:val="24"/>
        </w:rPr>
        <w:t xml:space="preserve">In the identification stage, the seven database searches returned 9,256 records (IEEE Xplore 1,806; SpringerLink 2,895; ProQuest 1,180; ScienceDirect 65; Scopus 2,133; Web of Science 1,137; ACM Digital Library 40). The Google Scholar discovery arm returned approximately 8,160 results, of which the first 100 were screened; the candidates identified in this way were checked by DOI against the merged register and are reported separately as records identified through other methods. Before screening, </w:t>
      </w:r>
      <w:r>
        <w:rPr>
          <w:rFonts w:ascii="Cambria" w:cs="Cambria" w:eastAsia="Cambria" w:hAnsi="Cambria"/>
          <w:color w:val="E6007E"/>
          <w:sz w:val="24"/>
          <w:szCs w:val="24"/>
        </w:rPr>
        <w:t xml:space="preserve">422 within-source duplicates from the SpringerLink and ScienceDirect sub-queries, together with the one IEEE Xplore record that was not captured at the export boundary (423 records in total),</w:t>
      </w:r>
      <w:r>
        <w:rPr>
          <w:rFonts w:ascii="Cambria" w:cs="Cambria" w:eastAsia="Cambria" w:hAnsi="Cambria"/>
          <w:color w:val="0000CC"/>
          <w:sz w:val="24"/>
          <w:szCs w:val="24"/>
        </w:rPr>
        <w:t xml:space="preserve"> and 2,794 cross-database duplicates were removed by DOI and normalised-title matching, leaving 6,039 unique records.</w:t>
      </w:r>
    </w:p>
    <w:p>
      <w:pPr>
        <w:spacing w:after="140" w:line="300"/>
        <w:jc w:val="both"/>
      </w:pPr>
      <w:r>
        <w:rPr>
          <w:rFonts w:ascii="Cambria" w:cs="Cambria" w:eastAsia="Cambria" w:hAnsi="Cambria"/>
          <w:color w:val="0000CC"/>
          <w:sz w:val="24"/>
          <w:szCs w:val="24"/>
        </w:rPr>
        <w:t xml:space="preserve">In the title stage, the panel first calibrated the screening rules on a set of 48 records, adjudicated the contested cases and froze the ruleset before the bulk screen was executed. Of the 6,039 titles screened, 2,910 were excluded, namely 1,396 under EC9 (clinical or health studies with no authorisation signal), 1,268 under EC1 (outside healthcare), 199 under EC7 (secondary reviews, moved to the snowballing list) and 47 under EC5 (front matter and non-peer-reviewed items). Every title exclusion was delivered with its reason code for a veto window, during which an adversarial rescue sweep returned 125 records to the uncertain category. The remaining 3,129 records advanced to the abstract stage.</w:t>
      </w:r>
    </w:p>
    <w:p>
      <w:pPr>
        <w:spacing w:after="140" w:line="300"/>
        <w:jc w:val="both"/>
      </w:pPr>
      <w:r>
        <w:rPr>
          <w:rFonts w:ascii="Cambria" w:cs="Cambria" w:eastAsia="Cambria" w:hAnsi="Cambria"/>
          <w:color w:val="0000CC"/>
          <w:sz w:val="24"/>
          <w:szCs w:val="24"/>
        </w:rPr>
        <w:t xml:space="preserve">In the abstract stage, the ruleset was frozen after three audit passes, which added a centrality test (the consent or authorisation concept must be central to the contribution and not mentioned in passing) and the word-sense traps noted in Section 2.3.5. Of the 3,129 records, 2,541 abstracts were screened and 741 were excluded, in the majority of cases under EC2 (no consent or authorisation relevance), with smaller groups under EC7 and EC9. The remaining 588 records, 575 of them from SpringerLink, could not be screened at this stage because the SpringerLink export does not contain abstracts; these records were marked as pending and were not advanced, and they are reported as such in the flow diagram rather than being counted as screened or excluded. Therefore, 1,800 records advanced to full-text retrieval.</w:t>
      </w:r>
    </w:p>
    <w:p>
      <w:pPr>
        <w:spacing w:after="140" w:line="300"/>
        <w:jc w:val="both"/>
      </w:pPr>
      <w:r>
        <w:rPr>
          <w:rFonts w:ascii="Cambria" w:cs="Cambria" w:eastAsia="Cambria" w:hAnsi="Cambria"/>
          <w:color w:val="0000CC"/>
          <w:sz w:val="24"/>
          <w:szCs w:val="24"/>
        </w:rPr>
        <w:t xml:space="preserve">Because the full-text pool of 1,800 records was too large to be read exhaustively within the study period, it was prioritised by signal detectors applied to the title and abstract of each record for the seven trust dimensions T1 to T7, the consent-core terms, formal-verification terms and evaluation terms. Tier A (39 records) comprises the records that combine a consent-core signal with at least three trust dimensions, or a multi-party signal with a consent-core signal, or a formal-verification signal with a consent-core signal. Tier B (1,066 records) comprises the records that carry a consent-core, multi-party or formal signal, or at least two trust-dimension signals, and Tier C (695 records) comprises the remainder. All 39 Tier A records were assessed at full text. Tier B and Tier C records were then read in a targeted order under a dimension-level saturation rule, under which saturation of a dimension is declared when eight consecutively coded studies carrying a positive signal for that dimension yield no new mechanism class for it; saturation is declared per dimension and never for the corpus as a whole. It should be noted that this prioritised full-text coding of Tiers B and C continues after the checkpoint under the same rule, and that the counts reported here are therefore those of the checkpoint of 10 September 2026.</w:t>
      </w:r>
    </w:p>
    <w:p>
      <w:pPr>
        <w:spacing w:after="140" w:line="300"/>
        <w:jc w:val="both"/>
      </w:pPr>
      <w:r>
        <w:rPr>
          <w:rFonts w:ascii="Cambria" w:cs="Cambria" w:eastAsia="Cambria" w:hAnsi="Cambria"/>
          <w:color w:val="0000CC"/>
          <w:sz w:val="24"/>
          <w:szCs w:val="24"/>
        </w:rPr>
        <w:t xml:space="preserve">Therefore, 1,735 of the 1,800 records sought at full text had not been assessed at the checkpoint, in addition to the 588 pending-abstract records that had not been screened. The completeness of the corpus is consequently bounded by the dimension-level saturation rule rather than by exhaustive reading, and this is declared as a limitation of the review that is carried into the interpretation of the synthesis in Section 2.5.</w:t>
      </w:r>
    </w:p>
    <w:p>
      <w:pPr>
        <w:spacing w:after="140" w:line="300"/>
        <w:jc w:val="both"/>
      </w:pPr>
      <w:r>
        <w:rPr>
          <w:rFonts w:ascii="Cambria" w:cs="Cambria" w:eastAsia="Cambria" w:hAnsi="Cambria"/>
          <w:color w:val="0000CC"/>
          <w:sz w:val="24"/>
          <w:szCs w:val="24"/>
        </w:rPr>
        <w:t xml:space="preserve">At the checkpoint, one full text could not be retrieved after five documented retrieval routes (EC8), and 64 full texts had been assessed for eligibility. Of these, 17 were excluded with reasons: nine under EC9 (superficial healthcare or consent relevance, including several studies in which consent was only a clinical procedure or a machine-learning metric), three under EC1 (outside healthcare), two under EC5 (non-peer-reviewed items), two under EC2 (no authorisation relevance) and one under EC4 (identity authentication only). Three studies were classified as secondary reviews under EC7 and retained for background [79, 80, 81]. The remaining 44 studies were included as primary studies and coded in full; of these, 23 are classified as core studies and 21 as supporting studies under the synthesis rule described in Section 2.3.7. Every included study also passed the quality gate described in Section 2.3.7, and the studies that fell exactly on the boundary of the gate were retained and tested in a sensitivity analysis rather than being excluded. For the in-depth review of Section 2.4, the 23 core studies are analysed together with the two highest-quality supporting studies, Albalwy et al. [37] and Li et al. [51], each with a quality score of 7.0, giving 25 analysed studies; the remaining 19 supporting studies are retained as reference evidence and are cited in the supporting-evidence paragraph of each review stream. This bound was adopted so that the review concentrates on the studies that bear most directly on the research gap while every included study remains traceable in Table 2 and in the reference list.</w:t>
      </w:r>
    </w:p>
    <w:p>
      <w:pPr>
        <w:keepNext/>
        <w:spacing w:after="60" w:before="140"/>
        <w:jc w:val="center"/>
      </w:pPr>
      <w:r>
        <w:drawing>
          <wp:inline distT="0" distB="0" distL="0" distR="0">
            <wp:extent cx="5715000" cy="4857750"/>
            <wp:effectExtent t="0" r="0" b="0" l="0"/>
            <wp:docPr id="1" name="gfig2.png" descr="Figure 2: PRISMA 2020 flow diagram of the study identification, screening, eligibility and inclusion stages, with the audited counts at the reporting checkpoint" title="Figure 2: 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857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 PRISMA 2020 flow diagram of the study identification, screening, eligibility and inclusion stages, with the audited counts at the reporting checkpoint</w:t>
      </w:r>
    </w:p>
    <w:p>
      <w:pPr>
        <w:spacing w:after="140" w:line="300"/>
        <w:jc w:val="both"/>
      </w:pPr>
      <w:r>
        <w:rPr>
          <w:rFonts w:ascii="Cambria" w:cs="Cambria" w:eastAsia="Cambria" w:hAnsi="Cambria"/>
          <w:color w:val="0000CC"/>
          <w:sz w:val="24"/>
          <w:szCs w:val="24"/>
        </w:rPr>
        <w:t xml:space="preserve">Figure 2 presents the PRISMA 2020 flow diagram for this review, which summarises the identification, screening, eligibility and inclusion stages described above, including the records identified through the Google Scholar discovery arm, the pending-abstract records that were not advanced, the full text that could not be retrieved, and the reasons for exclusion at the full-text stage. The chain of counts in the diagram is internally consistent: 9,256 minus 2,794 minus 423 gives the 6,039 titles screened; 6,039 minus 2,910 gives the 3,129 records advanced to the abstract stage; 3,129 minus 741 minus 588 gives the 1,800 full texts sought; 39 plus 1,066 plus 695 gives the same 1,800; and the 64 full texts assessed comprise the 44 included primary studies, the three secondary studies and the 17 excluded reports.</w:t>
      </w:r>
    </w:p>
    <w:p>
      <w:pPr>
        <w:pStyle w:val="Heading3"/>
        <w:spacing w:after="160" w:before="280"/>
      </w:pPr>
      <w:r>
        <w:rPr>
          <w:rFonts w:ascii="Cambria" w:cs="Cambria" w:eastAsia="Cambria" w:hAnsi="Cambria"/>
          <w:color w:val="0000CC"/>
          <w:sz w:val="24"/>
          <w:szCs w:val="24"/>
        </w:rPr>
        <w:t xml:space="preserve">2.3.7  Data Extraction, Quality Assessment and Synthesis</w:t>
      </w:r>
    </w:p>
    <w:p>
      <w:pPr>
        <w:spacing w:after="140" w:line="300"/>
        <w:jc w:val="both"/>
      </w:pPr>
      <w:r>
        <w:rPr>
          <w:rFonts w:ascii="Cambria" w:cs="Cambria" w:eastAsia="Cambria" w:hAnsi="Cambria"/>
          <w:color w:val="0000CC"/>
          <w:sz w:val="24"/>
          <w:szCs w:val="24"/>
        </w:rPr>
        <w:t xml:space="preserve">The included studies were analysed using a predefined data extraction form that was implemented as the screening register of the workbook. For every study, the extracted information included the bibliographic record, the document type, the coding of the seven trust dimensions and the seven requirements defined below, the page reference and evidence note on which each positive coding rests, technology flags (blockchain, decentralised identifier, verifiable credential, threshold mechanism, policy model, revocation mechanism, formal method, prototype and dataset), the eight quality assessment items, the evidence tier, the gap-impact verdict, the reviewer and any recorded dissent. Extraction was performed only from the complete full text; a study whose full text was incomplete was not coded until the missing pages had been obtained.</w:t>
      </w:r>
    </w:p>
    <w:p>
      <w:pPr>
        <w:spacing w:after="140" w:line="300"/>
        <w:jc w:val="both"/>
      </w:pPr>
      <w:r>
        <w:rPr>
          <w:rFonts w:ascii="Cambria" w:cs="Cambria" w:eastAsia="Cambria" w:hAnsi="Cambria"/>
          <w:color w:val="0000CC"/>
          <w:sz w:val="24"/>
          <w:szCs w:val="24"/>
        </w:rPr>
        <w:t xml:space="preserve">Each study was coded against seven trust dimensions using the values Yes, Partial or No. T1 (identity) records whether the identity of a participant is established by a decentralised identifier, verifiable credential, public-key certificate or equivalent, noting that a DID string alone is not a verified identity. T2 (authority) records whether the case-specific authority of a participant is verified separately from authentication, because identity is not authorisation. T3 (multi-party) records whether at least two distinct and independent participants must approve, as in k-of-n thresholds, guardian co-consent or multi-signature; blockchain consensus, endorsement policies, multi-authority attribute-based encryption and the mere presence of multiple organisations do not qualify. T4 (policy) records whether purpose, role, data scope or context influences the decision, noting that a policy described in prose is not enforcement. T5 (temporal) records whether time influences the decision through a start, end or expiry, noting that a timestamp in a log is not temporal authorisation. T6 (lifecycle) records whether consent states and transitions such as active, revoked and expired are enforced, noting that mentioning revocation is not implementing it. T7 (audit) records whether verifiable evidence of the decision is produced, noting that an immutable record is not by itself a trustworthy decision.</w:t>
      </w:r>
    </w:p>
    <w:p>
      <w:pPr>
        <w:spacing w:after="140" w:line="300"/>
        <w:jc w:val="both"/>
      </w:pPr>
      <w:r>
        <w:rPr>
          <w:rFonts w:ascii="Cambria" w:cs="Cambria" w:eastAsia="Cambria" w:hAnsi="Cambria"/>
          <w:color w:val="0000CC"/>
          <w:sz w:val="24"/>
          <w:szCs w:val="24"/>
        </w:rPr>
        <w:t xml:space="preserve">Each study was further coded against the seven workbook requirements Req1 to Req7, which correspond to the seven review questions. Req1 is awarded only when consent is represented as an evaluable authorisation object with states, predicates, policy, lifecycle and evidence, and not for the mere existence of a consent record. Req2 requires that both identity and authority are verified, with Partial awarded when only one of them is. Req3 requires that authorisation depends on at least two independent participants. Req4 requires that purpose, scope, role or context is evaluated before access is granted, with Partial awarded when the policy is stored but does not influence the decision. Req5 requires that time or lifecycle state is technically enforced in the authorisation decision, with Partial awarded when it is recorded but not enforced. Req6 requires that security properties are formally defined and demonstrated by verification, model checking, a security proof, an attack model or a theorem, with Partial awarded for a threat discussion only; the statement that a system is secure is not evidence. Req7 requires working evidence in the form of a prototype, simulation, dataset, allow and deny test cases, attack cases or audit logs, noting that architecture diagrams alone are not empirical validation. Every positive coding required a page reference. Because Req 6 of this report combines formal security assurance with empirical validation, the workbook values of Req6 and Req7 are mapped to a single Req 6 column in the study tables of Section 2.4: a study is marked as satisfying Req 6 if either workbook value is Yes, as partially satisfying it if either value is Partial, and as not satisfying it otherwise.</w:t>
      </w:r>
    </w:p>
    <w:p>
      <w:pPr>
        <w:spacing w:after="140" w:line="300"/>
        <w:jc w:val="both"/>
      </w:pPr>
      <w:r>
        <w:rPr>
          <w:rFonts w:ascii="Cambria" w:cs="Cambria" w:eastAsia="Cambria" w:hAnsi="Cambria"/>
          <w:color w:val="E6007E"/>
          <w:sz w:val="24"/>
          <w:szCs w:val="24"/>
        </w:rPr>
        <w:t xml:space="preserve">Each study that passed the relevance criteria at the full-text stage was additionally evaluated against eight quality assessment items</w:t>
      </w:r>
      <w:r>
        <w:rPr>
          <w:rFonts w:ascii="Cambria" w:cs="Cambria" w:eastAsia="Cambria" w:hAnsi="Cambria"/>
          <w:color w:val="0000CC"/>
          <w:sz w:val="24"/>
          <w:szCs w:val="24"/>
        </w:rPr>
        <w:t xml:space="preserve"> scored 1 for Yes, 0.5 for Partial and 0 for No. The first four items form the quality gate: QA1 asks whether the study deals with patient consent or consent-governed data access at the healthcare level; QA2 asks whether it deals with an authorisation or access-decision mechanism rather than storage or recording only; QA3 asks whether it introduces a proper framework, model, protocol or architecture to address its aim; and QA4 asks whether the proposed methodology is validated by a proof of concept or an implementation. A study was included when the sum of QA1 to QA4 was at least 3.0. The remaining four items, QA5 to QA8, do not affect inclusion but inform the evidence tier assigned to each study, </w:t>
      </w:r>
      <w:r>
        <w:rPr>
          <w:rFonts w:ascii="Cambria" w:cs="Cambria" w:eastAsia="Cambria" w:hAnsi="Cambria"/>
          <w:color w:val="E6007E"/>
          <w:sz w:val="24"/>
          <w:szCs w:val="24"/>
        </w:rPr>
        <w:t xml:space="preserve">namely evidence Tier A for strong direct evidence, evidence Tier B for direct evidence with limitations, evidence Tier C for a supporting mechanism and Background for the secondary studies. It should be noted that these evidence tiers are distinct from the full-text priority tiers of Section 2.3.6, which use the same letters but rank records for reading order only</w:t>
      </w:r>
      <w:r>
        <w:rPr>
          <w:rFonts w:ascii="Cambria" w:cs="Cambria" w:eastAsia="Cambria" w:hAnsi="Cambria"/>
          <w:color w:val="0000CC"/>
          <w:sz w:val="24"/>
          <w:szCs w:val="24"/>
        </w:rPr>
        <w:t xml:space="preserve">. It should be noted that a low quality score was never treated as evidence for or against the research gap; studies with low scores were retained and their influence was tested in a sensitivity analysis. Quality items were scored for every included study and for exclusions in which the relevance gate corroborated the decision, </w:t>
      </w:r>
      <w:r>
        <w:rPr>
          <w:rFonts w:ascii="Cambria" w:cs="Cambria" w:eastAsia="Cambria" w:hAnsi="Cambria"/>
          <w:color w:val="E6007E"/>
          <w:sz w:val="24"/>
          <w:szCs w:val="24"/>
        </w:rPr>
        <w:t xml:space="preserve">but not for studies excluded as outside healthcare (EC1) or on document type, duplication, secondary status or unavailability (EC5 to EC8), because these criteria precede quality assessment in the protocol</w:t>
      </w:r>
      <w:r>
        <w:rPr>
          <w:rFonts w:ascii="Cambria" w:cs="Cambria" w:eastAsia="Cambria" w:hAnsi="Cambria"/>
          <w:color w:val="0000CC"/>
          <w:sz w:val="24"/>
          <w:szCs w:val="24"/>
        </w:rPr>
        <w:t xml:space="preserve">.</w:t>
      </w:r>
    </w:p>
    <w:p>
      <w:pPr>
        <w:spacing w:after="140" w:line="300"/>
        <w:jc w:val="both"/>
      </w:pPr>
      <w:r>
        <w:rPr>
          <w:rFonts w:ascii="Cambria" w:cs="Cambria" w:eastAsia="Cambria" w:hAnsi="Cambria"/>
          <w:color w:val="0000CC"/>
          <w:sz w:val="24"/>
          <w:szCs w:val="24"/>
        </w:rPr>
        <w:t xml:space="preserve">After the seven review questions had been answered for a study, the chair recorded a gap-impact verdict stating whether the study contradicts, weakens, narrows or supports the proposed research gap, or has no effect on it, followed by a rationale organised by the deficits identified in Section 2.5. On the basis of this verdict, the included studies were divided into core and supporting studies for the synthesis. The distinction was adopted at decision D-164 and tightened at decision D-166 to the following rule: a study is a core study if, and only if, its gap-impact verdict is contradicts, weakens or narrows, or its T3 coding is Yes or Partial. Under this rule, 23 of the 44 included studies are core studies and 21 are supporting studies. The distinction does not affect the PRISMA inclusion counts; supporting studies are reviewed in Section 2.4 and cited as corroboration, while the core studies carry the argument of the synthesis in Section 2.5.</w:t>
      </w:r>
    </w:p>
    <w:p>
      <w:pPr>
        <w:spacing w:after="140" w:line="300"/>
        <w:jc w:val="both"/>
      </w:pPr>
      <w:r>
        <w:rPr>
          <w:rFonts w:ascii="Cambria" w:cs="Cambria" w:eastAsia="Cambria" w:hAnsi="Cambria"/>
          <w:color w:val="0000CC"/>
          <w:sz w:val="24"/>
          <w:szCs w:val="24"/>
        </w:rPr>
        <w:t xml:space="preserve">Coding and synthesis were performed by the six-member review panel described in Section 2.3.1. For each full text, the panel executed a fixed review template in which the first member verified the completeness of the full text and the bibliographic identity of the record and applied the eligibility and quality gates, the second member coded consent representation and trust modelling, the third member coded identity, authority and multi-party authorisation, the fourth member coded policy, temporal and lifecycle enforcement, the fifth member coded formal assurance and empirical validation, and the chair issued the final decision and the gap-impact verdict. Where a member disagreed with the final decision, the dissent was recorded in the register against the study together with the reason, and the chair's decision stood subject to the author's ratification; a dissent was never removed from the log, so that the boundary cases remain visible in the sensitivity analysis. For full texts whose abstract already suggested a positive coding on a contested dimension, the tests that would decide that coding were pre-registered in the decision log before the full text was read, so that the outcome could not be adjusted after reading. The matrix of T1 to T7 and Req1 to Req7 values was re-derived from the register at every checkpoint, and the synthesis in Section 2.5 is based on the values held in the register at decision D-166.</w:t>
      </w:r>
    </w:p>
    <w:p>
      <w:pPr>
        <w:pStyle w:val="Heading3"/>
        <w:spacing w:after="160" w:before="280"/>
      </w:pPr>
      <w:r>
        <w:rPr>
          <w:rFonts w:ascii="Cambria" w:cs="Cambria" w:eastAsia="Cambria" w:hAnsi="Cambria"/>
          <w:color w:val="0000CC"/>
          <w:sz w:val="24"/>
          <w:szCs w:val="24"/>
        </w:rPr>
        <w:t xml:space="preserve">2.3.8  Shortlisted Studies and Their Categorisation</w:t>
      </w:r>
    </w:p>
    <w:p>
      <w:pPr>
        <w:spacing w:after="140" w:line="300"/>
        <w:jc w:val="both"/>
      </w:pPr>
      <w:r>
        <w:rPr>
          <w:rFonts w:ascii="Cambria" w:cs="Cambria" w:eastAsia="Cambria" w:hAnsi="Cambria"/>
          <w:color w:val="0000CC"/>
          <w:sz w:val="24"/>
          <w:szCs w:val="24"/>
        </w:rPr>
        <w:t xml:space="preserve">Each of the 44 shortlisted studies was analysed according to its scope, topic, authors, year of publication and its contribution to the review questions. Based on this analysis, each study was assigned to one of six review streams, which correspond to the six key requirements of Section 2.2: consent representation and blockchain-based consent governance (Req 1); decentralised identity and authority (Req 2); multi-party authorisation (Req 3); policy- and context-aware access control (Req 4); temporal validity and consent lifecycle (Req 5); and formal security assurance and empirical validation (Req 6). A study was placed in the stream in which its principal contribution lies, even though most studies touch on more than one requirement, and the extent to which each study addresses every requirement is recorded in the study tables of Section 2.4. The studies are listed in Table 2 in the order of their labels S1 to S44, together with their reference numbers [35] to [78]. The studies in each stream are reviewed in the next section, and their issues and limitations with respect to the key requirements defined in Section 2.2 are discussed. The last column of Table 2 states whether the study is analysed in depth in Section 2.4 or retained as supporting evidence.</w:t>
      </w:r>
    </w:p>
    <w:p>
      <w:pPr>
        <w:spacing w:after="140" w:line="300"/>
        <w:jc w:val="both"/>
      </w:pPr>
      <w:r>
        <w:rPr>
          <w:rFonts w:ascii="Cambria" w:cs="Cambria" w:eastAsia="Cambria" w:hAnsi="Cambria"/>
          <w:color w:val="0000CC"/>
          <w:sz w:val="24"/>
          <w:szCs w:val="24"/>
        </w:rPr>
        <w:t xml:space="preserve">Figure 3 profiles the 44 included studies by publication year and by review stream.</w:t>
      </w:r>
    </w:p>
    <w:p>
      <w:pPr>
        <w:keepNext/>
        <w:spacing w:after="80" w:before="160"/>
        <w:jc w:val="center"/>
      </w:pPr>
      <w:r>
        <w:rPr>
          <w:rFonts w:ascii="Cambria" w:cs="Cambria" w:eastAsia="Cambria" w:hAnsi="Cambria"/>
          <w:b/>
          <w:bCs/>
          <w:color w:val="0000CC"/>
          <w:sz w:val="21"/>
          <w:szCs w:val="21"/>
        </w:rPr>
        <w:t xml:space="preserve">Table 2: </w:t>
      </w:r>
      <w:r>
        <w:rPr>
          <w:rFonts w:ascii="Cambria" w:cs="Cambria" w:eastAsia="Cambria" w:hAnsi="Cambria"/>
          <w:color w:val="0000CC"/>
          <w:sz w:val="21"/>
          <w:szCs w:val="21"/>
        </w:rPr>
        <w:t xml:space="preserve">Listing of the studies identified after the shortlisting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900"/>
        <w:gridCol w:w="600"/>
        <w:gridCol w:w="3340"/>
        <w:gridCol w:w="1600"/>
        <w:gridCol w:w="1100"/>
      </w:tblGrid>
      <w:tr>
        <w:trPr>
          <w:tblHeader/>
        </w:trPr>
        <w:tc>
          <w:tcPr>
            <w:tcW w:type="dxa" w:w="8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1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Authors (Year)</w:t>
            </w:r>
          </w:p>
        </w:tc>
        <w:tc>
          <w:tcPr>
            <w:tcW w:type="dxa" w:w="6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Ref.</w:t>
            </w:r>
          </w:p>
        </w:tc>
        <w:tc>
          <w:tcPr>
            <w:tcW w:type="dxa" w:w="3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Title</w:t>
            </w:r>
          </w:p>
        </w:tc>
        <w:tc>
          <w:tcPr>
            <w:tcW w:type="dxa" w:w="16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Review stream</w:t>
            </w:r>
          </w:p>
        </w:tc>
        <w:tc>
          <w:tcPr>
            <w:tcW w:type="dxa" w:w="11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Role</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Abbasi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[35]</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Nexa: Enabling Secure, Scalable, and Decentralized Management of Electronic Health Records Using Threshold Cryptography and Public Blockchains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Akter and Sanam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[36]</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 Framework for Secure Healthcare Data Management Using Role-Based Access Control and Smart Contracts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Albalwy et al. (2021)</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[37]</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Blockchain-based dynamic consent architecture to support clinical genomic data sharing (ConsentChain): Proof-of-concept study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Al Amin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[38]</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Informed Consent as Patient Driven Policy for Clinical Diagnosis and Treatment: A Smart Contract Based Approach</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Bhalerao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[39]</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Decentralized Cryptographic Governance for Cloud-Based Medical Record Infrastructure: A Distributed Ledger Framework for Cyber-Resilient Healthcare Data Sovereignty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Cao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[40]</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Privacy Set Intersection Protocol for Medical Data Security Sharing</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Chockalingam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[41]</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Improving Security and Privacy of Cognitive Digital Twins Through Dynamic Consent for Healthcare and Resilient Societies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Dhanraj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[42]</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Blockchain-Augmented Federated Learning for Secure and Healthcare Diagnosis from Distributed Electronic Health Records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Ekholm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[43]</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Implementing electronic informed consent in rare disease genomics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Eneh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[44]</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Demo: EdgeConsent: On-Chain Attribute-Based Access Control for Data Consent Management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Ferreira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[45]</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 Integration for Trust and Consent Management in MCP-Enabled FHIR Systems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Ghosh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[46]</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Blockchain-Enabled Hybrid Quantum-Safe Attribute-Based Access Control Scheme with Attribute Revocation Strategy for Smart Healthcare System</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Hagström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[47]</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Minors' and guardian access to and use of a national patient portal: A retrospective comparative case study of Sweden and Finland</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Gao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[48]</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Blockchain-Assisted Revocable and Efficient ABSE Scheme for Secure Medical Data Sharing</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Jaiman and Urovi (2020)</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[49]</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Consent Model for Blockchain-Based Health Data Sharing Platforms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Zhao and Su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[50]</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threshold traceable delegation authorization scheme for data sharing in healthcare</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Li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[51]</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Privacy-Preserving Fine-Grained EMR Access Control for IoMT: A Hybrid RBAC-Smart Contract Scheme With Attribute-Based Authorization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Luo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[52]</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Bilateral Privacy-Aware Proxy Re-Encryption With Traceability and Revocation for IoMT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Madine et al. (2020)</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[53]</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Fully Decentralized Multi-Party Consent Management for Secure Sharing of Patient Health Records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Maruthi and Singh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[54]</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Enhancing Security and Privacy of IoMT Data for Unconscious Patient With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Mei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[55]</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Efficient Dual-Revocation CP-ABE for Secure and Fine-Grained Data Sharing in IoMT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Zhang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[56]</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 Efficient Encryption Scheme with Fully Hidden Access Policy for Medical Data</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Panagoulias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[57]</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Blockchain-Enabled Trust and Compliance for Clinical AI: Decentralized Governance Without Decentralized Data Storage</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Phuyal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[58]</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Enabling Cross-Institution Health Data Sharing in Norway: EUDI Wallets, On-Chain Consent, and openEHR-FHIR Translation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Phuyal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[59]</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Blockchain-Based Architecture for Dynamic and Auditable Patient Consent in Secondary Use of Health Data</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Prashanth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[60]</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Enhancing Health Record Security and Privacy with Blockchain-Based Access Management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Punia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[61]</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 access control system for cloud-based healthcare systems driven by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Qiao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[62]</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Lightweight CP-ABE Scheme for EHR Over Cloud Based on Blockchain and Secure Multi-Party Computation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Román-Martínez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[63]</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Blockchain-Based Service-Oriented Architecture for Consent Management, Access Control, and Auditing</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Hema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[64]</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Patient Centric Cryptographic Protection of Cloud Electronic Health Records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Sawant and Gomes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[65]</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Decentralized Solution for Smarter and Safer Healthcare Systems with FabricMedChain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Shanmugham and Senthilkumar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[66]</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 Enabled Self-Sovereign Identity and Consent Framework for Secure Healthcare Data Access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Soohoo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[67]</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Development of the authentication and authorization processes for the iAgree portal, a platform for patient-controlled data sharing across health systems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Ranaweera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[68]</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Ensuring Electronic Health Record (EHR) Privacy using Zero Knowledge Proofs (ZKP) and Secure Encryption Schemes on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Tan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[69]</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Secure and privacy-preserving sharing of personal health records with multi-party pre-authorization verification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Teeda and Subba Rao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[70]</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Patient-Centric Blockchain Based Electronic Health Records for Data Privacy and Confidentiality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Tith et al. (2020)</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[71]</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Patient consent management by a purpose-based consent model for electronic health record based on blockchain technology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Tremper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[72]</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Mainzelliste: Ten years of pseudonymization, record linkage, and informed consent management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Tseng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[73]</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EMR-Chain: Decentralized Electronic Medical Record Exchange System</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Wagner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[74]</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Integration of Trusted Third Party Software into an EDC System for Data Protection - Compliant Identity Management, Consent Management and Pseudonymization in Medical Research Studies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Wu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[75]</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Apply Trust Computing and Privacy Preserving Smart Contracts to Manage, Share, and Analyze Multi-site Clinical Trial Data</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Wu and Zhang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[76]</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HealthDID: An efficient and authorizable multi-party privacy-preserving EMR sharing system based on DID</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Analysed</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Xu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[77]</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Privacy-Preserving Medical Data Sharing Scheme Based on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Zhang et al. (2022)</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[78]</w:t>
            </w:r>
          </w:p>
        </w:tc>
        <w:tc>
          <w:tcPr>
            <w:tcW w:type="dxa" w:w="3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Patient-centered cross-enterprise document sharing and dynamic consent framework using consortium blockchain and ciphertext-policy attribute-based encryption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Supporting</w:t>
            </w:r>
          </w:p>
        </w:tc>
      </w:tr>
    </w:tbl>
    <w:p>
      <w:pPr>
        <w:spacing w:after="180"/>
      </w:pPr>
    </w:p>
    <w:p>
      <w:pPr>
        <w:keepNext/>
        <w:spacing w:after="60" w:before="140"/>
        <w:jc w:val="center"/>
      </w:pPr>
      <w:r>
        <w:drawing>
          <wp:inline distT="0" distB="0" distL="0" distR="0">
            <wp:extent cx="5715000" cy="2076450"/>
            <wp:effectExtent t="0" r="0" b="0" l="0"/>
            <wp:docPr id="1" name="gfig2a.png" descr="Figure 3: Profile of the 44 included primary studies: distribution by publication year and by review stream, showing for each stream the number of included studies and the number analysed in depth in Section 2.4 (25 in total). Each study is assigned to the stream of its strongest coded requirement." title="Figure 3: Profile of the 44 included primary studies: distribution by publication year and by review stream, showing for each stream the number of included studies and the number analysed in depth in Section 2.4 (25 in total). Each study is assigned to the stream of its strongest coded requi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76450"/>
                    </a:xfrm>
                    <a:prstGeom prst="rect">
                      <a:avLst/>
                    </a:prstGeom>
                  </pic:spPr>
                </pic:pic>
              </a:graphicData>
            </a:graphic>
          </wp:inline>
        </w:drawing>
      </w:r>
    </w:p>
    <w:p>
      <w:pPr>
        <w:spacing w:after="200"/>
        <w:jc w:val="center"/>
      </w:pPr>
      <w:r>
        <w:rPr>
          <w:rFonts w:ascii="Cambria" w:cs="Cambria" w:eastAsia="Cambria" w:hAnsi="Cambria"/>
          <w:color w:val="0000CC"/>
          <w:sz w:val="20"/>
          <w:szCs w:val="20"/>
        </w:rPr>
        <w:t xml:space="preserve">Figure 3: Profile of the 44 included primary studies: distribution by publication year and by review stream, showing for each stream the number of included studies and the number analysed in depth in Section 2.4 (25 in total). Each study is assigned to the stream of its strongest coded requirement.</w:t>
      </w:r>
    </w:p>
    <w:p>
      <w:pPr>
        <w:pStyle w:val="Heading2"/>
        <w:spacing w:after="160" w:before="280"/>
      </w:pPr>
      <w:r>
        <w:rPr>
          <w:rFonts w:ascii="Cambria" w:cs="Cambria" w:eastAsia="Cambria" w:hAnsi="Cambria"/>
          <w:color w:val="0000CC"/>
          <w:sz w:val="24"/>
          <w:szCs w:val="24"/>
        </w:rPr>
        <w:t xml:space="preserve">2.4  Review</w:t>
      </w:r>
    </w:p>
    <w:p>
      <w:pPr>
        <w:spacing w:after="140" w:line="300"/>
        <w:jc w:val="both"/>
      </w:pPr>
      <w:r>
        <w:rPr>
          <w:rFonts w:ascii="Cambria" w:cs="Cambria" w:eastAsia="Cambria" w:hAnsi="Cambria"/>
          <w:color w:val="0000CC"/>
          <w:sz w:val="24"/>
          <w:szCs w:val="24"/>
        </w:rPr>
        <w:t xml:space="preserve">This section reviews the 44 primary studies that were shortlisted in Section 2.3.8. The review is organised by the six key requirements of Section 2.2, so that Sections 2.4.1 to 2.4.6 correspond to Req 1 to Req 6 respectively. It should be noted that the 44 included studies are not all discussed individually. Following the synthesis rule ratified by the coding panel (D-166), 23 studies were classified as core, because their full-text evidence contradicts, weakens or narrows the research gap or because they involve more than one authorising party (T3 graded Yes or Partial), and the remaining 21 were classified as supporting. The in-depth review in this section therefore covers 25 analysed studies, namely the 23 core studies together with the two supporting studies with the highest quality-assessment score, Albalwy et al. [37] and Li et al. [51], each scored 7.0 of 8. The other 19 supporting studies remain included in the review corpus and in Table 2, but they are cited only in a short closing paragraph of the stream to which they were assigned, which states in general terms what they corroborate. Each subsection reviews the analysed studies that were assigned to that stream, states their issues and limitations with respect to the requirement in question, and ends with a table that summarises the analysed studies and records their commitment to all six requirements, where √ denotes that the requirement is satisfied, ~ denotes that it is partially satisfied and × denotes that it is not satisfied, as coded from the full texts using the codebook described in Section 2.3. Each study is assigned to one stream only, according to the requirement to which its main contribution relates; a study assigned to one stream may nevertheless be discussed briefly in another subsection when its coding is relevant to that requirement. The background surveys and position papers [1]–[34] are used only for context and do not appear in the tables, which list the 25 analysed studies only. In addition, a small number of studies outside the healthcare consent domain, concerning archival record-keeping [8], blockchain data integrity [17], attested execution environments [23] and decentralised decision-making [29], were consulted as background for the supporting requirements of Section 2.2 and are not part of the review corpus.</w:t>
      </w:r>
    </w:p>
    <w:p>
      <w:pPr>
        <w:keepNext/>
        <w:spacing w:after="60" w:before="140"/>
        <w:jc w:val="center"/>
      </w:pPr>
      <w:r>
        <w:drawing>
          <wp:inline distT="0" distB="0" distL="0" distR="0">
            <wp:extent cx="5334000" cy="4095750"/>
            <wp:effectExtent t="0" r="0" b="0" l="0"/>
            <wp:docPr id="1" name="gfig2b.png" descr="Figure 4: Correspondence between the seven review questions of Section 2.3.2 and the sections of the review in which they are addressed, ending in the synthesis that leads to the research questions of Chapter 3." title="Figure 4: Correspondence between the seven review questions of Section 2.3.2 and the sections of the review in which they are addressed, ending in the synthesis that leads to the research questions of Chapt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95750"/>
                    </a:xfrm>
                    <a:prstGeom prst="rect">
                      <a:avLst/>
                    </a:prstGeom>
                  </pic:spPr>
                </pic:pic>
              </a:graphicData>
            </a:graphic>
          </wp:inline>
        </w:drawing>
      </w:r>
    </w:p>
    <w:p>
      <w:pPr>
        <w:spacing w:after="200"/>
        <w:jc w:val="center"/>
      </w:pPr>
      <w:r>
        <w:rPr>
          <w:rFonts w:ascii="Cambria" w:cs="Cambria" w:eastAsia="Cambria" w:hAnsi="Cambria"/>
          <w:color w:val="0000CC"/>
          <w:sz w:val="20"/>
          <w:szCs w:val="20"/>
        </w:rPr>
        <w:t xml:space="preserve">Figure 4: Correspondence between the seven review questions of Section 2.3.2 and the sections of the review in which they are addressed, ending in the synthesis that leads to the research questions of Chapter 3.</w:t>
      </w:r>
    </w:p>
    <w:p>
      <w:pPr>
        <w:pStyle w:val="Heading3"/>
        <w:spacing w:after="160" w:before="280"/>
      </w:pPr>
      <w:r>
        <w:rPr>
          <w:rFonts w:ascii="Cambria" w:cs="Cambria" w:eastAsia="Cambria" w:hAnsi="Cambria"/>
          <w:color w:val="0000CC"/>
          <w:sz w:val="24"/>
          <w:szCs w:val="24"/>
        </w:rPr>
        <w:t xml:space="preserve">2.4.1  Consent Representation and Blockchain-Based Consent Governance</w:t>
      </w:r>
    </w:p>
    <w:p>
      <w:pPr>
        <w:spacing w:after="140" w:line="300"/>
        <w:jc w:val="both"/>
      </w:pPr>
      <w:r>
        <w:rPr>
          <w:rFonts w:ascii="Cambria" w:cs="Cambria" w:eastAsia="Cambria" w:hAnsi="Cambria"/>
          <w:color w:val="0000CC"/>
          <w:sz w:val="24"/>
          <w:szCs w:val="24"/>
        </w:rPr>
        <w:t xml:space="preserve">This section reviews the two analysed studies whose main contribution is the representation and governance of patient consent, both of which are deployed platforms rather than research prototypes; the ten supporting studies assigned to this stream, most of which govern consent on a blockchain, are cited at the end of the section. Req 1 requires that consent is represented as a structured object whose components, namely the participating identities, the authority requirements, the permitted purpose and data scope, the temporal validity, the jurisdiction and the supporting evidence, can be evaluated at the time of each request. Earlier consent-management research represented consent as a permission indicating whether a party may perform an operation, and dynamic consent and consent receipts added the possibility of changing preferences over time and of retaining evidence of how consent was obtained [13, 10]. The question examined in this stream is whether the reviewed systems go beyond a stored consent record and make the consent itself an object that the access decision evaluates. The full-text coding shows that all twelve studies assigned to this stream, including the two analysed here, were graded Partial on Req 1 and that none was graded Yes. In this context, three situations recur across the stream: consent that is represented but absent from the decision, consent that is present in the decision but reduced to a boolean flag, and consent that is held in a registry whose status is displayed or queried but never enforced. The two analysed studies illustrate the first and the third of these situations in production settings.</w:t>
      </w:r>
    </w:p>
    <w:p>
      <w:pPr>
        <w:spacing w:after="140" w:line="300"/>
        <w:jc w:val="both"/>
      </w:pPr>
      <w:r>
        <w:rPr>
          <w:rFonts w:ascii="Cambria" w:cs="Cambria" w:eastAsia="Cambria" w:hAnsi="Cambria"/>
          <w:color w:val="0000CC"/>
          <w:sz w:val="24"/>
          <w:szCs w:val="24"/>
        </w:rPr>
        <w:t xml:space="preserve">Soohoo et al. [67] describe the authentication and authorisation module of the iAgree patient-controlled data-sharing portal, deployed across three United States health systems, with OAuth2, SMART on FHIR and one-time-password identity that was tested with matched and unmatched accounts, and with a permissioned Ethereum audit contract. Consent is a preference matrix of data category by recipient type whose enforcement is outside the scope of the paper, so that the consent object is represented but absent from the access decision that the paper describes. A single patient decides, and the involvement of several institutions does not make the decision multi-party. Authorisation is OAuth2 delegation with no separate authority evidence for researchers, the one-hour window is a session token rather than a consent validity period, and revocation is append-only and untested. The evaluation consists of functional tests of identity matching and contains no formal method and no allow or deny correctness case for the preference matrix itself.</w:t>
      </w:r>
    </w:p>
    <w:p>
      <w:pPr>
        <w:spacing w:after="140" w:line="300"/>
        <w:jc w:val="both"/>
      </w:pPr>
      <w:r>
        <w:rPr>
          <w:rFonts w:ascii="Cambria" w:cs="Cambria" w:eastAsia="Cambria" w:hAnsi="Cambria"/>
          <w:color w:val="0000CC"/>
          <w:sz w:val="24"/>
          <w:szCs w:val="24"/>
        </w:rPr>
        <w:t xml:space="preserve">Tremper et al. [72] report ten years of the Mainzelliste pseudonymisation, record-linkage and consent-management service, an open-source production tool in use since 2015, with multi-tenant role-based access control, per-request token validation, modular FHIR consent directives scoped by use type and an automated consent-check capability. The consent object is the richest in this stream, yet the paper specifies no check semantics, no term list and no allow or deny protocol, so that the way in which a directive is evaluated at the time of a request cannot be established from the publication. Consent withdrawal is implemented at the registry level through an API delete, with no downstream enforcement shown, and no temporal validity is evaluated. The reason for each request is captured for audit but not adjudicated. It should be noted that the secure multi-party computation parties of the service perform record linkage rather than authorisation, and that the security evidence is an independent penetration test and a secure development process rather than a formal analysis.</w:t>
      </w:r>
    </w:p>
    <w:p>
      <w:pPr>
        <w:spacing w:after="140" w:line="300"/>
        <w:jc w:val="both"/>
      </w:pPr>
      <w:r>
        <w:rPr>
          <w:rFonts w:ascii="Cambria" w:cs="Cambria" w:eastAsia="Cambria" w:hAnsi="Cambria"/>
          <w:color w:val="0000CC"/>
          <w:sz w:val="24"/>
          <w:szCs w:val="24"/>
        </w:rPr>
        <w:t xml:space="preserve">Taken together, the two analysed studies show that the representation of consent and the evaluation of consent have been developed apart even in production systems. In both, the consent object is comparatively rich, a preference matrix of data category by recipient type in iAgree [67] and FHIR consent directives scoped by use type in Mainzelliste [72], yet in neither case does the paper specify the semantics by which an access decision evaluates that object: enforcement is out of scope in the first and unspecified in the second. In addition, neither study verifies its own authorisation decisions, since the functional tests of Soohoo et al. [67] and the penetration test of Tremper et al. [72] contain no allow or deny correctness case, and Req 6 is graded Partial for both. Neither study involves more than one authorising party, and Req 3 is graded No for both, as it is for all twelve studies assigned to this stream. The closest single-party analogues of the consent object C = (I, A, P, T, L, E) required by the proposed framework are found not here but in Section 2.4.2, in the on-chain consent object of Phuyal et al. [58], and in the patient-driven policy of Al Amin et al. [38] in Section 2.4.3. Therefore, Req 1 is partially addressed in this stream, but consent as an object that is evaluated on every request against identity, authority, purpose, scope, time and jurisdiction is not provided by either of the reviewed consent-governance platforms. Table 3 presents a summary of the analysed studies in this stream and their commitment to the key requirements.</w:t>
      </w:r>
    </w:p>
    <w:p>
      <w:pPr>
        <w:spacing w:after="140" w:line="300"/>
        <w:jc w:val="both"/>
      </w:pPr>
      <w:r>
        <w:rPr>
          <w:rFonts w:ascii="Cambria" w:cs="Cambria" w:eastAsia="Cambria" w:hAnsi="Cambria"/>
          <w:color w:val="0000CC"/>
          <w:sz w:val="24"/>
          <w:szCs w:val="24"/>
        </w:rPr>
        <w:t xml:space="preserve">Supporting evidence. Ten further studies were assigned to this stream and coded but are not discussed individually [36], [39], [41], [42], [60], [65], [68], [70], [74], [78]. They corroborate the pattern described above rather than alter it: where consent enters the access decision it enters as a per-record boolean grant [36], [60]; where consent is bound to cryptographic operations, the conditions are fixed at encryption or key-issuance time and cannot be re-evaluated at the time of the request [70], [78]; where the consent object is rich, as in the gICS directives integrated into REDCap [74], its state is displayed and queried but no access decision depends on it; consent is absent from the formalised decision function of the largest measurement campaign in the stream [65] and is reduced to a logged event with a gas cost in [42]; the zero-knowledge and homomorphic-encryption workflow of [68] evaluates a free-text reason rather than a purpose term; and the two conceptual designs [39], [41] remain unimplemented. All ten supporting studies were graded Partial on Req 1 and No on Req 3, and none of them provides a formal security analysis, the closest being the threat model and simulated attacks of [65].</w:t>
      </w:r>
    </w:p>
    <w:p>
      <w:pPr>
        <w:keepNext/>
        <w:spacing w:after="80" w:before="160"/>
        <w:jc w:val="center"/>
      </w:pPr>
      <w:r>
        <w:rPr>
          <w:rFonts w:ascii="Cambria" w:cs="Cambria" w:eastAsia="Cambria" w:hAnsi="Cambria"/>
          <w:b/>
          <w:bCs/>
          <w:color w:val="0000CC"/>
          <w:sz w:val="21"/>
          <w:szCs w:val="21"/>
        </w:rPr>
        <w:t xml:space="preserve">Table 3: </w:t>
      </w:r>
      <w:r>
        <w:rPr>
          <w:rFonts w:ascii="Cambria" w:cs="Cambria" w:eastAsia="Cambria" w:hAnsi="Cambria"/>
          <w:color w:val="0000CC"/>
          <w:sz w:val="21"/>
          <w:szCs w:val="21"/>
        </w:rPr>
        <w:t xml:space="preserve">Descriptions, issues and limitations of existing studies on consent representation and blockchain-based consent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S33 [67]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authentication and authorisation module of the iAgree patient-controlled data-sharing portal, deployed at three health systems, with OAuth2, SMART on FHIR and one-time-password identity, a patient preference matrix of data category by recipient type, and a permissioned Ethereum audit contract.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single patient decides and multi-institution is not multi-party; authorisation is OAuth2 delegation with no separate authority evidence for researchers; enforcement of the preference matrix is out of scope; the one-hour window is a session token, not consent validity; revocation is append-only and untested; no formal methods; functional tests only.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S38 [72]</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Mainzelliste, an open-source pseudonymisation, record-linkage and consent-management service in production since 2015, with multi-tenant role-based access control, per-request token validation, modular FHIR consent directives scoped by use type, an automated consent-check capability and registry-level consent withdrawal.</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consent-check semantics, term list and allow or deny protocol are not specified in the paper; withdrawal is a registry operation whose downstream enforcement is not shown; no temporal validity; the secure multi-party computation parties perform record linkage, not authorisation; security evidence is a penetration test without formal analysis; no consent decision is verified.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2.4.2  Decentralised Identity and Authority Trust</w:t>
      </w:r>
    </w:p>
    <w:p>
      <w:pPr>
        <w:spacing w:after="140" w:line="300"/>
        <w:jc w:val="both"/>
      </w:pPr>
      <w:r>
        <w:rPr>
          <w:rFonts w:ascii="Cambria" w:cs="Cambria" w:eastAsia="Cambria" w:hAnsi="Cambria"/>
          <w:color w:val="0000CC"/>
          <w:sz w:val="24"/>
          <w:szCs w:val="24"/>
        </w:rPr>
        <w:t xml:space="preserve">This section reviews the three analysed studies whose main contribution is the decentralised verification of the participants in a consent decision; the two supporting studies assigned to this stream are cited at the end of the section. Req 2 requires that the patient, the guardians, the healthcare professional and the institution can be identified without a single central identity provider, and that establishing who a participant is (identity) is treated separately from establishing what that participant may do (authority), each with its own evidence. Decentralised identifiers and verifiable credentials provide the first capability [20, 33, 4, 16], and the reviewed studies apply them, or national equivalents, to healthcare data exchange. It should be noted that the coding distinguishes T1 (identity established by DID, VC, PKI or certificate) from T2 (case-specific authority verified separately from authentication). Across the 44 included studies, T2 was graded Yes in only 10 studies and Partial in 34; that is, in more than three quarters of the corpus a verified identity, a platform role or an administratively assigned attribute stands in for authority over a particular patient's data.</w:t>
      </w:r>
    </w:p>
    <w:p>
      <w:pPr>
        <w:spacing w:after="140" w:line="300"/>
        <w:jc w:val="both"/>
      </w:pPr>
      <w:r>
        <w:rPr>
          <w:rFonts w:ascii="Cambria" w:cs="Cambria" w:eastAsia="Cambria" w:hAnsi="Cambria"/>
          <w:color w:val="0000CC"/>
          <w:sz w:val="24"/>
          <w:szCs w:val="24"/>
        </w:rPr>
        <w:t xml:space="preserve">Phuyal et al. [58] present the most integrated system in the corpus, a simulated Norwegian cross-institution exchange in which patients and professionals hold EUDI-compatible wallets with W3C decentralised identifiers and verifiable credentials, consent is an executable on-chain object carrying the patient identifier, the requester identifier, the data scope and an expiry together with an ACTIVE or REVOKED state on a Hyperledger Besu ledger, and access proofs are generated with Groth16 circuits. Identity verification checks the issuer registry, the signature and the credential expiry, and, importantly for Req 2, a licensing-body credential asserts the professional's role, specialisation and scope of practice, which the system verifies separately from authentication. This is the strongest Req 2 evidence in the corpus. Revocation is enforced at run time in 1.45 seconds and subsequent access returns an error, and allow and deny cases are tested over 100 runs per workflow. The limitations are equally precise: a single patient grants a bilateral data-sharing agreement and there is no multi-party approval, the expiry field is stored on the ledger but the access algorithm checks only state and proof, purpose exists only at the user-interface level, and there is no threat model, formal verification or adversarial test. The companion architecture of Phuyal et al. [59] extends the design to secondary use with a FHIR Consent resource carrying purpose, scope, actors and validity period, and specifies validation of these constraints at decision time; however, the authors state that nothing is implemented or evaluated, so every dimension is capped at Partial, and the proxy or guardian delegation mentioned as an option is substitution rather than joint approval.</w:t>
      </w:r>
    </w:p>
    <w:p>
      <w:pPr>
        <w:spacing w:after="140" w:line="300"/>
        <w:jc w:val="both"/>
      </w:pPr>
      <w:r>
        <w:rPr>
          <w:rFonts w:ascii="Cambria" w:cs="Cambria" w:eastAsia="Cambria" w:hAnsi="Cambria"/>
          <w:color w:val="0000CC"/>
          <w:sz w:val="24"/>
          <w:szCs w:val="24"/>
        </w:rPr>
        <w:t xml:space="preserve">Tseng et al. [73] present EMR-Chain, an open-source decentralised medical record exchange that combines an Ethereum identity chain with a Hyperledger Fabric record chain. The identifier is a government-endorsed hashed national identity bound to a wallet, which the authors call a DID although it is not a W3C decentralised identifier; professional identities are X.509 certificates issued by the ministry certificate authority, and roles are granted by the health authority, so that authority is verified separately from authentication. The system is benchmarked against national exchange statistics and the code is public. Its limitations with respect to the later requirements are that the patient and requester co-signature on a request is bilateral authentication rather than independent approval, purpose is logged in the transaction record but never evaluated, scope is at the hospital level, the token expiry enforced at the validator is a session bound rather than a consent validity window, revocation of the access list does not invalidate tokens already issued, and the security discussion is narrative.</w:t>
      </w:r>
    </w:p>
    <w:p>
      <w:pPr>
        <w:spacing w:after="140" w:line="300"/>
        <w:jc w:val="both"/>
      </w:pPr>
      <w:r>
        <w:rPr>
          <w:rFonts w:ascii="Cambria" w:cs="Cambria" w:eastAsia="Cambria" w:hAnsi="Cambria"/>
          <w:color w:val="0000CC"/>
          <w:sz w:val="24"/>
          <w:szCs w:val="24"/>
        </w:rPr>
        <w:t xml:space="preserve">In summary, identity is the strongest dimension of this stream, with T1 graded Yes in two of the three analysed studies and Partial in the design-only architecture of Phuyal et al. [59], and authority verified with its own evidence is found in Phuyal et al. [58] through licensing-body credentials and in Tseng et al. [73] through authority-issued roles. The remaining eight Yes gradings for T2 among the 44 included studies belong to other streams, and several of them do not use decentralised identifiers at all: Ekholm et al. [43] and Hagström et al. [47] verify legal guardianship against a national population register, Madine et al. [53] rely on a regulatory agency, and Punia et al. [61] bind roles, attributes and access tokens to their owners independently of the sender address. In addition, the analysed study that comes closest to an evaluable consent object, Phuyal et al. [58], is a single-party design, it is not formally assured, and it is the only one of the three analysed studies that verifies allow and deny outcomes. Therefore, the literature provides mature mechanisms for decentralised identity and increasingly for credential-based authority, but it does not yet combine separated identity and authority evidence with multi-party approval, policy evaluation and formal assurance in one decision. Table 4 presents a summary of the analysed studies in this stream and their commitment to the key requirements.</w:t>
      </w:r>
    </w:p>
    <w:p>
      <w:pPr>
        <w:spacing w:after="140" w:line="300"/>
        <w:jc w:val="both"/>
      </w:pPr>
      <w:r>
        <w:rPr>
          <w:rFonts w:ascii="Cambria" w:cs="Cambria" w:eastAsia="Cambria" w:hAnsi="Cambria"/>
          <w:color w:val="0000CC"/>
          <w:sz w:val="24"/>
          <w:szCs w:val="24"/>
        </w:rPr>
        <w:t xml:space="preserve">Supporting evidence. Two further studies were assigned to this stream and corroborate these findings without altering them [45], [66]. Ferreira et al. [45] design the widest authorisation predicate in the corpus, in which a single call conjoins the subject, the purpose, the scope and the time over the current consent state, and Shanmugham and Senthilkumar [66] propose a consent token carrying an identifier, a role, a scope, a validity interval and a three-state lifecycle that is the closest single-party structural analogue of the consent object required by the proposed framework. In both, however, case-specific authority reduces to a credential together with the consent state, the guardians named in [45] are a key-recovery mechanism rather than co-authorisers, no denial after revocation or expiry is tested, and neither study is formally assured, so that both were graded Partial on Req 2 and No on Req 3.</w:t>
      </w:r>
    </w:p>
    <w:p>
      <w:pPr>
        <w:keepNext/>
        <w:spacing w:after="80" w:before="160"/>
        <w:jc w:val="center"/>
      </w:pPr>
      <w:r>
        <w:rPr>
          <w:rFonts w:ascii="Cambria" w:cs="Cambria" w:eastAsia="Cambria" w:hAnsi="Cambria"/>
          <w:b/>
          <w:bCs/>
          <w:color w:val="0000CC"/>
          <w:sz w:val="21"/>
          <w:szCs w:val="21"/>
        </w:rPr>
        <w:t xml:space="preserve">Table 4: </w:t>
      </w:r>
      <w:r>
        <w:rPr>
          <w:rFonts w:ascii="Cambria" w:cs="Cambria" w:eastAsia="Cambria" w:hAnsi="Cambria"/>
          <w:color w:val="0000CC"/>
          <w:sz w:val="21"/>
          <w:szCs w:val="21"/>
        </w:rPr>
        <w:t xml:space="preserve">Descriptions, issues and limitations of existing studies on decentralised identity and authority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 [58]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simulated Norwegian cross-institution exchange with EUDI-compatible wallets, W3C DIDs and VCs, an executable on-chain consent object (patient DID, requester DID, scope, expiry, state) on Hyperledger Besu, Groth16 access proofs, licensing-body credentials asserting role and scope of practice, run-time revocation (1.45 s) and an openEHR to FHIR bridge; allow and deny outcomes tested over 100 runs.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single patient grants a bilateral agreement with no multi-party approval; the expiry field is stored but the access algorithm checks only state and proof; purpose is at the user-interface level with no policy engine; no threat model, formal verification or adversarial test; simulation only with a node-count inconsistency.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 [59]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design-only architecture for dynamic and auditable consent in secondary use in which a FHIR Consent resource carrying purpose, scope, actors and validity period is anchored on an Ethereum-compatible ledger, requester credentials are validated in three steps at a gateway, and validation of purpose, scope and duration at decision time is specified.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Explicitly not implemented and not evaluated, so no dimension is enforced; proxy or guardian delegation is a substitution option rather than joint approval; revocation is specified but not implemented; the STRIDE-style threat table is declared non-exhaustive with no proof or verification; same author group as [58].</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S39 [73]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EMR-Chain, an open-source decentralised record exchange combining an Ethereum identity chain, on which a government-endorsed hashed national identity is bound to a wallet, with a Hyperledger Fabric record chain using X.509 identities from the ministry certificate authority, health-authority-granted roles, a patient-adjustable per-hospital access list and JWT validation, benchmarked against national exchange statistics.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identifier is not a W3C DID; the patient and requester co-signature is bilateral authentication, not independent approval; purpose is logged but never evaluated and scope is hospital-level; JWT expiry is a session bound rather than consent validity; access-list revocation does not invalidate issued tokens; narrative security discussion only.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2.4.3  Multi-Party Authorisation and Collaborative Consent</w:t>
      </w:r>
    </w:p>
    <w:p>
      <w:pPr>
        <w:spacing w:after="140" w:line="300"/>
        <w:jc w:val="both"/>
      </w:pPr>
      <w:r>
        <w:rPr>
          <w:rFonts w:ascii="Cambria" w:cs="Cambria" w:eastAsia="Cambria" w:hAnsi="Cambria"/>
          <w:color w:val="0000CC"/>
          <w:sz w:val="24"/>
          <w:szCs w:val="24"/>
        </w:rPr>
        <w:t xml:space="preserve">This section reviews the eight analysed studies of stream 3, whose main contribution involves the participation of more than one party in a consent or access decision. Req 3 requires that, where a single party cannot lawfully authorise access on its own, a predefined number of designated parties must each provide an independently verifiable approval, and that this threshold condition is represented within the consent object and can be checked by any party at a later time. An earlier version of this review, which was based on the background corpus [1]–[34], stated that multi-party joint authorisation of patient data access had not been realised in the literature. The full-text coding of the present corpus does not support that statement, and it is withdrawn. Across the 44 included studies, T3 (at least two distinct independent participants must approve) was graded Yes in 6 studies, Partial in 4 and No in 34, and the coding panel ratified six distinct mechanism classes of multi-party authorisation. It should be noted that the coding applied a strict word-sense discipline: blockchain consensus, endorsement policies, multi-authority attribute-based encryption, secure multi-party computation parties, requester co-signatures and social key-recovery guardians were not counted as multi-party authorisation, because none of them adds an independent authoriser to the decision. The purpose of this section is therefore to state precisely which forms of multi-party authorisation exist and which form does not.</w:t>
      </w:r>
    </w:p>
    <w:p>
      <w:pPr>
        <w:spacing w:after="140" w:line="300"/>
        <w:jc w:val="both"/>
      </w:pPr>
      <w:r>
        <w:rPr>
          <w:rFonts w:ascii="Cambria" w:cs="Cambria" w:eastAsia="Cambria" w:hAnsi="Cambria"/>
          <w:color w:val="0000CC"/>
          <w:sz w:val="24"/>
          <w:szCs w:val="24"/>
        </w:rPr>
        <w:t xml:space="preserve">The first class is joint approval on a contingency path. Madine et al. [53] propose a fully decentralised multi-party consent scheme on Ethereum in which an access request on the incapacitated path requires the approvals of a regulatory agency and of at least the minimum of ceil(0.7g) and five guardians on the same request, and an emergency request requires the agency's approval together with a hospital admission confirmation. This is a genuine N-of-M condition over independent parties, combined with expiry enforced inside the decision predicate, since stale attestations stop counting, and with explicit revocation of claims and removal of guardians. However, on the normal path a single patient key authorises access, so that joint approval is an availability fallback conditioned on the absence of the principal rather than a condition of every decision. In addition, the guardians hold no key shares: the decryption key is split between the patient and the regulatory agency, which can decrypt with its own shares, so the joint guarantee holds at the smart-contract layer only. The paper contains no formal analysis, no dataset and no allow or deny correctness matrix. A related design is threshold key custody. Abbasi et al. [35] present Nexa, a public-blockchain record system in which a Shamir (5, 3) threshold protects each record key; a clinical access combines the requester's own share with two automated oracle shares released on the basis of the current on-chain role, so there is a single authorisation locus and no human co-approval, the patient's share is not required, and the institutional multi-signature for bulk access is proposed but outside the prototype. The prototype is public and measured, but no authorisation decision is verified. The threshold over patient-designated relatives of Maruthi and Singh [54], reviewed in Section 2.4.6, belongs to the same custody class.</w:t>
      </w:r>
    </w:p>
    <w:p>
      <w:pPr>
        <w:spacing w:after="140" w:line="300"/>
        <w:jc w:val="both"/>
      </w:pPr>
      <w:r>
        <w:rPr>
          <w:rFonts w:ascii="Cambria" w:cs="Cambria" w:eastAsia="Cambria" w:hAnsi="Cambria"/>
          <w:color w:val="0000CC"/>
          <w:sz w:val="24"/>
          <w:szCs w:val="24"/>
        </w:rPr>
        <w:t xml:space="preserve">The second class places the threshold on the institution side. Wu et al. [75] present Soteria, a clinical-trial data platform on Hyperledger Fabric with trusted-execution chaincode in which a (t, n) threshold signature runs over named investigators. What the threshold gates is asymmetric: the admission of a trial record to the ledger requires a majority of investigators and the revocation of a consent requires half of them, whereas the consent grant itself is submitted unilaterally by the patient. Moreover, each investigator's vote consists of recomputing and confirming the hash of the message, so the threshold is a threshold of integrity verifiers rather than of authorisers, and the voters act for the institution rather than for the patient. The third class is institutional custodian approval conjoined with a policy engine. Punia et al. [61] implement MedXBlock, a permissioned Ethereum access-control system in which an M-of-N multi-signature contract over registered doctors and administrators, for example two of three, governs high-sensitivity and cross-departmental requests, and in which an implemented hybrid attribute- and role-based policy engine evaluates a conjunctive grant predicate with deny-by-default over a stateful policy store. This is the only study among the 44 included studies in which multi-party approval and an enforced policy predicate co-occur. Even so, the threshold is scoped, since ordinary access is token-only, it is defeasible, since a single emergency officer can bypass it, and it sits outside the grant predicate as a separate orchestration layer; the patient enters the predicate as a boolean consent attribute rather than as an authoriser; no purpose term exists; the assurance is a threat table and an asserted safety property; and the 100 measured transactions include no executed authorisation test.</w:t>
      </w:r>
    </w:p>
    <w:p>
      <w:pPr>
        <w:spacing w:after="140" w:line="300"/>
        <w:jc w:val="both"/>
      </w:pPr>
      <w:r>
        <w:rPr>
          <w:rFonts w:ascii="Cambria" w:cs="Cambria" w:eastAsia="Cambria" w:hAnsi="Cambria"/>
          <w:color w:val="0000CC"/>
          <w:sz w:val="24"/>
          <w:szCs w:val="24"/>
        </w:rPr>
        <w:t xml:space="preserve">The fourth class appoints witnesses. Tan et al. [69] propose a personal health record sharing scheme with multi-party pre-authorisation verification in which the patient fixes n verifiers and a threshold t, each verifier evaluates the patient-issued grant, its expiry and the revocation list before releasing its share of the decryption key, and without t shares no key and no plaintext exist. This is the first threshold in the corpus whose authorisers are appointed by the patient for the patient's own access decision, and expiry is checked at the point of approval. The joint approval is nevertheless a pre-delegated contingency for the case in which the patient is unable to act, the verifiers evaluate identity, grant, time and revocation but not purpose or data scope, since attribute-based policy is explicitly future work, only the secure multi-party computation layer is implemented while the identity, wallet and ledger layers are not, and the security argument is a STRIDE and LINDDUN enumeration with no proof over the authorisation protocol. The fifth class, reviewed in Section 2.4.6, is the consumer-side delegated threshold of Zhao and Su [50], in which l of d already-authorised clinicians jointly authorise an out-of-policy requester; the delegates are consumer-side rather than patient-side parties, and the scheme has no time, lifecycle or purpose term.</w:t>
      </w:r>
    </w:p>
    <w:p>
      <w:pPr>
        <w:spacing w:after="140" w:line="300"/>
        <w:jc w:val="both"/>
      </w:pPr>
      <w:r>
        <w:rPr>
          <w:rFonts w:ascii="Cambria" w:cs="Cambria" w:eastAsia="Cambria" w:hAnsi="Cambria"/>
          <w:color w:val="0000CC"/>
          <w:sz w:val="24"/>
          <w:szCs w:val="24"/>
        </w:rPr>
        <w:t xml:space="preserve">The sixth class is register-verified guardian co-consent at consent registration, and it is the only class found in deployed systems. Ekholm et al. [43] report the implementation of electronic informed consent in rare disease genomics on a commercial platform used by three genomic medicine centres in Sweden: the consent of a minor is valid only when all legal guardians, one or two, have signed, and guardianship is verified in real time against the national Population Register, with 61 paediatric trio consents obtained under this rule. This is a deployed n-of-n guardian condition with authority verified separately from the national electronic identity used for authentication, and it is the cleanest separation of identity and authority in the corpus. Its locus is, however, the registration of consent and not the access decision: the only decision-time touchpoint is an interface that answers whether a valid consent exists, without purpose, scope or time parameters, the platform is centralised, and the paper provides no formal or authorisation-correctness evidence. Hagström et al. [47] examine, in a retrospective comparative case study of the national patient portals of Sweden and Finland, how guardian proxy access to a minor's record is gated jointly by a healthcare professional's assessment of the minor's capacity and by the minor's own consent, with register-verified guardianship and age windows whose enforcement is demonstrated by the absence of use within blocked windows and by the consent of 95.8 per cent of capable minors to disclosure. This is a second deployed instance of collective, consent-gated proxy governance, but it is documentation-time governance in centralised national systems with no formal assurance. Finally, Al Amin et al. [38] represent informed consent as a patient-driven policy IC = (U, O, OP, CON), an evaluable object whose contextual conditions include time, date, day, location, network address and access frequency, and whose enforcement conjoins the patient's consent with organisational and regulatory policies. The only multi-party element is a two-of-two multi-signature wallet in the experimental harness in which every member must sign to store a consent; the members are not named, the mechanism gates registration rather than access, it is absent from the model, no purpose term exists, and the Goerli deployment reports no measured result or allow or deny case. The panel recorded it as a candidate class only.</w:t>
      </w:r>
    </w:p>
    <w:p>
      <w:pPr>
        <w:spacing w:after="140" w:line="300"/>
        <w:jc w:val="both"/>
      </w:pPr>
      <w:r>
        <w:rPr>
          <w:rFonts w:ascii="Cambria" w:cs="Cambria" w:eastAsia="Cambria" w:hAnsi="Cambria"/>
          <w:color w:val="0000CC"/>
          <w:sz w:val="24"/>
          <w:szCs w:val="24"/>
        </w:rPr>
        <w:t xml:space="preserve">The position of the literature with respect to Req 3 can therefore be stated precisely. What exists is multi-party authorisation in six forms: joint approval on a contingency path when the principal is absent [53, 69]; guardian or bilateral co-consent at the time of consent registration [43, 47, 38]; institution-side thresholds over record admission and consent revocation [75]; custodial M-of-N approval around, but not inside, a policy predicate [61]; a patient-appointed witness threshold welded to key release [69]; and threshold key custody or delegation among custodians, relatives or clinicians [35, 54, 50]. In this context, the sentence that multi-party authorisation does not exist in the literature is no longer defensible and is not made in this review. What does not exist in any of the 44 included studies is a threshold predicate over the guardian set G with threshold N that is constitutive of the access decision, that is, one evaluated on every access request, in a decentralised exchange, as a conjunct of the same predicate that evaluates the policy conditions of purpose and data scope, the temporal validity and the jurisdiction of the consent object C, with allow and deny correctness evidence and formal assurance of the conjunction. The coding supports each element of this statement. Only Punia et al. [61] combine T3 = Yes with an enforced policy predicate, and there the threshold is outside the predicate, the patient is an attribute and purpose is absent. Every T3-positive study in this stream is graded No or Partial on Req 6, and the two T3-positive studies elsewhere that carry a proof [50, 54] prove the threshold gate or confidentiality in isolation, so that the broadest multi-party systems carry the weakest assurance. In addition, the deployed guardian mechanisms [43, 47] establish guardian authority through a state register, which is the attestation pattern against which the guardian credentials of the proposed framework must be compared. Table 5 presents a summary of the eight analysed studies in this stream and their commitment to the key requirements.</w:t>
      </w:r>
    </w:p>
    <w:p>
      <w:pPr>
        <w:keepNext/>
        <w:spacing w:after="80" w:before="160"/>
        <w:jc w:val="center"/>
      </w:pPr>
      <w:r>
        <w:rPr>
          <w:rFonts w:ascii="Cambria" w:cs="Cambria" w:eastAsia="Cambria" w:hAnsi="Cambria"/>
          <w:b/>
          <w:bCs/>
          <w:color w:val="0000CC"/>
          <w:sz w:val="21"/>
          <w:szCs w:val="21"/>
        </w:rPr>
        <w:t xml:space="preserve">Table 5: </w:t>
      </w:r>
      <w:r>
        <w:rPr>
          <w:rFonts w:ascii="Cambria" w:cs="Cambria" w:eastAsia="Cambria" w:hAnsi="Cambria"/>
          <w:color w:val="0000CC"/>
          <w:sz w:val="21"/>
          <w:szCs w:val="21"/>
        </w:rPr>
        <w:t xml:space="preserve">Descriptions, issues and limitations of existing studies on multi-party authorisation and collaborative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 [35]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Nexa, a public Avalanche blockchain record system with a public prototype and a Synthea-derived dataset, in which each record key is protected by a Shamir (5, 3) threshold; clinical access combines the requester's share with two automated oracle shares released on the current on-chain role, revocation of roles is checked at each request, and an institutional M-of-N multi-signature for bulk access is proposed.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threshold is over key custodians, not authorisers: a single authorisation locus with no human co-approval and the patient's share not required; the institutional multi-signature is outside the prototype; role-based only with no purpose, context or temporal term; no formal proof or tool; performance measured with no allow or deny or attack test; estimated competitor values.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 [38]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Informed consent represented as a patient-driven policy IC = (U, O, OP, CON) with hash integrity and contextual conditions (time, date, day, location, network address, frequency) that an authorisation module conjoins with organisational and regulatory policies; a Solidity consent-management contract is deployed on the Goerli testnet.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only multi-party element is a two-of-two multi-signature wallet in the test harness that gates consent registration, with unnamed members and no place in the model; no purpose term; lifecycle operations described but not specified; enforcement mechanisms explicitly not included; no measured result or allow or deny case; assumptions only, no security analysis.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 [43]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Deployed electronic informed consent for rare disease genomics at three Swedish genomic medicine centres on a commercial platform: a minor's consent is valid only when all legal guardians sign, guardianship is verified in real time against the national Population Register, authentication uses the national electronic identity, and adoption is reported for 2,244 invited participants.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guardian condition applies at consent registration, not to the access decision; the only decision-time touchpoint answers whether a valid consent exists, without purpose, scope or time; study-level broad consent with no policy; withdrawal effect not described; centralised research platform described in little technical detail; no formal or authorisation-correctness evidence; vendor conflict of interest declared.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 [47]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retrospective comparative case study of the Swedish and Finnish national patient portals in which guardian proxy access to a minor's record is gated jointly by a healthcare professional's capacity assessment and the minor's own consent, with register-verified guardianship and age windows whose enforcement is evidenced by no use within blocked windows and 95.8 per cent of capable minors consenting to disclosure.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collective condition is documentation-time governance in centralised national systems rather than a decision-time predicate in a decentralised exchange; consent is not an evaluable object with its own scope or purpose; the study is observational and offers no security analysis or formal assurance.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 [53]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fully decentralised multi-party consent scheme on Ethereum in which incapacitated-path access requires regulatory-agency approvals and at least min(ceil(0.7g), 5) guardian approvals on one request, emergency access requires agency approval and hospital admission confirmation, attestation expiry is enforced inside the decision, and claims and guardians can be revoked; a testnet prototype with gas costs is reported.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On the normal path a single patient key authorises, so joint approval is a contingency fallback rather than a condition of every decision; guardians hold no key shares and the regulatory agency can decrypt alone, so the joint guarantee is contract-level only; no policy, purpose or data-category model; no formal analysis, dataset, attack test or allow or deny matrix.</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S27 [61]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MedXBlock, a permissioned Ethereum access-control system with an implemented hybrid attribute- and role-based policy engine evaluating a conjunctive deny-by-default predicate over a stateful policy store, an M-of-N multi-signature contract over registered doctors and administrators for high-sensitivity and cross-departmental requests, token expiry checked at access, and 100 instrumented transactions.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threshold is institution-side, scoped to sensitive requests, bypassable by a single emergency officer and outside the grant predicate; patient consent is a boolean attribute, not an evaluable object with its own scope, validity or lifecycle; no purpose term; a threat table and an asserted safety property only; systems metrics with no executed authorisation, denial or attack test; gas figures internally inconsistent.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S35 [69]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Personal health record sharing with multi-party pre-authorisation verification in which the patient appoints n verifiers and a threshold t; each verifier checks the patient-issued grant, its expiry and the revocation list before releasing a share of the decryption key, so that t validated shares are needed to obtain the record; the secure multi-party computation layer is implemented in Go on ten machines.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joint approval is a pre-delegated contingency for an incapable patient; verifiers evaluate identity, grant, time and revocation but not purpose or data scope (attribute policy is future work); the identity, wallet, credential and ledger layers are not implemented; no authorisation test, no expired or revoked credential rejection test; STRIDE and LINDDUN enumeration with no proof over the protocol.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S41 [75]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Soteria, a multi-site clinical-trial data platform on Hyperledger Fabric with trusted-execution chaincode in which a (t, n) threshold signature over named investigators gates the admission of trial records to the ledger and the revocation of a consent, consents carry enumerated states with start and end times and a study-number binding validated at an endpoint, and fourteen endpoints are timed on a managed deployment.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 grant is unilateral and the threshold governs record admission and revocation rather than the patient's access decision; each vote is a hash-integrity check by institution-side investigators; time is a stored attribute not shown to gate the decision; no policy engine; no theorem, proof or adversary model; performance only with borrowed latency figures and no correctness or attack evaluation.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2.4.4  Policy- and Context-Aware Access Control</w:t>
      </w:r>
    </w:p>
    <w:p>
      <w:pPr>
        <w:spacing w:after="140" w:line="300"/>
        <w:jc w:val="both"/>
      </w:pPr>
      <w:r>
        <w:rPr>
          <w:rFonts w:ascii="Cambria" w:cs="Cambria" w:eastAsia="Cambria" w:hAnsi="Cambria"/>
          <w:color w:val="0000CC"/>
          <w:sz w:val="24"/>
          <w:szCs w:val="24"/>
        </w:rPr>
        <w:t xml:space="preserve">Healthcare access-control research has developed a broad range of mechanisms for restricting access according to roles, attributes, risk conditions and usage constraints. Attribute-based encryption and decentralised key management protect healthcare data through cryptographic access policies [32], risk-aware usage-control models incorporate dynamic conditions beyond role-based permissions [11], and recent surveys of blockchain-based and IoT healthcare access control emphasise fine-grained, dynamic and privacy-preserving enforcement [28, 25]. This section reviews the four analysed studies of stream 4 against Req 4. The question asked of each study is not whether a policy exists, but whether purpose, data scope, requester role and contextual constraints influence the decision at the time of access, and whether the evaluated policy is bound to the consent object rather than to the requester alone. It should be noted that, under the coding rules of Section 2.3, a policy that is described in prose or stored on a ledger without being consulted by the decision does not satisfy Req 4.</w:t>
      </w:r>
    </w:p>
    <w:p>
      <w:pPr>
        <w:spacing w:after="140" w:line="300"/>
        <w:jc w:val="both"/>
      </w:pPr>
      <w:r>
        <w:rPr>
          <w:rFonts w:ascii="Cambria" w:cs="Cambria" w:eastAsia="Cambria" w:hAnsi="Cambria"/>
          <w:color w:val="0000CC"/>
          <w:sz w:val="24"/>
          <w:szCs w:val="24"/>
        </w:rPr>
        <w:t xml:space="preserve">Tith et al. [71] proposed one of the earliest purpose-based consent models for electronic health records on a Hyperledger Fabric consortium. Consent is represented as an evaluable four-tuple of role, doctor identifiers, action and intended purpose, in which the intended purpose is expressed through a purpose tree with allowed and prohibited purposes, and the tuple is matched by chaincode at request time with per-datum scope. The model therefore satisfies Req 1 and Req 4. However, the consent tuple carries no temporal element, withdrawal is implemented in chaincode but its effect on subsequent access is not tested, identity rests on the Fabric membership service without decentralised identifiers or authority credentials, and the prototype on four nodes reports functional targets without quantitative results, attack cases or a formal argument. Jaiman and Urovi [49] developed a consent model for blockchain-based health data sharing platforms in which the purpose of a request is matched inside the smart contract against the patient's consent using the Data Use Ontology and the Automatable Discovery and Access Matrix ontology, and denial is tested across several requester profiles. This is one of the few studies in the corpus in which purpose is evaluated in the decision and the denial path is exercised. Security assurance is explicitly placed outside the scope of the paper, the consent is granted by a single patient, and temporal validity and lifecycle transitions are not enforced in the decision.</w:t>
      </w:r>
    </w:p>
    <w:p>
      <w:pPr>
        <w:spacing w:after="140" w:line="300"/>
        <w:jc w:val="both"/>
      </w:pPr>
      <w:r>
        <w:rPr>
          <w:rFonts w:ascii="Cambria" w:cs="Cambria" w:eastAsia="Cambria" w:hAnsi="Cambria"/>
          <w:color w:val="0000CC"/>
          <w:sz w:val="24"/>
          <w:szCs w:val="24"/>
        </w:rPr>
        <w:t xml:space="preserve">Albalwy et al. [37] presented ConsentChain, a dynamic consent architecture for clinical genomic data sharing on a permissioned Ethereum network. Consent is a machine-readable object of data type, role and purpose, combined into an access-policy tree that is hashed and evaluated by a checkConsent function, so that purpose, role and data type are jointly required. The evaluation is a rigid exact-match of hashes rather than a policy engine, the requester role is self-submitted and not verified against a credential, the consent tuple has no validity interval and time is applied only at the data-delivery layer through short-lived download links, revocation is a binary active or cancelled status, and the security analysis is qualitative. The proof of concept is deployed in a production environment with measured throughput and open source code, but no adversarial or systematic allow-and-deny tests are reported. Román-Martínez et al. [63] proposed a blockchain-based service-oriented architecture for consent management, access control and auditing in which FHIR Consent purpose-of-use limits are evaluated per resource by an XACML policy decision point operating over Hyperledger Fabric. This is the most standards-native purpose enforcement in the corpus, and the architecture includes supervisory auditing. Nevertheless, no withdrawal or expiry path exists anywhere in the architecture, and the authors state that their experiments validate the blockchain component only, so the authorisation decision itself is not verified.</w:t>
      </w:r>
    </w:p>
    <w:p>
      <w:pPr>
        <w:spacing w:after="140" w:line="300"/>
        <w:jc w:val="both"/>
      </w:pPr>
      <w:r>
        <w:rPr>
          <w:rFonts w:ascii="Cambria" w:cs="Cambria" w:eastAsia="Cambria" w:hAnsi="Cambria"/>
          <w:color w:val="0000CC"/>
          <w:sz w:val="24"/>
          <w:szCs w:val="24"/>
        </w:rPr>
        <w:t xml:space="preserve">Across the 44 included studies, T4 is coded Yes in 16, Partial in 22 and No in 6, so a policy or attribute condition influences the access decision in a substantial share of the reviewed systems and the requirement cannot be described as unaddressed. The nature of the policy is, however, narrower than Req 4 demands. In most of the T4-positive studies the evaluated policy is bound to the requester, namely to a role, a department, an institution or an attribute set, as in Punia et al. [61], Li et al. [51], the attribute-based access control of Ghosh et al. [46] and the attribute-based encryption schemes of stream 6. Purpose-of-use enters the evaluated decision in only seven of the 44 included studies [37, 44, 45, 49, 57, 63, 71], and purpose and data scope are jointly present in the decision by design in fewer still, namely Albalwy et al. [37], Eneh et al. [44], Tith et al. [71] and the supporting study [45]. Contextual constraints such as jurisdiction appear only as a rule field in Eneh et al. [44]. The gap verdicts recorded by the coding panel repeatedly note the absence of a purpose or data-category policy from the decision: Madine et al. [53] contain no purpose or policy term in the body of the paper, Tan et al. [69] defer attribute-based scope to future work, Punia et al. [61] evaluate role, department, record type and duty hours but no purpose, and Hema et al. [64] scope keys by role and workflow but carry no purpose-of-use term in the consent token. It should also be noted that every purpose-bearing study is coded T3 No, and that the single study which conjoins an implemented policy engine with a threshold approval, Punia et al. [61], consumes patient consent as a boolean attribute rather than as a consent object with its own scope. Therefore, the residual deficit for Req 4 is not the absence of a policy engine. It is the absence of purpose-of-use and data-scope constraints that are carried by the consent object C itself and evaluated together with the identity, authority and multi-party conditions, with evidence that requests outside the authorised scope are refused. Table 6 presents a summary of the four analysed studies of stream 4 and their commitment to the key requirements.</w:t>
      </w:r>
    </w:p>
    <w:p>
      <w:pPr>
        <w:spacing w:after="140" w:line="300"/>
        <w:jc w:val="both"/>
      </w:pPr>
      <w:r>
        <w:rPr>
          <w:rFonts w:ascii="Cambria" w:cs="Cambria" w:eastAsia="Cambria" w:hAnsi="Cambria"/>
          <w:color w:val="0000CC"/>
          <w:sz w:val="24"/>
          <w:szCs w:val="24"/>
        </w:rPr>
        <w:t xml:space="preserve">Supporting evidence. One further included study of stream 4 was coded but is not discussed individually. The quantum-safe attribute-based access control scheme of Ghosh et al. [46] corroborates the finding that an attribute policy can operate inside the access decision and be enforced cryptographically, with attribute revocation checked at every access; it also confirms the residual deficit, since the policy carries no purpose-of-use or data-scope term, one fully trusted authority issues and verifies both identity and authority, and the security analysis is argued without a theorem or tool.</w:t>
      </w:r>
    </w:p>
    <w:p>
      <w:pPr>
        <w:keepNext/>
        <w:spacing w:after="80" w:before="160"/>
        <w:jc w:val="center"/>
      </w:pPr>
      <w:r>
        <w:rPr>
          <w:rFonts w:ascii="Cambria" w:cs="Cambria" w:eastAsia="Cambria" w:hAnsi="Cambria"/>
          <w:b/>
          <w:bCs/>
          <w:color w:val="0000CC"/>
          <w:sz w:val="21"/>
          <w:szCs w:val="21"/>
        </w:rPr>
        <w:t xml:space="preserve">Table 6: </w:t>
      </w:r>
      <w:r>
        <w:rPr>
          <w:rFonts w:ascii="Cambria" w:cs="Cambria" w:eastAsia="Cambria" w:hAnsi="Cambria"/>
          <w:color w:val="0000CC"/>
          <w:sz w:val="21"/>
          <w:szCs w:val="21"/>
        </w:rPr>
        <w:t xml:space="preserve">Descriptions, issues and limitations of existing studies on policy- and context-aware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 [37]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ConsentChain represents genomic-data consent as a machine-readable object of data type, role and purpose combined into an access-policy tree that is hashed and evaluated by a checkConsent function on a permissioned Ethereum network; the proof of concept is deployed with measured throughput and open source code.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evaluation is a rigid hash exact-match rather than a policy engine; the requester role is self-submitted without credential verification; the consent tuple has no validity interval and time is enforced only at the delivery layer; revocation is a binary status; a single patient consents; the security analysis is qualitative and no adversarial or allow-and-deny suite is reported.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 [49]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consent model for blockchain-based health data sharing platforms in which the requester's purpose is matched inside the smart contract against the patient's consent through DUO and ADA-M ontology terms, with denial tested across several requester profiles.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Security assurance is explicitly outside the scope of the paper; the consent is granted by a single patient without guardian or threshold approval; temporal validity and lifecycle states are not enforced in the decision; identity and authority verification is only partially addressed.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S29 [63]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blockchain-based service-oriented architecture for consent management, access control and auditing in which FHIR Consent purpose-of-use limits are evaluated per resource by an XACML policy decision point over Hyperledger Fabric, with supervisory audit services.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withdrawal or expiry path exists anywhere in the architecture; the authors state that the experiments validate the blockchain component only, so the authorisation decision is not verified; no multi-party approval, identity and authority only partially verified, and no formal security argument.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S37 [71]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purpose-based consent model for EHRs on Hyperledger Fabric in which consent is an evaluable tuple of role, doctor identifiers, action and intended purpose, matched by chaincode at request time against a purpose tree of allowed and prohibited purposes with per-datum scope.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 tuple has no temporal element; withdrawal is implemented but its effect on later access is untested and there is no state machine; identity relies on Fabric membership certificates without DIDs, VCs or authority credentials; consensus endorsement is not multi-party consent; no formal verification or threat model; the four-node prototype reports functional targets without quantitative results or attack cases.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2.4.5  Temporal Validity and Consent Lifecycle</w:t>
      </w:r>
    </w:p>
    <w:p>
      <w:pPr>
        <w:spacing w:after="140" w:line="300"/>
        <w:jc w:val="both"/>
      </w:pPr>
      <w:r>
        <w:rPr>
          <w:rFonts w:ascii="Cambria" w:cs="Cambria" w:eastAsia="Cambria" w:hAnsi="Cambria"/>
          <w:color w:val="0000CC"/>
          <w:sz w:val="24"/>
          <w:szCs w:val="24"/>
        </w:rPr>
        <w:t xml:space="preserve">Req 5 requires that the validity interval of a consent and its lifecycle state are technically enforced inside the authorisation decision. Two distinctions from the codebook of Section 2.3 govern the reading of this stream. First, a timestamp that is written to a log or stored in a consent record is not temporal authorisation; the decision itself must read the clock. Second, a mention of revocation, or an operation that changes a status field, is not an implemented lifecycle unless the state is consulted by the decision and the transitions are constrained. This section reviews the four analysed studies of stream 5, namely Eneh et al. [44], Li et al. [51], Panagoulias et al. [57] and Hema et al. [64], and draws on the lifecycle evidence recorded for the analysed studies of the other streams.</w:t>
      </w:r>
    </w:p>
    <w:p>
      <w:pPr>
        <w:spacing w:after="140" w:line="300"/>
        <w:jc w:val="both"/>
      </w:pPr>
      <w:r>
        <w:rPr>
          <w:rFonts w:ascii="Cambria" w:cs="Cambria" w:eastAsia="Cambria" w:hAnsi="Cambria"/>
          <w:color w:val="0000CC"/>
          <w:sz w:val="24"/>
          <w:szCs w:val="24"/>
        </w:rPr>
        <w:t xml:space="preserve">Eneh et al. [44] presented EdgeConsent, an on-chain attribute-based access control engine for data consent management, demonstrated on a healthcare scenario. Consent rules carry not-before and not-after bounds together with roles, organisations, jurisdictions, data categories, sensitivity levels, purposes and actions, and the checkAccess function evaluates the requester attributes, the resource, the purpose and the current timestamp against these bounds with deny-by-default and deny-overrides semantics. Expiry therefore takes effect at decision time, and the demonstration shows that a request is denied again once its rule is revoked. This is the first study in the corpus in which temporal validity is enforced inside the decision predicate. The lifecycle is nevertheless limited to an active flag and the temporal bounds, without pending, suspended or renewed states; identity is a wallet address with an attribute registry whose issuance governance is unspecified; a single patient authors the rules; there is no threat model; and the evaluation is a two-page demonstration on a local network with gas measurements and an integration test suite. Hema et al. [64] took a different route in a patient-centric cryptographic protection scheme for cloud EHRs, in which the patient's signed consent token, the requester role and the expiry time are inputs to the key derivation function, so that once the expiry has passed the decryption key cannot be reconstructed and revocation likewise causes derivation to fail without re-encryption. Temporal validity is thus not merely evaluated but made cryptographically unreachable, and authority is separated from identity through role-scoped keys. However, there is no lifecycle state machine, the consent is issued by a single patient key, identity relies on a commercial authentication service without credentials, the security argument is an adversary model with a probabilistic statement rather than a proof, and only operation latency is measured. Panagoulias et al. [57] proposed a blockchain-enabled governance overlay for clinical artificial intelligence pipelines in which a formal policy object carries identifiers, roles, purposes, a validity window and a revoked flag with a version number, and access is allowed only if the policy is valid at time t and the role and purpose conditions hold. Revocation is enforced mid-stream at decision time and is verified through a consent-drift metric over 43,500 simulated attempts across nine scenarios, with denials recorded as ledger events. The temporal conjunct is implemented but interval-bound denials are not separately exercised, the lifecycle is a binary active or revoked state, the ledger is a single-node hash chain without consensus, identity is inherited from an existing clinical identity provider, and the authors explicitly declare that no formal verification was performed.</w:t>
      </w:r>
    </w:p>
    <w:p>
      <w:pPr>
        <w:spacing w:after="140" w:line="300"/>
        <w:jc w:val="both"/>
      </w:pPr>
      <w:r>
        <w:rPr>
          <w:rFonts w:ascii="Cambria" w:cs="Cambria" w:eastAsia="Cambria" w:hAnsi="Cambria"/>
          <w:color w:val="0000CC"/>
          <w:sz w:val="24"/>
          <w:szCs w:val="24"/>
        </w:rPr>
        <w:t xml:space="preserve">The fourth analysed study illustrates a pattern that the coding panel describes as displacement, in which time is enforced on an artefact issued to the requester rather than on the consent itself. Li et al. [51] presented a hybrid role-based and smart-contract scheme with attribute-based authorisation for IoMT records, in which the expiry of a signed credential is compared with the current time at every sharing interaction and a grant ledger records authorisations; the credential window is enforced, but the consent or authorisation object itself carries no enforced validity window and there is no consent state machine. The same displacement is observed in the short-lived tokens of Tseng et al. [73] in stream 2, whose expiry is checked by the token validator while revocation of the access-control list does not invalidate tokens already issued. In both cases the enforced time belongs to a credential or a token, and the consent object is left without a validity interval of its own.</w:t>
      </w:r>
    </w:p>
    <w:p>
      <w:pPr>
        <w:spacing w:after="140" w:line="300"/>
        <w:jc w:val="both"/>
      </w:pPr>
      <w:r>
        <w:rPr>
          <w:rFonts w:ascii="Cambria" w:cs="Cambria" w:eastAsia="Cambria" w:hAnsi="Cambria"/>
          <w:color w:val="0000CC"/>
          <w:sz w:val="24"/>
          <w:szCs w:val="24"/>
        </w:rPr>
        <w:t xml:space="preserve">Across the 44 included studies, T5 is coded Yes in 10 and T6 in 11, while Req 5, which requires enforcement in the decision, is Yes in 8; among the 25 analysed studies the corresponding counts are 8, 7 and 8, so that every study coded Yes on Req 5 belongs to the analysed set. The distinction between recorded and enforced time explains most of the Partial codes. Albalwy et al. [37], for example, store a struct timestamp in the consent record and apply time only to the download link, so that the consent tuple itself has no validity interval. A parallel distinction separates named state machines from ad hoc revocation flags. Named states with constrained transitions appear in Phuyal et al. [58] (active and revoked with an audited emergency override), Wu et al. [75] (approved, pending, completed and revoked with investigator-verified transitions) and Punia et al. [61], although in the last case the states belong to policies and tokens rather than to the consent. By contrast, Abbasi et al. [35] enforce a role status without consent states, and even Madine et al. [53], with four transitions that affect the decision, define no named state set. Where revocation is enforced at scheme level, as in the immediate ciphertext update of Mei et al. [55], its cost is measured but its effect on a revoked requester is not exercised; among the analysed studies a post-revocation denial is actually demonstrated only by Phuyal et al. [58], Panagoulias et al. [57] and Eneh et al. [44]. In this context, the residual deficit for Req 5 is not the absence of decision-time temporal enforcement, which Eneh et al. [44], Hema et al. [64] and Panagoulias et al. [57] each achieve in isolation. It is the absence of verified temporal and lifecycle enforcement at the level of the consent object in a deployed multi-institution exchange, together with the fact that the three stream-5 systems which enforce time inside the decision are all single-party, and that of the eight analysed studies coded Yes on Req 5, including the multi-party designs of Madine et al. [53] and Punia et al. [61], only the encryption scheme of Mei et al. [55] carries a formal proof, and that proof concerns the static encryption predicate rather than the consent decision. Table 7 presents a summary of the analysed stream-5 studies and their commitment to the key requirements.</w:t>
      </w:r>
    </w:p>
    <w:p>
      <w:pPr>
        <w:spacing w:after="140" w:line="300"/>
        <w:jc w:val="both"/>
      </w:pPr>
      <w:r>
        <w:rPr>
          <w:rFonts w:ascii="Cambria" w:cs="Cambria" w:eastAsia="Cambria" w:hAnsi="Cambria"/>
          <w:color w:val="0000CC"/>
          <w:sz w:val="24"/>
          <w:szCs w:val="24"/>
        </w:rPr>
        <w:t xml:space="preserve">Supporting evidence. One further included study of stream 5 was coded but is not discussed individually. The revocable attribute-based encryption scheme of Xu et al. [77], organised in key epochs for hospital-to-hospital sharing, corroborates the displacement pattern, since revocation is realised by key rollover so that a revoked user retains access until the epoch ends, the word consent does not appear and keyword matching is a discovery mechanism rather than an approval. The distinction between recorded and enforced time is likewise corroborated by supporting studies of the other streams in which a timestamp is stored, logged or used only as a replay window without being read by the decision [46], [60], [62], [78], or in which automatic expiry is claimed without specifying where the clock is read [68], [70]; a post-revocation denial is reported outside the analysed set only in results captioned as illustrative [45] or in a single narrated scenario [68], and named consent states gating the decision appear in one further supporting study [66].</w:t>
      </w:r>
    </w:p>
    <w:p>
      <w:pPr>
        <w:keepNext/>
        <w:spacing w:after="80" w:before="160"/>
        <w:jc w:val="center"/>
      </w:pPr>
      <w:r>
        <w:rPr>
          <w:rFonts w:ascii="Cambria" w:cs="Cambria" w:eastAsia="Cambria" w:hAnsi="Cambria"/>
          <w:b/>
          <w:bCs/>
          <w:color w:val="0000CC"/>
          <w:sz w:val="21"/>
          <w:szCs w:val="21"/>
        </w:rPr>
        <w:t xml:space="preserve">Table 7: </w:t>
      </w:r>
      <w:r>
        <w:rPr>
          <w:rFonts w:ascii="Cambria" w:cs="Cambria" w:eastAsia="Cambria" w:hAnsi="Cambria"/>
          <w:color w:val="0000CC"/>
          <w:sz w:val="21"/>
          <w:szCs w:val="21"/>
        </w:rPr>
        <w:t xml:space="preserve">Descriptions, issues and limitations of existing studies on temporal validity and consent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 [44]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EdgeConsent implements an on-chain attribute-based access control engine in which consent rules with not-before and not-after bounds, purposes, data categories, sensitivity levels and jurisdictions are evaluated by checkAccess against the requester attributes and the current timestamp, with deny-by-default; revocation is enforced at the next block and every decision is logged.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Lifecycle limited to an active flag and temporal bounds without pending, suspended or renewed states; wallet-address identity with unspecified attribute issuance and no DIDs or VCs; single-patient rules with no threshold; no threat model or formal properties; two-page demonstration on a local network with gas measurements but no adversarial or correctness suite.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S17 [51]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hybrid RBAC and smart-contract scheme with attribute-based authorisation for IoMT records in which the expiry of a signed credential is checked against the current time at every sharing interaction and authorisations are recorded on a grant ledger.</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Time is enforced on the requester's credential rather than on the consent or authorisation object, which carries no validity window; no consent state machine; no multi-party approval; neither a formal proof of the authorisation decision nor decision-level correctness evidence is reported (both coded Partial).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 [57]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blockchain-enabled governance overlay for clinical AI pipelines in which a formal policy object with roles, purposes, a validity window, a revoked flag and a version is evaluated so that access is allowed only if the policy is valid at time t and the role and purpose hold; mid-stream revocation is verified at scale through a consent-drift metric, with denials ledgered and the artefact publicly archived.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Interval-bound denials are not separately exercised and the lifecycle is a binary active or revoked state; single-node hash-chain ledger without consensus; identity inherited from an existing clinical identity provider; single policy administrator with no multi-party approval; purpose is requester-declared set membership without attestation or scope; the authors declare that no formal verification was performed.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S30 [64]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patient-centric cryptographic protection scheme for cloud EHRs in which the patient's signed consent token, the requester role, the expiry time and delegation are inputs to key derivation, so that an expired or revoked consent makes the decryption key unreachable without re-encryption and role-scoped keys separate authority from identity.</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explicit lifecycle state machine; consent issued by a single patient key although the construction could accept a threshold; identity relies on a commercial authentication service and device keys without credentials; adversary model with a probabilistic statement but no proof or tool; only operation latency is measured, with literature values as baselines.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2.4.6  Formal Security Assurance and Empirical Validation</w:t>
      </w:r>
    </w:p>
    <w:p>
      <w:pPr>
        <w:spacing w:after="140" w:line="300"/>
        <w:jc w:val="both"/>
      </w:pPr>
      <w:r>
        <w:rPr>
          <w:rFonts w:ascii="Cambria" w:cs="Cambria" w:eastAsia="Cambria" w:hAnsi="Cambria"/>
          <w:color w:val="0000CC"/>
          <w:sz w:val="24"/>
          <w:szCs w:val="24"/>
        </w:rPr>
        <w:t xml:space="preserve">Req 6 has two components. The first is that the security properties of the authorisation mechanism are formally defined and demonstrated, through a security proof, a model, a verification tool or an explicit adversary model with a theorem; under the codebook, the statement that a system is secure is not evidence, and a threat discussion alone is coded Partial. The second is that the mechanism is validated empirically, through a prototype, a dataset, allow-and-deny test cases, attack cases or audit evidence; architecture diagrams alone are not empirical validation. In the workbook these two components are coded separately as Req6 and Req7, and they are combined into the report's Req 6 in the tables of this chapter. Stream 6 gathers the four analysed studies in which formal argument is a principal contribution, namely Zhao and Su [50], Maruthi and Singh [54], Mei et al. [55] and Wu and Zhang [76], all of them cryptographic constructions published in security and network journals.</w:t>
      </w:r>
    </w:p>
    <w:p>
      <w:pPr>
        <w:spacing w:after="140" w:line="300"/>
        <w:jc w:val="both"/>
      </w:pPr>
      <w:r>
        <w:rPr>
          <w:rFonts w:ascii="Cambria" w:cs="Cambria" w:eastAsia="Cambria" w:hAnsi="Cambria"/>
          <w:color w:val="0000CC"/>
          <w:sz w:val="24"/>
          <w:szCs w:val="24"/>
        </w:rPr>
        <w:t xml:space="preserve">Wu and Zhang [76] presented HealthDID, an authorisable multi-party privacy-preserving EMR sharing system based on decentralised identifiers. The authorisation proof is a non-interactive zero-knowledge proof that binds the data subject's commitment to the public key of a specific queryer, so that a verifier can check that this subject authorised this requester without learning the subject's identity; authorisation is thereby cleanly separated from the DID challenge-response authentication. The paper states three game-based security definitions and proves three theorems by reduction, namely anonymity from the hiding property of Pedersen commitments, unforgeability of the authorisation proof from the discrete logarithm assumption through the forking lemma, and search privacy from the decisional Diffie-Hellman assumption. This is the first complete formal assurance in the corpus. What is proven, however, concerns the identity and authority fragment only. There is no theorem of the form that access is granted only under stated conditions, and the proofs cannot cover policy, temporal or lifecycle conjuncts because the system has none: access is all-or-nothing per authorising owner, the only time values are index and document fields that no algorithm reads, and there is no revocation, withdrawal or state. The term multi-party denotes several stakeholders whose privacy requirements are satisfied simultaneously, not several parties authorising one decision. The evaluation is a rigorous and reproducible performance study with a public repository, but without allow-and-deny tests, executed attacks or a dataset. Zhao and Su [50] proposed a threshold traceable delegation authorisation scheme in which the data owner delegates to l of d already-authorised users, each of whom must run an authorisation algorithm bound to a private key before an out-of-policy requester can restore the data; unforgeability below the threshold rests on the bilinear Diffie-Hellman assumption and confidentiality is proven under an IND-CPA game with reduction. The proof covers the threshold gate in isolation, the delegates are consumer-side clinicians rather than patient-side stakeholders, there is no time, expiry, revocation or state, and the Java benchmark measures performance only. Maruthi and Singh [54] addressed the unconscious patient with a threshold proxy re-encryption scheme in which t of n patient-designated relatives contribute to re-encryption without the key ever being reassembled at a single point, the hospital and the relatives are authenticated on chain through non-interactive zero-knowledge proofs, and IND-CCA security is proven; a Solidity implementation is reported. The collective mechanism is genuine and decision-time, but policy and temporal conditions are both absent, so the proof again covers a narrow predicate. Mei et al. [55] proposed a dual-revocation ciphertext-policy attribute-based encryption scheme for IoMT in which a direct mode terminates access immediately through a ciphertext update, a construction the authors motivate by patient consent withdrawal, with user-level and attribute-level granularity and an IND-CPA reduction under the q-BDHE assumption; the scheme has no audit element and no multi-party approval, and the proof concerns the static encryption predicate.</w:t>
      </w:r>
    </w:p>
    <w:p>
      <w:pPr>
        <w:spacing w:after="140" w:line="300"/>
        <w:jc w:val="both"/>
      </w:pPr>
      <w:r>
        <w:rPr>
          <w:rFonts w:ascii="Cambria" w:cs="Cambria" w:eastAsia="Cambria" w:hAnsi="Cambria"/>
          <w:color w:val="0000CC"/>
          <w:sz w:val="24"/>
          <w:szCs w:val="24"/>
        </w:rPr>
        <w:t xml:space="preserve">Two observations follow at corpus level. First, formal assurance in the sense of the workbook's Req6 is coded Yes in only 4 of the 25 analysed studies, all of them in this stream, and in 6 of the 44 included studies, the remaining two being supporting encryption schemes of this stream. In every case the proven property attaches to a narrow predicate: an identity-and-authority fragment in HealthDID [76], a threshold gate in Zhao and Su [50] and Maruthi and Singh [54], or a static attribute policy in the encryption scheme of Mei et al. [55]. Conversely, the studies with the broadest decision predicates carry the weakest assurance. Punia et al. [61], with six of seven dimensions positive, offer a threat table and an asserted safety property; Madine et al. [53], the strongest multi-party system, contain no adversary model, property statement or proof; and Panagoulias et al. [57], whose decision is the best verified in the corpus, self-declare that no formal method was applied. The coding panel records this as an inverse relation between predicate breadth and assurance strength, and the quadrant in which a broad conjunctive predicate is also formally assured is empty. Structured threat models in the STRIDE or LINDDUN style, as in Tan et al. [69], Phuyal et al. [59] and Panagoulias et al. [57], are valuable but were coded Partial because they enumerate threats without demonstrating properties.</w:t>
      </w:r>
    </w:p>
    <w:p>
      <w:pPr>
        <w:spacing w:after="140" w:line="300"/>
        <w:jc w:val="both"/>
      </w:pPr>
      <w:r>
        <w:rPr>
          <w:rFonts w:ascii="Cambria" w:cs="Cambria" w:eastAsia="Cambria" w:hAnsi="Cambria"/>
          <w:color w:val="0000CC"/>
          <w:sz w:val="24"/>
          <w:szCs w:val="24"/>
        </w:rPr>
        <w:t xml:space="preserve">Second, empirical validation in the sense of the workbook's Req7 is coded Yes in only 5 of the 44 included studies, Partial in 35 and No in 4; all five Yes codes fall within the analysed set, where the distribution is Yes in 5 of the 25, Partial in 19 and No in 1. The meaning of evaluation in the corpus is instructive. In the large majority of the Partial cases, evaluation means throughput, latency, gas cost, block time or encryption timing. Abbasi et al. [35] measure hundreds to a thousand transactions per operation on a public test network with a published repository and a Synthea-generated dataset, yet execute no allow-or-deny test. Punia et al. [61] instrument 100 transactions and narrate, but do not run, the single denial scenario. The four cryptographic studies of this stream report benchmarks of their primitives without exercising a single denial. The pattern, described by the panel as built and measured but never validated as an authorisation decision, is the dominant form of evidence. Negative validation of the decision, that is, evidence that requests without sufficient authority, outside the authorised scope or after revocation are refused, is found in a small minority. Panagoulias et al. [57] report a blocked rate of 1.000 for unauthorised attempts and zero post-revocation drift across 43,500 attempts, in a single-node simulation; Phuyal et al. [58] test allow and deny paths over 100 runs per workflow and show that revocation yields a refused access within about 1.5 seconds, in a simulated hospital without adversarial tests; Jaiman and Urovi [49] test denial across requester profiles; Albalwy et al. [37] deploy a proof of concept with open code but without adversarial tests; and Hagström et al. [47] show that age windows in a national portal are enforced in practice. No study executes an adversarial campaign against the authorisation decision itself; where adversarial testing exists it targets ledger integrity, as in Panagoulias et al. [57], or the software surface through penetration testing, as in Tremper et al. [72]. Therefore, the residual deficit for Req 6 is the combination, within one system, of a formal argument over the conjoined identity, authority, multi-party, policy and temporal conditions and an audited set of allow and deny cases that includes the negative cases. Table 8 presents a summary of the analysed stream-6 studies and their commitment to the key requirements.</w:t>
      </w:r>
    </w:p>
    <w:p>
      <w:pPr>
        <w:spacing w:after="140" w:line="300"/>
        <w:jc w:val="both"/>
      </w:pPr>
      <w:r>
        <w:rPr>
          <w:rFonts w:ascii="Cambria" w:cs="Cambria" w:eastAsia="Cambria" w:hAnsi="Cambria"/>
          <w:color w:val="0000CC"/>
          <w:sz w:val="24"/>
          <w:szCs w:val="24"/>
        </w:rPr>
        <w:t xml:space="preserve">Supporting evidence. Five further included studies of stream 6 were coded but are not discussed individually. The revocable attribute-based searchable encryption scheme of Gao et al. [48] and the bilateral proxy re-encryption scheme of Luo et al. [52] are the two remaining studies coded Yes on formal assurance among the 44 included studies, and they corroborate the first observation, since each proof concerns a static encryption predicate, the threshold among authorisation nodes in [48] is key-management resilience rather than approval and the bilateral matching in [52] is policy symmetry rather than co-approval. The private set intersection protocol of Cao et al. [40], the lightweight multi-authority CP-ABE scheme of Qiao et al. [62] and the policy-hiding encryption scheme of Zhang et al. [56] were coded Partial on formal assurance because their proofs do not reach the authorisation decision, and all five corroborate the second observation, since their evaluations are timing benchmarks or simulations without allow-and-deny or attack tests.</w:t>
      </w:r>
    </w:p>
    <w:p>
      <w:pPr>
        <w:keepNext/>
        <w:spacing w:after="80" w:before="160"/>
        <w:jc w:val="center"/>
      </w:pPr>
      <w:r>
        <w:rPr>
          <w:rFonts w:ascii="Cambria" w:cs="Cambria" w:eastAsia="Cambria" w:hAnsi="Cambria"/>
          <w:b/>
          <w:bCs/>
          <w:color w:val="0000CC"/>
          <w:sz w:val="21"/>
          <w:szCs w:val="21"/>
        </w:rPr>
        <w:t xml:space="preserve">Table 8: </w:t>
      </w:r>
      <w:r>
        <w:rPr>
          <w:rFonts w:ascii="Cambria" w:cs="Cambria" w:eastAsia="Cambria" w:hAnsi="Cambria"/>
          <w:color w:val="0000CC"/>
          <w:sz w:val="21"/>
          <w:szCs w:val="21"/>
        </w:rPr>
        <w:t xml:space="preserve">Descriptions, issues and limitations of existing studies on formal security assurance and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 [50]</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threshold traceable delegation authorisation scheme in which the data owner delegates to l of d already-authorised users, each running a private-key-bound authorisation algorithm before an out-of-policy requester can restore the data, with IND-CPA security reduced to the bilinear Diffie-Hellman assumption and unforgeability argued by reference.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Delegates are consumer-side clinicians rather than patient-side stakeholders and the owner's own decision is unilateral; identity is an escrowed identity-based key without authentication protocol or credentials; no purpose term and out-of-policy requesters bypass the policy by delegation; no time, expiry, revocation or states; accountability signature verifiable by the owner only; Java benchmark against the authors' own baseline with no system prototype or allow-and-deny tests.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 [54]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 scheme for IoMT data of unconscious patients in which t of n patient-designated relatives contribute to threshold proxy re-encryption without the key being reassembled at any single point, the hospital and relatives are authenticated on chain through non-interactive zero-knowledge proofs, IND-CCA security is proven and a Solidity implementation is reported.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policy, purpose or data-scope condition and no temporal validity in the decision; lifecycle limited to the emergency path without consent states; the proof covers the threshold and encryption predicate only; empirical validation is limited to an in-paper implementation (Req7 Partial) without a verified allow-and-deny suite.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 [55]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dual-revocation ciphertext-policy attribute-based encryption scheme for IoMT in which a direct mode terminates access immediately through a ciphertext update, motivated by patient consent withdrawal, with user-level and attribute-level granularity and an IND-CPA reduction under the q-BDHE assumption.</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audit element; attribute policy without a consent object; no multi-party approval; identity and authority only partially established; the proof concerns the static encryption predicate; scheme-level revocation is measured for cost, and enforcement at the consent object in a multi-institution exchange is not shown.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S42 [76]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HealthDID, a DID-based EMR sharing system in which a zero-knowledge authorisation proof binds the data subject's commitment to a specific queryer's public key, separating authorisation from authentication, with three game-based definitions and three reduction theorems for anonymity, unforgeability and search privacy, and a reproducible performance evaluation with a public repository.</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theorems cover the identity and authority fragment only and no theorem states the conditions under which access is granted; no purpose, role or data-category policy; no time value is read by any algorithm; no revocation, withdrawal or states; multi-party denotes multiple stakeholders' privacy, not joint authorisation; no allow-and-deny suite, executed attacks or dataset, and self-scored feature tables.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2.4.7  Comparative Analysis of Existing Approaches</w:t>
      </w:r>
    </w:p>
    <w:p>
      <w:pPr>
        <w:spacing w:after="140" w:line="300"/>
        <w:jc w:val="both"/>
      </w:pPr>
      <w:r>
        <w:rPr>
          <w:rFonts w:ascii="Cambria" w:cs="Cambria" w:eastAsia="Cambria" w:hAnsi="Cambria"/>
          <w:color w:val="0000CC"/>
          <w:sz w:val="24"/>
          <w:szCs w:val="24"/>
        </w:rPr>
        <w:t xml:space="preserve">The reviewed literature demonstrates that existing approaches provide strong solutions for individual dimensions of trustworthy consent authorisation. Evaluable consent objects that are consulted at the time of a request have existed since 2020 in the purpose-based models of Tith et al. [71] and Jaiman and Urovi [49], and are now realised with richer attributes in Eneh et al. [44], Panagoulias et al. [57] and Phuyal et al. [58]. The separation of identity from authority is achieved through licensing-body credentials in Phuyal et al. [58], through a national population register in Ekholm et al. [43], through a requester-bound zero-knowledge authorisation proof in HealthDID [76] and through role-scoped key derivation in Hema et al. [64]. Multi-party mechanisms exist in six distinct classes, from the guardian and agency approvals of Madine et al. [53] and the patient-appointed verifiers of Tan et al. [69] to the delegated threshold of Zhao and Su [50], the institutional multi-signature of Punia et al. [61], the kin threshold of Maruthi and Singh [54] and the deployed guardian co-consent of Ekholm et al. [43]. Policy engines operate inside the decision in Punia et al. [61] and Román-Martínez et al. [63]; temporal validity is enforced inside the decision by Eneh et al. [44], Hema et al. [64] and Madine et al. [53]; formal proofs are given for the identity fragment of HealthDID [76] and for several threshold and encryption schemes; and verified allow-and-deny behaviour is reported by Panagoulias et al. [57] and Phuyal et al. [58].</w:t>
      </w:r>
    </w:p>
    <w:p>
      <w:pPr>
        <w:spacing w:after="140" w:line="300"/>
        <w:jc w:val="both"/>
      </w:pPr>
      <w:r>
        <w:rPr>
          <w:rFonts w:ascii="Cambria" w:cs="Cambria" w:eastAsia="Cambria" w:hAnsi="Cambria"/>
          <w:color w:val="0000CC"/>
          <w:sz w:val="24"/>
          <w:szCs w:val="24"/>
        </w:rPr>
        <w:t xml:space="preserve">However, these contributions address different layers of the same problem, and the strength of each study on one requirement coincides with an absence on another. The systems that enforce purpose and time inside the decision are authored by a single patient and prove nothing; the systems that provide multi-party approval carry no purpose or data-scope condition and no formal argument; and the schemes that prove security properties do so for predicates that contain no policy, no temporal validity and no lifecycle. A blockchain record does not establish participant authority, a valid identifier does not establish permission, an approval threshold does not guarantee that the request lies within the authorised scope, and a proof of unforgeability does not state the conditions under which access is granted. Consequently, no reviewed study establishes that a healthcare data-access decision is trustworthy in the conjunctive sense required by Section 2.2, namely that the identity, authority, multi-party, policy and temporal conditions hold together and that this conjunction is both formally argued and empirically tested.</w:t>
      </w:r>
    </w:p>
    <w:p>
      <w:pPr>
        <w:spacing w:after="140" w:line="300"/>
        <w:jc w:val="both"/>
      </w:pPr>
      <w:r>
        <w:rPr>
          <w:rFonts w:ascii="Cambria" w:cs="Cambria" w:eastAsia="Cambria" w:hAnsi="Cambria"/>
          <w:color w:val="0000CC"/>
          <w:sz w:val="24"/>
          <w:szCs w:val="24"/>
        </w:rPr>
        <w:t xml:space="preserve">Table 9 summarises the position of the 25 analysed studies against the six key requirements and positions the proposed framework relative to the existing literature. The analysed studies are the 23 core studies ratified by the coding panel, that is, the studies whose coding narrows, weakens or contradicts one of the deficits of the gap statement or which carry a multi-party signal (T3 Yes or Partial), together with the two highest-quality supporting studies, Albalwy et al. [37] and Li et al. [51]. The 19 remaining supporting studies are cited in the supporting-evidence paragraphs of Sections 2.4.1 to 2.4.6 and are excluded from the matrix so that the comparison rests on the studies closest to the research problem. The ticks are taken from the coding of Section 2.3, with Req 6 combining the coding scheme's formal-assurance and empirical-validation codes as explained in Section 2.4.6.</w:t>
      </w:r>
    </w:p>
    <w:p>
      <w:pPr>
        <w:keepNext/>
        <w:spacing w:after="80" w:before="160"/>
        <w:jc w:val="center"/>
      </w:pPr>
      <w:r>
        <w:rPr>
          <w:rFonts w:ascii="Cambria" w:cs="Cambria" w:eastAsia="Cambria" w:hAnsi="Cambria"/>
          <w:b/>
          <w:bCs/>
          <w:color w:val="0000CC"/>
          <w:sz w:val="21"/>
          <w:szCs w:val="21"/>
        </w:rPr>
        <w:t xml:space="preserve">Table 9: </w:t>
      </w:r>
      <w:r>
        <w:rPr>
          <w:rFonts w:ascii="Cambria" w:cs="Cambria" w:eastAsia="Cambria" w:hAnsi="Cambria"/>
          <w:color w:val="0000CC"/>
          <w:sz w:val="21"/>
          <w:szCs w:val="21"/>
        </w:rPr>
        <w:t xml:space="preserve">Comparison of the analysed studies and the proposed framework against the key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rPr>
          <w:tblHeader/>
        </w:trPr>
        <w:tc>
          <w:tcPr>
            <w:tcW w:type="dxa" w:w="24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 [35] Abbasi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 [37] Albalwy et al. (2021)</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 [38] Al Amin et al. (2023)</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 [43] Ekholm et al.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 [44] Eneh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 [47] Hagström et al. (2024)</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 [49] Jaiman and Urovi (2020)</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 [50] Zhao and Su (2024)</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S17 [51] Li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 [53] Madine et al. (2020)</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 [54] Maruthi and Singh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 [55] Mei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 [57] Panagoulias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 [58] Phuyal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 [59] Phuyal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S27 [61] Punia et al.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S29 [63] Román-Martínez et al. (2023)</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S30 [64] Hema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S33 [67] Soohoo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S35 [69] Tan et al. (2024)</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S37 [71] Tith et al. (2020)</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S38 [72] Tremper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S39 [73] Tseng et al.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S41 [75] Wu et al. (2023)</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S42 [76] Wu and Zhang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Proposed framework (HALAH)</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spacing w:after="140" w:line="300"/>
        <w:jc w:val="both"/>
      </w:pPr>
      <w:r>
        <w:rPr>
          <w:rFonts w:ascii="Cambria" w:cs="Cambria" w:eastAsia="Cambria" w:hAnsi="Cambria"/>
          <w:color w:val="0000CC"/>
          <w:sz w:val="24"/>
          <w:szCs w:val="24"/>
        </w:rPr>
        <w:t xml:space="preserve">The matrix supports four observations. First, counting only full satisfaction, Req 1 is met by 12 of the 25 analysed studies, Req 2 by 7, Req 3 by 6, Req 4 by 10, Req 5 by 8 and Req 6 by 9; no requirement is unaddressed, but none is met by a majority of the analysed studies, and Req 1, at 12 of 25, comes closest. Second, no study satisfies all six requirements together. The largest number of requirements fully satisfied by a single study is four, reached by Madine et al. [53] on Req 1, Req 2, Req 3 and Req 5 and by Panagoulias et al. [57] on Req 1, Req 4, Req 5 and Req 6; six studies (Abbasi, Al Amin, Hagström, Madine, Punia and Wu et al. [75]) carry no cross in any column, but each of them relies on Partial codes for at least two requirements, and five studies (Abbasi, Phuyal et al. [59], Soohoo, Tremper and Wu et al. [75]) fully satisfy no requirement at all. Third, the pairs of requirements that co-occur most often are Req 1 with Req 4 (seven studies: Albalwy, Eneh, Jaiman and Urovi, Panagoulias, Román-Martínez, Hema and Tith) and Req 4 with Req 5 (six studies: Eneh, Li, Mei, Panagoulias, Punia and Hema), which reflects the maturity of single-party consent objects with purpose and time conditions. By contrast, Req 2 and Req 4 never co-occur in full, Req 3 co-occurs with Req 4 only in Punia et al. [61], and Req 3 co-occurs with Req 6 only in the two cryptographic threshold schemes of Zhao and Su [50] and Maruthi and Singh [54], both of which have no policy or temporal enforcement. Two triples are the most frequent, each found in three studies: Req 1 with Req 4 and Req 5, in Eneh et al. [44], Panagoulias et al. [57] and Hema et al. [64], all of them single-party systems, and Req 1 with Req 4 and Req 6, in Albalwy et al. [37], Jaiman and Urovi [49] and Panagoulias et al. [57], all of them single-party systems whose Req 6 tick rests on empirical validation rather than a formal proof. The triples that include Req 3 are Req 1, Req 2 and Req 3 in Madine et al. [53] and Tan et al. [69], neither of which enforces purpose or data scope or provides a formal argument, and Req 3, Req 4 and Req 5 in Punia et al. [61], where the threshold lies outside the policy predicate and no purpose term exists. Fourth, the two quadruples among the analysed studies are disjoint in exactly the way the gap predicts: Madine et al. [53] combine multi-party approval with identity, consent representation and time but not with policy or assurance, while Panagoulias et al. [57] combine consent representation, policy, time and validation but not with multi-party approval or identity depth.</w:t>
      </w:r>
    </w:p>
    <w:p>
      <w:pPr>
        <w:spacing w:after="140" w:line="300"/>
        <w:jc w:val="both"/>
      </w:pPr>
      <w:r>
        <w:rPr>
          <w:rFonts w:ascii="Cambria" w:cs="Cambria" w:eastAsia="Cambria" w:hAnsi="Cambria"/>
          <w:color w:val="0000CC"/>
          <w:sz w:val="24"/>
          <w:szCs w:val="24"/>
        </w:rPr>
        <w:t xml:space="preserve">The comparison therefore indicates that the principal contribution of the proposed framework is not the replacement of existing technologies, each of which the literature has developed to a high standard in isolation. Rather, it lies in establishing an explicit and verifiable relationship among them, so that the consent object C carries the identity, authority, multi-party threshold, purpose and data-scope, temporal and lifecycle conditions together, the authorisation decision is the conjunction of their independent verification, and this conjunction is both formally argued and validated through positive and negative test cases. It is this integrated position, represented by the final row of Table 9, that no reviewed study occupies, and the next section states the resulting research gap requirement by requirement.</w:t>
      </w:r>
    </w:p>
    <w:p>
      <w:pPr>
        <w:pStyle w:val="Heading2"/>
        <w:spacing w:after="160" w:before="280"/>
      </w:pPr>
      <w:r>
        <w:rPr>
          <w:rFonts w:ascii="Cambria" w:cs="Cambria" w:eastAsia="Cambria" w:hAnsi="Cambria"/>
          <w:color w:val="0000CC"/>
          <w:sz w:val="24"/>
          <w:szCs w:val="24"/>
        </w:rPr>
        <w:t xml:space="preserve">2.5  Synthesis and Research Gap</w:t>
      </w:r>
    </w:p>
    <w:p>
      <w:pPr>
        <w:spacing w:after="140" w:line="300"/>
        <w:jc w:val="both"/>
      </w:pPr>
      <w:r>
        <w:rPr>
          <w:rFonts w:ascii="Cambria" w:cs="Cambria" w:eastAsia="Cambria" w:hAnsi="Cambria"/>
          <w:color w:val="0000CC"/>
          <w:sz w:val="24"/>
          <w:szCs w:val="24"/>
        </w:rPr>
        <w:t xml:space="preserve">The synthesis below draws on the coding of all 44 included studies, whereas the in-depth discussion of Section 2.4 concentrated on the 25 analysed studies; the corpus-level counts are therefore reported over 44 unless stated otherwise. </w:t>
      </w:r>
      <w:r>
        <w:rPr>
          <w:rFonts w:ascii="Cambria" w:cs="Cambria" w:eastAsia="Cambria" w:hAnsi="Cambria"/>
          <w:color w:val="0000CC"/>
          <w:sz w:val="24"/>
          <w:szCs w:val="24"/>
        </w:rPr>
        <w:t xml:space="preserve">This section synthesises the review of the 44 primary studies presented in Section 2.4 against the six requirements defined in Section 2.2. Across the corpus, the requirement that is most often satisfied is the representation of consent as an evaluable authorisation object (Req 1), which 14 studies satisfy fully and 30 satisfy in part. Policy- and context-aware enforcement (Req 4) is satisfied fully by 13 studies, in part by 25 and not at all by 6, and temporal validity and lifecycle control (Req 5) is satisfied fully by 8 studies, in part by 26 and not at all by 10. Decentralised verification of identity and authority (Req 2) is satisfied fully by 7 studies and in part by 35, and only 2 studies describe no identity mechanism at all. Multi-party authorisation through a verifiable threshold (Req 3) is the least satisfied requirement: 6 studies satisfy it fully, 4 satisfy it in part and 34 do not address it. With respect to Req 6, formal security assurance of the authorisation decision is provided by 6 studies and argued informally by 17, while 21 studies offer no security analysis beyond assertion; empirical validation is complete in 5 studies, partial in 35 and absent in 4. It should be noted that these proportions are consistent with the signal prevalence in the </w:t>
      </w:r>
      <w:r>
        <w:rPr>
          <w:rFonts w:ascii="Cambria" w:cs="Cambria" w:eastAsia="Cambria" w:hAnsi="Cambria"/>
          <w:color w:val="E6007E"/>
          <w:sz w:val="24"/>
          <w:szCs w:val="24"/>
        </w:rPr>
        <w:t xml:space="preserve">wider full-text pool of 1,800 records described in Section 2.3.6</w:t>
      </w:r>
      <w:r>
        <w:rPr>
          <w:rFonts w:ascii="Cambria" w:cs="Cambria" w:eastAsia="Cambria" w:hAnsi="Cambria"/>
          <w:color w:val="0000CC"/>
          <w:sz w:val="24"/>
          <w:szCs w:val="24"/>
        </w:rPr>
        <w:t xml:space="preserve">, in which only 8% of the records carry a multi-party signal, 2% a temporal-validity signal and 1% a formal-verification signal, compared with 74% for audit or evidence and 69% for a prototype or experiment. The scarcity observed among the included studies is therefore a property of the field and not an artefact of the selection.</w:t>
      </w:r>
    </w:p>
    <w:p>
      <w:pPr>
        <w:spacing w:after="140" w:line="300"/>
        <w:jc w:val="both"/>
      </w:pPr>
      <w:r>
        <w:rPr>
          <w:rFonts w:ascii="Cambria" w:cs="Cambria" w:eastAsia="Cambria" w:hAnsi="Cambria"/>
          <w:color w:val="0000CC"/>
          <w:sz w:val="24"/>
          <w:szCs w:val="24"/>
        </w:rPr>
        <w:t xml:space="preserve">The most important correction that the review imposes on the framing of this research concerns multi-party authorisation. An earlier version of this chapter, built on a smaller corpus, stated that multi-party authorisation of patient consent does not exist in the literature. That statement is withdrawn. The coding panel identified six distinct mechanism classes in which more than one party participates in an authorisation-related decision. Madine et al. [53] require regulator and guardian approvals on a single access request, but only on the incapacitated and emergency paths; on the normal path a single patient key authorises, so that joint approval is a contingency rather than a standing condition. Wu et al. [75] apply a (t, n) threshold of investigators, but the threshold governs the admission of a trial record to the ledger and the revocation of a consent rather than the grant, and the vote itself reduces to a hash-integrity check. Zhao and Su [50] place the threshold among consumer-side delegates who are already within the access policy, and Tan et al. [69] place it among patient-appointed witnesses who act for a patient who is unable to act. Punia et al. [61] conjoin an institutional M-of-N signature with an attribute policy, but the signature is reserved for high-sensitivity and cross-departmental requests, lies outside the decision predicate and can be bypassed by a single emergency officer. Ekholm et al. [43] and Hagström et al. [47] </w:t>
      </w:r>
      <w:r>
        <w:rPr>
          <w:rFonts w:ascii="Cambria" w:cs="Cambria" w:eastAsia="Cambria" w:hAnsi="Cambria"/>
          <w:color w:val="E6007E"/>
          <w:sz w:val="24"/>
          <w:szCs w:val="24"/>
        </w:rPr>
        <w:t xml:space="preserve">report deployed platforms in which all legal guardians must</w:t>
      </w:r>
      <w:r>
        <w:rPr>
          <w:rFonts w:ascii="Cambria" w:cs="Cambria" w:eastAsia="Cambria" w:hAnsi="Cambria"/>
          <w:color w:val="0000CC"/>
          <w:sz w:val="24"/>
          <w:szCs w:val="24"/>
        </w:rPr>
        <w:t xml:space="preserve"> co-</w:t>
      </w:r>
      <w:r>
        <w:rPr>
          <w:rFonts w:ascii="Cambria" w:cs="Cambria" w:eastAsia="Cambria" w:hAnsi="Cambria"/>
          <w:color w:val="E6007E"/>
          <w:sz w:val="24"/>
          <w:szCs w:val="24"/>
        </w:rPr>
        <w:t xml:space="preserve">sign at consent registration, on a commercial research platform in [43] and, in [47], as a condition of guardian proxy access in national patient portals that is gated also by a professional's capacity assessment and the minor's own consent, and guardianship is verified against a population register</w:t>
      </w:r>
      <w:r>
        <w:rPr>
          <w:rFonts w:ascii="Cambria" w:cs="Cambria" w:eastAsia="Cambria" w:hAnsi="Cambria"/>
          <w:color w:val="0000CC"/>
          <w:sz w:val="24"/>
          <w:szCs w:val="24"/>
        </w:rPr>
        <w:t xml:space="preserve">; the co-consent is a validity condition of the registered consent and not a predicate evaluated on each subsequent access request. In addition, Maruthi and Singh [54] distribute a threshold key among patient-designated relatives, and Abbasi et al. [35] among automated oracles, so that the threshold protects key custody rather than expressing an authorisation judgement. Therefore, multi-party approval exists in the reviewed literature as a contingency path, a registration-time co-consent, an institution-side admission gate, a custodial M-of-N, a witness or notary threshold, or a key-share reconstruction. In no reviewed study is it a constitutive predicate that every access decision must satisfy together with the identity, policy and temporal conditions, and in no study is the approving set both defined by the patient and evaluated on every request.</w:t>
      </w:r>
    </w:p>
    <w:p>
      <w:pPr>
        <w:spacing w:after="140" w:line="300"/>
        <w:jc w:val="both"/>
      </w:pPr>
      <w:r>
        <w:rPr>
          <w:rFonts w:ascii="Cambria" w:cs="Cambria" w:eastAsia="Cambria" w:hAnsi="Cambria"/>
          <w:color w:val="0000CC"/>
          <w:sz w:val="24"/>
          <w:szCs w:val="24"/>
        </w:rPr>
        <w:t xml:space="preserve">A similar qualification applies to Req 4 and Req 5. Purpose of use is evaluated inside the decision in several studies. Tith et al. [71] and Albalwy et al. [37] match a purpose tree or a purpose tuple, Jaiman and Urovi [49] match ontology terms, Román-Martínez et al. [63] evaluate the FHIR purpose-of-use through an XACML decision point, Eneh et al. [44] evaluate purpose, data category and jurisdiction in an on-chain rule set, and Panagoulias et al. [57] verify a purpose conjunct at scale. However, every one of these studies is single-party, and the one study that conjoins a policy engine with a multi-party signature, Punia et al. [61], carries no purpose term and consumes consent as a Boolean attribute. In the cryptographic schemes the policy is bound to the ciphertext or to the requester's attributes rather than to the consent [78, 46, 56], and in the deployed research infrastructures the purpose is displayed or logged rather than evaluated [72, 74, 73]. Purpose and data-scope policy that is bound to the consent object and conjoined with multi-party approval is therefore largely absent. Temporal enforcement inside the decision is rare. Eneh et al. [44] evaluate the validity bounds of a rule at request time, the key-derivation scheme in [64] binds the expiry into the key so that decryption after expiry is unreachable, Madine et al. [53] discount stale attestations, and Punia et al. [61] check token expiry on access. In most other studies the time element is a stored timestamp [37, 71], an expiry field that the decision algorithm never reads [58], a session or token lifetime rather than a consent validity window [73, 67, 51], or a claimed auto-expiry with no enforcement locus [68, 70]. </w:t>
      </w:r>
      <w:r>
        <w:rPr>
          <w:rFonts w:ascii="Cambria" w:cs="Cambria" w:eastAsia="Cambria" w:hAnsi="Cambria"/>
          <w:color w:val="E6007E"/>
          <w:sz w:val="24"/>
          <w:szCs w:val="24"/>
        </w:rPr>
        <w:t xml:space="preserve">Verified revocation with an observed denial is reported by Panagoulias et al. [57] and Phuyal et al. [58], in a demonstration by Eneh et al. [44], and in a single narrated scenario in [68]</w:t>
      </w:r>
      <w:r>
        <w:rPr>
          <w:rFonts w:ascii="Cambria" w:cs="Cambria" w:eastAsia="Cambria" w:hAnsi="Cambria"/>
          <w:color w:val="0000CC"/>
          <w:sz w:val="24"/>
          <w:szCs w:val="24"/>
        </w:rPr>
        <w:t xml:space="preserve">; elsewhere revocation is specified and its cost measured, but its effect on a subsequent request is not exercised [61, 62, 60]. The gap under Req 5 is therefore not the absence of temporal mechanisms but the enforcement, at the consent object itself and verified at decision time, of the validity interval, revocation and state transitions in a multi-institution exchange.</w:t>
      </w:r>
    </w:p>
    <w:p>
      <w:pPr>
        <w:spacing w:after="140" w:line="300"/>
        <w:jc w:val="both"/>
      </w:pPr>
      <w:r>
        <w:rPr>
          <w:rFonts w:ascii="Cambria" w:cs="Cambria" w:eastAsia="Cambria" w:hAnsi="Cambria"/>
          <w:color w:val="0000CC"/>
          <w:sz w:val="24"/>
          <w:szCs w:val="24"/>
        </w:rPr>
        <w:t xml:space="preserve">Formal assurance of the authorisation decision is almost absent, and where it exists it is narrow. The six studies with a formal proof, Wu and Zhang [76], Zhao and Su [50], Maruthi and Singh [54], Mei et al. [55], Gao et al. [48] and Luo et al. [52], prove anonymity, unforgeability, confidentiality or revocation properties of a cryptographic gate over one or two conditions. None of them contains a theorem stating that access is granted only if a conjunction of identity, authority, policy, temporal and lifecycle conditions holds, because none of them implements such a conjunction. Conversely, the studies with the broadest decision predicates, Punia et al. [61], Madine et al. [53], Ferreira et al. [45], Phuyal et al. [58], Shanmugham and Senthilkumar [66] and Panagoulias et al. [57], provide at most a threat table or a structured adversary model. Across the corpus, therefore, the breadth of the decision predicate and the strength of its assurance vary inversely, and no study occupies the position in which a broad predicate is formally proved. The empirical evidence shows the same pattern from the other side. Five studies report a complete empirical evaluation [37, 47, 49, 57, 58], and only Panagoulias et al. [57] and Phuyal et al. [58] verify ALLOW and DENY outcomes systematically, the former in a single-node simulation and the latter without adversarial tests. A larger group of studies builds and measures a decision path without verifying a single authorisation decision [61, 35, 65, 72, 78, 36]; Sawant and Gomes [65] run the broadest measurement campaign in the corpus and report no outcome for the access-control function that they formalise. When the formal and empirical halves of Req 6 are combined, eleven studies reach a tick in the combined column of the tables of Section 2.4, but no study combines a formal proof of its decision with a systematic empirical test of that decision.</w:t>
      </w:r>
    </w:p>
    <w:p>
      <w:pPr>
        <w:spacing w:after="140" w:line="300"/>
        <w:jc w:val="both"/>
      </w:pPr>
      <w:r>
        <w:rPr>
          <w:rFonts w:ascii="Cambria" w:cs="Cambria" w:eastAsia="Cambria" w:hAnsi="Cambria"/>
          <w:color w:val="0000CC"/>
          <w:sz w:val="24"/>
          <w:szCs w:val="24"/>
        </w:rPr>
        <w:t xml:space="preserve">Taken together, the review establishes two gaps rather than one. The first is a conjunction gap. Identity and authority verification, collective approval, purpose and data-scope policy, temporal validity and lifecycle control each exist in the literature, several of them in mature form, and a number of studies combine three or four of them in one design [58, 61, 45, 66, 57]. No study, however, conjoins identity, authority, threshold, policy, temporal and jurisdictional and lifecycle conditions in one decision predicate in which multi-party approval is a standing condition of every access decision and in which the patient, rather than an institution, defines the approving set. The second is an assurance gap. Where the conditions do co-exist they are neither proved nor tested as an authorisation decision, and where a proof exists it covers a fragment of the predicate. The proposed framework is positioned against these two gaps. The consent object C carries the guardian set G and the threshold N together with the identity, policy, temporal, jurisdictional and lifecycle components; the access decision is the conjunction of the corresponding predicates; and the conjunction, rather than any single component, is the object of both formal and empirical assurance. It should be noted that the framework is not positioned on the idea of an evaluable consent object, which the literature has provided since 2020 [71, 37], nor on the existence of a threshold mechanism, which the six classes above provide, but on the conjunction of the conditions and on the assurance of that conjunction.</w:t>
      </w:r>
    </w:p>
    <w:p>
      <w:pPr>
        <w:pStyle w:val="Heading3"/>
        <w:spacing w:after="160" w:before="280"/>
      </w:pPr>
      <w:r>
        <w:rPr>
          <w:rFonts w:ascii="Cambria" w:cs="Cambria" w:eastAsia="Cambria" w:hAnsi="Cambria"/>
          <w:color w:val="0000CC"/>
          <w:sz w:val="24"/>
          <w:szCs w:val="24"/>
        </w:rPr>
        <w:t xml:space="preserve">2.5.1  Research Gaps in the Existing Studies from the Requirement Perspective</w:t>
      </w:r>
    </w:p>
    <w:p>
      <w:pPr>
        <w:spacing w:after="140" w:line="300"/>
        <w:jc w:val="both"/>
      </w:pPr>
      <w:r>
        <w:rPr>
          <w:rFonts w:ascii="Cambria" w:cs="Cambria" w:eastAsia="Cambria" w:hAnsi="Cambria"/>
          <w:color w:val="0000CC"/>
          <w:sz w:val="24"/>
          <w:szCs w:val="24"/>
        </w:rPr>
        <w:t xml:space="preserve">Gap 1 (Req 1): The strongest evaluable consent objects in the reviewed studies are the purpose-based tuple of Tith et al. [71], the ontology object of Albalwy et al. [37], the on-chain consent object of Phuyal et al. [58], the consent token of Shanmugham and Senthilkumar [66], the rule structure of Eneh et al. [44] and the policy object of Panagoulias et al. [57]. Each of them carries a subset of the required components: Tith et al. [71] and Albalwy et al. [37] carry no temporal component, Eneh et al. [44] and Shanmugham and Senthilkumar [66] carry no authority requirement beyond the single patient, and Phuyal et al. [58] store an expiry that the decision algorithm does not read. In the 30 studies coded as partial, the consent is a Boolean flag, a logged event or a status that is displayed rather than evaluated [36, 60, 65, 74], and in Punia et al. [61] the object that carries a lifecycle is the policy rather than the consent. What remains open is a consent object that represents the participating identities, the authority requirement including the guardian set and the threshold, the purpose and data scope, the validity interval, the jurisdiction, the lifecycle state and the evidence as separately evaluable components. This gap corresponds to research question RQ1 of Chapter 3.</w:t>
      </w:r>
    </w:p>
    <w:p>
      <w:pPr>
        <w:spacing w:after="140" w:line="300"/>
        <w:jc w:val="both"/>
      </w:pPr>
      <w:r>
        <w:rPr>
          <w:rFonts w:ascii="Cambria" w:cs="Cambria" w:eastAsia="Cambria" w:hAnsi="Cambria"/>
          <w:color w:val="0000CC"/>
          <w:sz w:val="24"/>
          <w:szCs w:val="24"/>
        </w:rPr>
        <w:t xml:space="preserve">Gap 2 (Req 2): The clearest separations of identity from authority are found in Ekholm et al. [43] and Hagström et al. [47], where guardianship is verified against a national population register independently of the eID login, in Phuyal et al. [58], where a licensing-body credential asserts role and scope of practice separately from the wallet identity, in Wu and Zhang [76], where a zero-knowledge proof binds the owner's authorisation to a specific requester key, and in Tan et al. [69], Madine et al. [53] and Tseng et al. [73]. In the 35 studies coded as partial the identity is a wallet address or a platform certificate, the role is administratively assigned or self-selected at login [36, 44], and the authority to act on behalf of a patient is not evidenced at all. The register-based guardian verification of [43, 47] is centralised, and the DID and VC designs [58, 45, 66] carry no guardian credential. What remains open is decentralised evidence of both identity and authority for every participant in a consent, including the guardians, with the two conditions evaluated separately. This gap corresponds to research question RQ2 of Chapter 3.</w:t>
      </w:r>
    </w:p>
    <w:p>
      <w:pPr>
        <w:spacing w:after="140" w:line="300"/>
        <w:jc w:val="both"/>
      </w:pPr>
      <w:r>
        <w:rPr>
          <w:rFonts w:ascii="Cambria" w:cs="Cambria" w:eastAsia="Cambria" w:hAnsi="Cambria"/>
          <w:color w:val="0000CC"/>
          <w:sz w:val="24"/>
          <w:szCs w:val="24"/>
        </w:rPr>
        <w:t xml:space="preserve">Gap 3 (Req 3): The strongest multi-party mechanisms are those of Madine et al. [53], Tan et al. [69], Punia et al. [61], Zhao and Su [50], Maruthi and Singh [54] and Ekholm et al. [43], with partial mechanisms in Wu et al. [75], Hagström et al. [47], Al Amin et al. [38] and Abbasi et al. [35]. As set out above, the joint approval in these studies is contingent on the absence of the patient [53, 69, 54], reserved for particular request classes and bypassable in an emergency [61], placed among consumer-side delegates or institution-side investigators rather than patient-side parties [50, 75], or applied at consent registration rather than at each access decision [43, 47, 38]. None of the six mechanism classes is conjoined with a purpose or data-scope condition, and the two threshold gates that are formally proved [50, 54] are proved in isolation from any policy, temporal or lifecycle condition. What remains open is a verifiable threshold over a patient-defined approving set that is a standing component of the access-decision predicate and is evaluated on every request. This gap corresponds to research question RQ3 of Chapter 3.</w:t>
      </w:r>
    </w:p>
    <w:p>
      <w:pPr>
        <w:spacing w:after="140" w:line="300"/>
        <w:jc w:val="both"/>
      </w:pPr>
      <w:r>
        <w:rPr>
          <w:rFonts w:ascii="Cambria" w:cs="Cambria" w:eastAsia="Cambria" w:hAnsi="Cambria"/>
          <w:color w:val="0000CC"/>
          <w:sz w:val="24"/>
          <w:szCs w:val="24"/>
        </w:rPr>
        <w:t xml:space="preserve">Gap 4 (Req 4): The strongest policy enforcement is found in Eneh et al. [44], whose on-chain rules evaluate purpose, data category, sensitivity, jurisdiction and action with deny-by-default, in Panagoulias et al. [57], who verify a purpose conjunct over thousands of requests, in Román-Martínez et al. [63], Tith et al. [71], Albalwy et al. [37] and Jaiman and Urovi [49], who evaluate purpose against the consent, in the key-derivation scheme of [64], which binds role and consent into the key, and in Punia et al. [61], whose attribute policy is evaluated in a conjunctive predicate. In the remaining studies the policy is bound to the requester's role or attributes or to the ciphertext rather than to what the patient authorised [46, 56, 78, 36], the purpose is captured for audit but not adjudicated [72, 73], or the policy is described but not enforced [39, 41, 59]. Jurisdiction appears as a rule attribute only in Eneh et al. [44], and the declared purpose is never attested. What remains open is a purpose and data-scope policy that is bound to the consent object, evaluated together with the jurisdiction on every request, and conjoined with the multi-party approval condition. This gap corresponds to research question RQ4 of Chapter 3.</w:t>
      </w:r>
    </w:p>
    <w:p>
      <w:pPr>
        <w:spacing w:after="140" w:line="300"/>
        <w:jc w:val="both"/>
      </w:pPr>
      <w:r>
        <w:rPr>
          <w:rFonts w:ascii="Cambria" w:cs="Cambria" w:eastAsia="Cambria" w:hAnsi="Cambria"/>
          <w:color w:val="0000CC"/>
          <w:sz w:val="24"/>
          <w:szCs w:val="24"/>
        </w:rPr>
        <w:t xml:space="preserve">Gap 5 (Req 5): Temporal validity is enforced inside the decision by Eneh et al. [44], the scheme in [64], Madine et al. [53], Punia et al. [61] and Panagoulias et al. [57], credential or attribute expiry is enforced by Li et al. [51] and Mei et al. [55], and age windows are demonstrably enforced in the national portal studied by Hagström et al. [47]. Explicit lifecycle state machines are found in Phuyal et al. [58], Wu et al. [75] and Shanmugham and Senthilkumar [66], and verified revocation in Panagoulias et al. [57] and Phuyal et al. [58]. However, the enforced window is usually attached to a token, a key or a credential rather than to the consent [73, 51, 77], the stored expiry of the consent is not read by the decision [58], revocation does not invalidate tokens already issued [73], and no study verifies expiry, revocation and state transition together at the consent level in a multi-institution exchange. What remains open is the enforcement of the validity interval, immediate and verifiable revocation, and controlled transitions between lifecycle states of the consent object itself at every access decision. This gap corresponds to research question RQ5 of Chapter 3.</w:t>
      </w:r>
    </w:p>
    <w:p>
      <w:pPr>
        <w:spacing w:after="140" w:line="300"/>
        <w:jc w:val="both"/>
      </w:pPr>
      <w:r>
        <w:rPr>
          <w:rFonts w:ascii="Cambria" w:cs="Cambria" w:eastAsia="Cambria" w:hAnsi="Cambria"/>
          <w:color w:val="0000CC"/>
          <w:sz w:val="24"/>
          <w:szCs w:val="24"/>
        </w:rPr>
        <w:t xml:space="preserve">Gap 6 (Req 6): Formal proofs are provided by Wu and Zhang [76], Zhao and Su [50], Maruthi and Singh [54], Mei et al. [55], Gao et al. [48] and Luo et al. [52], in each case for a cryptographic property of a narrow predicate. Complete empirical evaluations are provided by Panagoulias et al. [57], Phuyal et al. [58], Albalwy et al. [37], Jaiman and Urovi [49] and Hagström et al. [47], and systematic adversarial testing without formal content by Tremper et al. [72] and Sawant and Gomes [65]. No study provides both, and </w:t>
      </w:r>
      <w:r>
        <w:rPr>
          <w:rFonts w:ascii="Cambria" w:cs="Cambria" w:eastAsia="Cambria" w:hAnsi="Cambria"/>
          <w:color w:val="E6007E"/>
          <w:sz w:val="24"/>
          <w:szCs w:val="24"/>
        </w:rPr>
        <w:t xml:space="preserve">the studies with the broadest predicates [61, 53, 45, 66] provide neither a proof nor an ALLOW and DENY test of the decision, and Phuyal et al. [58], which does test both outcomes, provides no formal argument</w:t>
      </w:r>
      <w:r>
        <w:rPr>
          <w:rFonts w:ascii="Cambria" w:cs="Cambria" w:eastAsia="Cambria" w:hAnsi="Cambria"/>
          <w:color w:val="0000CC"/>
          <w:sz w:val="24"/>
          <w:szCs w:val="24"/>
        </w:rPr>
        <w:t xml:space="preserve">. What remains open is the formal definition and proof of the properties of the conjoined predicate, namely identity correctness, authorisation integrity, threshold security, temporal safety and lifecycle safety, together with an empirical evaluation that demonstrates the refusal of the negative cases. This gap corresponds to research question RQ6 of Chapter 3.</w:t>
      </w:r>
    </w:p>
    <w:p>
      <w:pPr>
        <w:spacing w:after="140" w:line="300"/>
        <w:jc w:val="both"/>
      </w:pPr>
      <w:r>
        <w:rPr>
          <w:rFonts w:ascii="Cambria" w:cs="Cambria" w:eastAsia="Cambria" w:hAnsi="Cambria"/>
          <w:sz w:val="24"/>
          <w:szCs w:val="24"/>
        </w:rP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spacing w:after="140" w:line="300"/>
        <w:jc w:val="both"/>
      </w:pPr>
      <w:r>
        <w:rPr>
          <w:rFonts w:ascii="Cambria" w:cs="Cambria" w:eastAsia="Cambria" w:hAnsi="Cambria"/>
          <w:sz w:val="24"/>
          <w:szCs w:val="24"/>
        </w:rPr>
        <w:t xml:space="preserve">The foundational authorisation decision investigated in the current stage of the research can therefore be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w:cs="Cambria" w:eastAsia="Cambria" w:hAnsi="Cambria"/>
          <w:sz w:val="22"/>
          <w:szCs w:val="22"/>
        </w:rPr>
        <w:t xml:space="preserve">	(1)</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represents the validity of the identity and relevant authority evidence associated with participant u,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(C) represents the satisfaction of the required multi-party authorisation condition for consent C, and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(C, R) represents compliance between the consent and the requested operation R.</w:t>
      </w:r>
    </w:p>
    <w:p>
      <w:pPr>
        <w:spacing w:after="140" w:line="300"/>
        <w:jc w:val="both"/>
      </w:pPr>
      <w:r>
        <w:rPr>
          <w:rFonts w:ascii="Cambria" w:cs="Cambria" w:eastAsia="Cambria" w:hAnsi="Cambria"/>
          <w:color w:val="000000"/>
          <w:sz w:val="24"/>
          <w:szCs w:val="24"/>
        </w:rPr>
        <w:t xml:space="preserve">This is the rule enforced by the implemented Consent Engine: every access request is evaluated over the complete tuple, where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(C, t) additionally represents the temporal validity of the request instant and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the jurisdictional constraint; </w:t>
      </w:r>
      <w:r>
        <w:rPr>
          <w:rFonts w:ascii="Cambria" w:cs="Cambria" w:eastAsia="Cambria" w:hAnsi="Cambria"/>
          <w:color w:val="E6007E"/>
          <w:sz w:val="24"/>
          <w:szCs w:val="24"/>
        </w:rPr>
        <w:t xml:space="preserve">both predicates are enforced in the implemented Consent Engine and are evaluated empirically in the later chapters of this report</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spacing w:after="140" w:line="300"/>
        <w:jc w:val="both"/>
      </w:pPr>
      <w:r>
        <w:rPr>
          <w:rFonts w:ascii="Cambria" w:cs="Cambria" w:eastAsia="Cambria" w:hAnsi="Cambria"/>
          <w:color w:val="E6007E"/>
          <w:sz w:val="24"/>
          <w:szCs w:val="24"/>
        </w:rPr>
        <w:t xml:space="preserve">The present research therefore establishes the relationship between trust-centric consent modelling, decentralised identity and authority verification, multi-party authorisation, policy-aware access control and temporal and lifecycle trust, and subjects the resulting conjunction to formal security assurance and empirical validation, in accordance with RO1 to RO6.</w:t>
      </w:r>
    </w:p>
    <w:p>
      <w:pPr>
        <w:spacing w:after="140" w:line="300"/>
        <w:jc w:val="both"/>
      </w:pPr>
      <w:r>
        <w:rPr>
          <w:rFonts w:ascii="Cambria" w:cs="Cambria" w:eastAsia="Cambria" w:hAnsi="Cambria"/>
          <w:sz w:val="24"/>
          <w:szCs w:val="24"/>
        </w:rPr>
        <w:t xml:space="preserve">Accordingly, the literature suggests that the principal research opportunity is not the development of another isolated blockchain consent mechanism or identity-management system. Instead, the opportunity lies in constructing a coherent </w:t>
      </w:r>
      <w:r>
        <w:rPr>
          <w:rFonts w:ascii="Cambria" w:cs="Cambria" w:eastAsia="Cambria" w:hAnsi="Cambria"/>
          <w:color w:val="000000"/>
          <w:sz w:val="24"/>
          <w:szCs w:val="24"/>
        </w:rPr>
        <w:t xml:space="preserve">trust-oriented authorisation</w:t>
      </w:r>
      <w:r>
        <w:rPr>
          <w:rFonts w:ascii="Cambria" w:cs="Cambria" w:eastAsia="Cambria" w:hAnsi="Cambria"/>
          <w:sz w:val="24"/>
          <w:szCs w:val="24"/>
        </w:rPr>
        <w:t xml:space="preserve"> model in which the different security mechanisms contribute to a common and explainable authorisation decision. Trustworthy healthcare data sharing can then be evaluated not simply according to whether a consent record exists, but </w:t>
      </w:r>
      <w:r>
        <w:rPr>
          <w:rFonts w:ascii="Cambria" w:cs="Cambria" w:eastAsia="Cambria" w:hAnsi="Cambria"/>
          <w:color w:val="E6007E"/>
          <w:sz w:val="24"/>
          <w:szCs w:val="24"/>
        </w:rPr>
        <w:t xml:space="preserve">according to whether the combined identity, authority, collective authorisation, policy, temporal and jurisdictional conditions required for access have been satisfied</w:t>
      </w:r>
      <w:r>
        <w:rPr>
          <w:rFonts w:ascii="Cambria" w:cs="Cambria" w:eastAsia="Cambria" w:hAnsi="Cambria"/>
          <w:sz w:val="24"/>
          <w:szCs w:val="24"/>
        </w:rPr>
        <w:t xml:space="preserve">.</w:t>
      </w:r>
    </w:p>
    <w:p>
      <w:pPr>
        <w:pStyle w:val="Heading2"/>
        <w:spacing w:after="160" w:before="280"/>
      </w:pPr>
      <w:r>
        <w:rPr>
          <w:rFonts w:ascii="Cambria" w:cs="Cambria" w:eastAsia="Cambria" w:hAnsi="Cambria"/>
          <w:color w:val="000000"/>
          <w:sz w:val="24"/>
          <w:szCs w:val="24"/>
        </w:rPr>
        <w:t xml:space="preserve">2.6  Conclusion</w:t>
      </w:r>
    </w:p>
    <w:p>
      <w:pPr>
        <w:spacing w:after="140" w:line="300"/>
        <w:jc w:val="both"/>
      </w:pPr>
      <w:r>
        <w:rPr>
          <w:rFonts w:ascii="Cambria" w:cs="Cambria" w:eastAsia="Cambria" w:hAnsi="Cambria"/>
          <w:color w:val="0000CC"/>
          <w:sz w:val="24"/>
          <w:szCs w:val="24"/>
        </w:rPr>
        <w:t xml:space="preserve">This chapter has presented a systematic literature review, conducted and reported in accordance with PRISMA 2020, of the studies that address the authorisation of patient consent in decentralised healthcare data sharing. Six requirements for a trustworthy multi-party consent authorisation framework were defined in Section 2.2 and used as the basis of comparison throughout the chapter. </w:t>
      </w:r>
      <w:r>
        <w:rPr>
          <w:rFonts w:ascii="Cambria" w:cs="Cambria" w:eastAsia="Cambria" w:hAnsi="Cambria"/>
          <w:color w:val="E6007E"/>
          <w:sz w:val="24"/>
          <w:szCs w:val="24"/>
        </w:rPr>
        <w:t xml:space="preserve">Seven frozen database searches, supplemented by a Google Scholar discovery arm, identified 9,256 records,</w:t>
      </w:r>
      <w:r>
        <w:rPr>
          <w:rFonts w:ascii="Cambria" w:cs="Cambria" w:eastAsia="Cambria" w:hAnsi="Cambria"/>
          <w:color w:val="0000CC"/>
          <w:sz w:val="24"/>
          <w:szCs w:val="24"/>
        </w:rPr>
        <w:t xml:space="preserve"> of which 6,039 unique records were screened by title. After abstract screening, full-text assessment and quality appraisal, 44 primary studies published between 2020 and 2026 were retained, together with three secondary studies that were used as background only. The studies were reviewed in six streams corresponding to the six requirements, and each study was assessed against all six requirements in the tables of Section 2.4.</w:t>
      </w:r>
    </w:p>
    <w:p>
      <w:pPr>
        <w:spacing w:after="140" w:line="300"/>
        <w:jc w:val="both"/>
      </w:pPr>
      <w:r>
        <w:rPr>
          <w:rFonts w:ascii="Cambria" w:cs="Cambria" w:eastAsia="Cambria" w:hAnsi="Cambria"/>
          <w:color w:val="0000CC"/>
          <w:sz w:val="24"/>
          <w:szCs w:val="24"/>
        </w:rPr>
        <w:t xml:space="preserve">It should be noted that the review has limitations. The 588 pending-abstract records described in Section 2.3.6 were not screened, the full-text pool of 1,800 records was read in a prioritised order under the saturation rule rather than exhaustively, and the coding was performed by a single panel, so that a small number of relevant studies may have been missed. The consistency between the coding of the included studies and the signal prevalence of the wider pool, reported in Section 2.5, limits but does not remove this risk.</w:t>
      </w:r>
    </w:p>
    <w:p>
      <w:pPr>
        <w:spacing w:after="140" w:line="300"/>
        <w:jc w:val="both"/>
      </w:pPr>
      <w:r>
        <w:rPr>
          <w:rFonts w:ascii="Cambria" w:cs="Cambria" w:eastAsia="Cambria" w:hAnsi="Cambria"/>
          <w:color w:val="0000CC"/>
          <w:sz w:val="24"/>
          <w:szCs w:val="24"/>
        </w:rPr>
        <w:t xml:space="preserve">The review found that the individual conditions of a trustworthy authorisation decision are each represented in the literature. Evaluable consent objects have existed since 2020, purpose-based and attribute-based policy engines operate inside the decision in a number of systems, temporal validity and revocation are enforced at decision time in a few, identity and authority are separated most clearly where guardianship or professional licensing is verified against an external register or credential, and multi-party approval exists in six mechanism classes. The review also found that these conditions are not conjoined. Multi-party approval appears as a contingency path, a registration-time co-consent, an institution-side gate, a custodial threshold, a witness threshold or a key-share reconstruction rather than as a standing condition of every access decision; the purpose and data-scope policy is never conjoined with multi-party approval; temporal and lifecycle enforcement at the consent level is rarely verified; and formal assurance, where it exists, covers a narrow cryptographic predicate while the broadest predicates are neither proved nor tested. The research gap is therefore a conjunction gap and an assurance gap, as stated in Section 2.5 and decomposed by requirement in Section 2.5.1.</w:t>
      </w:r>
    </w:p>
    <w:p>
      <w:pPr>
        <w:spacing w:after="140" w:line="300"/>
        <w:jc w:val="both"/>
      </w:pPr>
      <w:r>
        <w:rPr>
          <w:rFonts w:ascii="Cambria" w:cs="Cambria" w:eastAsia="Cambria" w:hAnsi="Cambria"/>
          <w:color w:val="0000CC"/>
          <w:sz w:val="24"/>
          <w:szCs w:val="24"/>
        </w:rPr>
        <w:t xml:space="preserve">These two gaps define the research undertaken in the remainder of this report. The conjunction gap motivates a consent object whose components, namely the participating identities, the guardian set G and the threshold N, the purpose and data scope, the validity interval, the jurisdiction, the lifecycle state and the evidence, are evaluated as separate predicates whose conjunction determines every access decision. The assurance gap motivates the formal definition of the security properties of that conjunction and their empirical validation in the HALAH prototype. In this context, the six requirements of Section 2.2 and the six gaps of Section 2.5.1 correspond one to one to the six sub-research questions and the six research objectives that follow. Chapter 3 defines the key terms and states the research questions.</w:t>
      </w:r>
    </w:p>
    <w:p>
      <w:pPr>
        <w:spacing w:after="140" w:line="300"/>
        <w:jc w:val="both"/>
      </w:pPr>
      <w:r>
        <w:rPr>
          <w:rFonts w:ascii="Cambria" w:cs="Cambria" w:eastAsia="Cambria" w:hAnsi="Cambria"/>
          <w:color w:val="0000CC"/>
          <w:sz w:val="24"/>
          <w:szCs w:val="24"/>
        </w:rPr>
        <w:t xml:space="preserve">Figure 5 summarises this synthesis, showing that each requirement is satisfied by some of the 44 studies while no study conjoins all six conditions in one assured access decision.</w:t>
      </w:r>
    </w:p>
    <w:p>
      <w:pPr>
        <w:keepNext/>
        <w:spacing w:after="60" w:before="140"/>
        <w:jc w:val="center"/>
      </w:pPr>
      <w:r>
        <w:drawing>
          <wp:inline distT="0" distB="0" distL="0" distR="0">
            <wp:extent cx="5715000" cy="2838450"/>
            <wp:effectExtent t="0" r="0" b="0" l="0"/>
            <wp:docPr id="1" name="gfig2c.png" descr="Figure 5: Synthesis of the review: each of the six requirements is satisfied by some of the 44 studies, but no study conjoins all six conditions in one access decision (conjunction gap) and the strongest mechanisms lack formal assurance (assurance gap); the proposed framework addresses both by treating consent as an evaluable authorisation object." title="Figure 5: Synthesis of the review: each of the six requirements is satisfied by some of the 44 studies, but no study conjoins all six conditions in one access decision (conjunction gap) and the strongest mechanisms lack formal assurance (assurance gap); the proposed framework addresses both by treating consent as an evaluable authorisation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rFonts w:ascii="Cambria" w:cs="Cambria" w:eastAsia="Cambria" w:hAnsi="Cambria"/>
          <w:color w:val="0000CC"/>
          <w:sz w:val="20"/>
          <w:szCs w:val="20"/>
        </w:rPr>
        <w:t xml:space="preserve">Figure 5: Synthesis of the review: each of the six requirements is satisfied by some of the 44 studies, but no study conjoins all six conditions in one access decision (conjunction gap) and the strongest mechanisms lack formal assurance (assurance gap); the proposed framework addresses both by treating consent as an evaluable authorisation object.</w:t>
      </w:r>
    </w:p>
    <w:p>
      <w:pPr>
        <w:pStyle w:val="Heading1"/>
        <w:pageBreakBefore/>
        <w:spacing w:after="160" w:before="400"/>
      </w:pPr>
      <w:r>
        <w:rPr>
          <w:rFonts w:ascii="Cambria" w:cs="Cambria" w:eastAsia="Cambria" w:hAnsi="Cambria"/>
          <w:sz w:val="24"/>
          <w:szCs w:val="24"/>
        </w:rPr>
        <w:t xml:space="preserve">3  Research Gaps and Questions</w:t>
      </w:r>
    </w:p>
    <w:p>
      <w:pPr>
        <w:pStyle w:val="Heading2"/>
        <w:spacing w:after="160" w:before="280"/>
      </w:pPr>
      <w:r>
        <w:rPr>
          <w:rFonts w:ascii="Cambria" w:cs="Cambria" w:eastAsia="Cambria" w:hAnsi="Cambria"/>
          <w:sz w:val="24"/>
          <w:szCs w:val="24"/>
        </w:rPr>
        <w:t xml:space="preserve">3.1  Research Gap</w:t>
      </w:r>
    </w:p>
    <w:p>
      <w:pPr>
        <w:spacing w:after="140" w:line="300"/>
        <w:jc w:val="both"/>
      </w:pPr>
      <w:r>
        <w:rPr>
          <w:rFonts w:ascii="Cambria" w:cs="Cambria" w:eastAsia="Cambria" w:hAnsi="Cambria"/>
          <w:color w:val="E6007E"/>
          <w:sz w:val="24"/>
          <w:szCs w:val="24"/>
        </w:rPr>
        <w:t xml:space="preserve">The systematic literature review of 44 primary studies presented in Chapter 2 (Section 2.5) indicates that substantial research</w:t>
      </w:r>
      <w:r>
        <w:rPr>
          <w:rFonts w:ascii="Cambria" w:cs="Cambria" w:eastAsia="Cambria" w:hAnsi="Cambria"/>
          <w:color w:val="E6007E"/>
          <w:sz w:val="24"/>
          <w:szCs w:val="24"/>
        </w:rPr>
        <w:t xml:space="preserve"> has been conducted</w:t>
      </w:r>
      <w:r>
        <w:rPr>
          <w:rFonts w:ascii="Cambria" w:cs="Cambria" w:eastAsia="Cambria" w:hAnsi="Cambria"/>
          <w:sz w:val="24"/>
          <w:szCs w:val="24"/>
        </w:rPr>
        <w:t xml:space="preserve"> on individual mechanisms for securing healthcare data sharing, including blockchain-based consent management, decentralised identity, verifiable credentials, cryptographic access control, </w:t>
      </w:r>
      <w:r>
        <w:rPr>
          <w:rFonts w:ascii="Cambria" w:cs="Cambria" w:eastAsia="Cambria" w:hAnsi="Cambria"/>
          <w:color w:val="E6007E"/>
          <w:sz w:val="24"/>
          <w:szCs w:val="24"/>
        </w:rPr>
        <w:t xml:space="preserve">policy-based authorisation, and multi-party approval [1, 13, 20, 25, 32, 53, 61, 69].</w:t>
      </w:r>
      <w:r>
        <w:rPr>
          <w:rFonts w:ascii="Cambria" w:cs="Cambria" w:eastAsia="Cambria" w:hAnsi="Cambria"/>
          <w:sz w:val="24"/>
          <w:szCs w:val="24"/>
        </w:rPr>
        <w:t xml:space="preserve">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w:t>
      </w:r>
      <w:r>
        <w:rPr>
          <w:rFonts w:ascii="Cambria" w:cs="Cambria" w:eastAsia="Cambria" w:hAnsi="Cambria"/>
          <w:color w:val="E6007E"/>
          <w:sz w:val="24"/>
          <w:szCs w:val="24"/>
        </w:rPr>
        <w:t xml:space="preserve">They are commonly investigated as independent technical solutions; the few studies that coordinate several of them in one decision [58, 61, 45, 66, 57] do not make multi-party approval a standing condition of that decision and do not assure the conjunction formally or empirically.</w:t>
      </w:r>
    </w:p>
    <w:p>
      <w:pPr>
        <w:spacing w:after="140" w:line="300"/>
        <w:jc w:val="both"/>
      </w:pPr>
      <w:r>
        <w:rPr>
          <w:rFonts w:ascii="Cambria" w:cs="Cambria" w:eastAsia="Cambria" w:hAnsi="Cambria"/>
          <w:sz w:val="24"/>
          <w:szCs w:val="24"/>
        </w:rP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w:t>
      </w:r>
      <w:r>
        <w:rPr>
          <w:rFonts w:ascii="Cambria" w:cs="Cambria" w:eastAsia="Cambria" w:hAnsi="Cambria"/>
          <w:color w:val="E6007E"/>
          <w:sz w:val="24"/>
          <w:szCs w:val="24"/>
        </w:rPr>
        <w:t xml:space="preserve">In particular, many consent-oriented approaches still treat consent primarily as a record or a Boolean flag [36, 60, 65], and even the evaluable consent objects reported since 2020 [71, 37, 44, 58, 66] carry only a subset of the conditions and are issued by a single party, as established in Section 2.5.</w:t>
      </w:r>
      <w:r>
        <w:rPr>
          <w:rFonts w:ascii="Cambria" w:cs="Cambria" w:eastAsia="Cambria" w:hAnsi="Cambria"/>
          <w:sz w:val="24"/>
          <w:szCs w:val="24"/>
        </w:rPr>
        <w:t xml:space="preserve">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spacing w:after="140" w:line="300"/>
        <w:jc w:val="both"/>
      </w:pPr>
      <w:r>
        <w:rPr>
          <w:rFonts w:ascii="Cambria" w:cs="Cambria" w:eastAsia="Cambria" w:hAnsi="Cambria"/>
          <w:sz w:val="24"/>
          <w:szCs w:val="24"/>
        </w:rPr>
        <w:t xml:space="preserve">This distinction is important because recording consent and enforcing trustworthy authorisation represent fundamentally different security problems. </w:t>
      </w:r>
      <w:r>
        <w:rPr>
          <w:rFonts w:ascii="Cambria" w:cs="Cambria" w:eastAsia="Cambria" w:hAnsi="Cambria"/>
          <w:color w:val="E6007E"/>
          <w:sz w:val="24"/>
          <w:szCs w:val="24"/>
        </w:rPr>
        <w:t xml:space="preserve">A blockchain may provide an immutable representation of a consent event [2, 28], but immutability does not establish the legitimacy of the entities involved in that event.</w:t>
      </w:r>
      <w:r>
        <w:rPr>
          <w:rFonts w:ascii="Cambria" w:cs="Cambria" w:eastAsia="Cambria" w:hAnsi="Cambria"/>
          <w:sz w:val="24"/>
          <w:szCs w:val="24"/>
        </w:rPr>
        <w:t xml:space="preserve"> </w:t>
      </w:r>
      <w:r>
        <w:rPr>
          <w:rFonts w:ascii="Cambria" w:cs="Cambria" w:eastAsia="Cambria" w:hAnsi="Cambria"/>
          <w:color w:val="E6007E"/>
          <w:sz w:val="24"/>
          <w:szCs w:val="24"/>
        </w:rPr>
        <w:t xml:space="preserve">Similarly, a valid decentralised identity can establish who a participant is [20], but it does not necessarily establish what that participant is authorised to do.</w:t>
      </w:r>
      <w:r>
        <w:rPr>
          <w:rFonts w:ascii="Cambria" w:cs="Cambria" w:eastAsia="Cambria" w:hAnsi="Cambria"/>
          <w:sz w:val="24"/>
          <w:szCs w:val="24"/>
        </w:rPr>
        <w:t xml:space="preserve"> </w:t>
      </w:r>
      <w:r>
        <w:rPr>
          <w:rFonts w:ascii="Cambria" w:cs="Cambria" w:eastAsia="Cambria" w:hAnsi="Cambria"/>
          <w:color w:val="E6007E"/>
          <w:sz w:val="24"/>
          <w:szCs w:val="24"/>
        </w:rPr>
        <w:t xml:space="preserve">Multi-party approval can strengthen collective decision-making, but in the reviewed studies it is never conjoined with a purpose or data-scope condition [61, 53, 69], and approval alone does not guarantee that the resulting access request conforms to the patient’s authorised purpose or data scope.</w:t>
      </w:r>
      <w:r>
        <w:rPr>
          <w:rFonts w:ascii="Cambria" w:cs="Cambria" w:eastAsia="Cambria" w:hAnsi="Cambria"/>
          <w:sz w:val="24"/>
          <w:szCs w:val="24"/>
        </w:rPr>
        <w:t xml:space="preserve"> Consequently, trust cannot be attributed to any individual mechanism in isolation.</w:t>
      </w:r>
    </w:p>
    <w:p>
      <w:pPr>
        <w:spacing w:after="140" w:line="300"/>
        <w:jc w:val="both"/>
      </w:pPr>
      <w:r>
        <w:rPr>
          <w:rFonts w:ascii="Cambria" w:cs="Cambria" w:eastAsia="Cambria" w:hAnsi="Cambria"/>
          <w:sz w:val="24"/>
          <w:szCs w:val="24"/>
        </w:rP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spacing w:after="140" w:line="300"/>
        <w:jc w:val="both"/>
      </w:pPr>
      <w:r>
        <w:rPr>
          <w:rFonts w:ascii="Cambria" w:cs="Cambria" w:eastAsia="Cambria" w:hAnsi="Cambria"/>
          <w:sz w:val="24"/>
          <w:szCs w:val="24"/>
        </w:rPr>
        <w:t xml:space="preserve">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spacing w:after="140" w:line="300"/>
        <w:jc w:val="both"/>
      </w:pPr>
      <w:r>
        <w:rPr>
          <w:rFonts w:ascii="Cambria" w:cs="Cambria" w:eastAsia="Cambria" w:hAnsi="Cambria"/>
          <w:sz w:val="24"/>
          <w:szCs w:val="24"/>
        </w:rPr>
        <w:t xml:space="preserve">The identified gap can therefore be stated as follows: existing healthcare consent and access-control research provides many of the necessary technological building blocks, but </w:t>
      </w:r>
      <w:r>
        <w:rPr>
          <w:rFonts w:ascii="Cambria" w:cs="Cambria" w:eastAsia="Cambria" w:hAnsi="Cambria"/>
          <w:color w:val="E6007E"/>
          <w:sz w:val="24"/>
          <w:szCs w:val="24"/>
        </w:rPr>
        <w:t xml:space="preserve">there remains a need for an authorisation framework in which the consent object carries identity, authority, threshold, policy, temporal, jurisdictional and lifecycle conditions, in which multi-party approval is a standing condition of every access decision, and in which the conjunction of these conditions is formally and empirically assured.</w:t>
      </w:r>
      <w:r>
        <w:rPr>
          <w:rFonts w:ascii="Cambria" w:cs="Cambria" w:eastAsia="Cambria" w:hAnsi="Cambria"/>
          <w:sz w:val="24"/>
          <w:szCs w:val="24"/>
        </w:rPr>
        <w:t xml:space="preserve">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spacing w:after="140" w:line="300"/>
        <w:jc w:val="both"/>
      </w:pPr>
      <w:r>
        <w:rPr>
          <w:rFonts w:ascii="Cambria" w:cs="Cambria" w:eastAsia="Cambria" w:hAnsi="Cambria"/>
          <w:color w:val="0000CC"/>
          <w:sz w:val="24"/>
          <w:szCs w:val="24"/>
        </w:rPr>
        <w:t xml:space="preserve">In the terms of Section 2.5, these two requirements correspond to the conjunction gap and the assurance gap respectively. It should be noted that the approving set must be defined by the patient rather than by an institution, since in the reviewed studies the approving parties are contingent, institutional or custodial rather than patient-designated [53, 61, 50].</w:t>
      </w:r>
    </w:p>
    <w:p>
      <w:pPr>
        <w:spacing w:after="140" w:line="300"/>
        <w:jc w:val="both"/>
      </w:pPr>
      <w:r>
        <w:rPr>
          <w:rFonts w:ascii="Cambria" w:cs="Cambria" w:eastAsia="Cambria" w:hAnsi="Cambria"/>
          <w:sz w:val="24"/>
          <w:szCs w:val="24"/>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pPr>
        <w:spacing w:after="140" w:line="300"/>
        <w:jc w:val="both"/>
      </w:pPr>
      <w:r>
        <w:rPr>
          <w:rFonts w:ascii="Cambria" w:cs="Cambria" w:eastAsia="Cambria" w:hAnsi="Cambria"/>
          <w:color w:val="0000CC"/>
          <w:sz w:val="24"/>
          <w:szCs w:val="24"/>
        </w:rPr>
        <w:t xml:space="preserve">For clarity, the following terms are used throughout the remaining chapters. The patient is the data subject who creates the consent object C. The guardian set G is the set of designated participants whose independent approval is required, and the threshold N is the number of valid guardian approvals needed for activation. The authorised doctor D is the requester whose access request R is evaluated against C.</w:t>
      </w:r>
    </w:p>
    <w:p>
      <w:pPr>
        <w:pStyle w:val="Heading2"/>
        <w:spacing w:after="160" w:before="280"/>
      </w:pPr>
      <w:r>
        <w:rPr>
          <w:rFonts w:ascii="Cambria" w:cs="Cambria" w:eastAsia="Cambria" w:hAnsi="Cambria"/>
          <w:sz w:val="24"/>
          <w:szCs w:val="24"/>
        </w:rPr>
        <w:t xml:space="preserve">3.2  Main Research Question</w:t>
      </w:r>
    </w:p>
    <w:p>
      <w:pPr>
        <w:spacing w:after="140" w:line="300"/>
        <w:jc w:val="both"/>
      </w:pPr>
      <w:r>
        <w:rPr>
          <w:rFonts w:ascii="Cambria" w:cs="Cambria" w:eastAsia="Cambria" w:hAnsi="Cambria"/>
          <w:color w:val="E6007E"/>
          <w:sz w:val="24"/>
          <w:szCs w:val="24"/>
        </w:rPr>
        <w:t xml:space="preserve">Before the question is stated, the scope of the current stage should be noted. Temporal and lifecycle trust has been operationalised in the current</w:t>
      </w:r>
      <w:r>
        <w:rPr>
          <w:rFonts w:ascii="Cambria" w:cs="Cambria" w:eastAsia="Cambria" w:hAnsi="Cambria"/>
          <w:color w:val="000000"/>
          <w:sz w:val="24"/>
          <w:szCs w:val="24"/>
        </w:rPr>
        <w:t xml:space="preserve"> prototype, and empirical validation has been partially completed through automated and live negative testing. </w:t>
      </w:r>
      <w:r>
        <w:rPr>
          <w:rFonts w:ascii="Cambria" w:cs="Cambria" w:eastAsia="Cambria" w:hAnsi="Cambria"/>
          <w:color w:val="E6007E"/>
          <w:sz w:val="24"/>
          <w:szCs w:val="24"/>
        </w:rPr>
        <w:t xml:space="preserve">Consequently, formal security assurance forms the subsequent research scope and is developed further in the next stage of the research (Section 9.2).</w:t>
      </w:r>
    </w:p>
    <w:p>
      <w:pPr>
        <w:spacing w:after="140" w:line="300"/>
        <w:jc w:val="both"/>
      </w:pPr>
      <w:r>
        <w:rPr>
          <w:rFonts w:ascii="Cambria" w:cs="Cambria" w:eastAsia="Cambria" w:hAnsi="Cambria"/>
          <w:sz w:val="24"/>
          <w:szCs w:val="24"/>
        </w:rPr>
        <w:t xml:space="preserve">Based on the identified research gap, the overarching research question is formulated as follows:</w:t>
      </w:r>
    </w:p>
    <w:p>
      <w:pPr>
        <w:spacing w:after="140" w:line="300"/>
        <w:ind w:left="720" w:right="720"/>
        <w:jc w:val="both"/>
      </w:pPr>
      <w:r>
        <w:rPr>
          <w:rFonts w:ascii="Cambria" w:cs="Cambria" w:eastAsia="Cambria" w:hAnsi="Cambria"/>
          <w:i/>
          <w:iCs/>
          <w:sz w:val="24"/>
          <w:szCs w:val="24"/>
        </w:rPr>
        <w:t xml:space="preserve">How can a trust-oriented computing framework establish and enforce trustworthy multi-party consent for decentralised healthcare data sharing under identity, authority, and policy constraints?</w:t>
      </w:r>
    </w:p>
    <w:p>
      <w:pPr>
        <w:spacing w:after="140" w:line="300"/>
        <w:jc w:val="both"/>
      </w:pPr>
      <w:r>
        <w:rPr>
          <w:rFonts w:ascii="Cambria" w:cs="Cambria" w:eastAsia="Cambria" w:hAnsi="Cambria"/>
          <w:sz w:val="24"/>
          <w:szCs w:val="24"/>
        </w:rPr>
        <w:t xml:space="preserve">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spacing w:after="140" w:line="300"/>
        <w:jc w:val="both"/>
      </w:pPr>
      <w:r>
        <w:rPr>
          <w:rFonts w:ascii="Cambria" w:cs="Cambria" w:eastAsia="Cambria" w:hAnsi="Cambria"/>
          <w:sz w:val="24"/>
          <w:szCs w:val="24"/>
        </w:rP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spacing w:after="140" w:line="300"/>
        <w:jc w:val="both"/>
      </w:pPr>
      <w:r>
        <w:rPr>
          <w:rFonts w:ascii="Cambria" w:cs="Cambria" w:eastAsia="Cambria" w:hAnsi="Cambria"/>
          <w:sz w:val="24"/>
          <w:szCs w:val="24"/>
        </w:rPr>
        <w:t xml:space="preserve">For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the investigation is deliberately focused on the foundational conditions required to establish trustworthy authorisation. These conditions are represented through </w:t>
      </w:r>
      <w:r>
        <w:rPr>
          <w:rFonts w:ascii="Cambria" w:cs="Cambria" w:eastAsia="Cambria" w:hAnsi="Cambria"/>
          <w:color w:val="000000"/>
          <w:sz w:val="24"/>
          <w:szCs w:val="24"/>
        </w:rPr>
        <w:t xml:space="preserve">the first four of the six interconnected sub-research questions presented in Section 3.3, concerning</w:t>
      </w:r>
      <w:r>
        <w:rPr>
          <w:rFonts w:ascii="Cambria" w:cs="Cambria" w:eastAsia="Cambria" w:hAnsi="Cambria"/>
          <w:sz w:val="24"/>
          <w:szCs w:val="24"/>
        </w:rPr>
        <w:t xml:space="preserve"> consent modelling, identity and authority trust, multi-party authorisation, and policy-aware access control. </w:t>
      </w:r>
      <w:r>
        <w:rPr>
          <w:rFonts w:ascii="Cambria" w:cs="Cambria" w:eastAsia="Cambria" w:hAnsi="Cambria"/>
          <w:color w:val="000000"/>
          <w:sz w:val="24"/>
          <w:szCs w:val="24"/>
        </w:rPr>
        <w:t xml:space="preserve">The remaining two sub-questions, addressing temporal and lifecycle trust and formal security assurance, complete the six-question structure; the fifth is operationalised in the current prototype, and the formal component of the sixth is carried into the next stage of the research.</w:t>
      </w:r>
    </w:p>
    <w:p>
      <w:pPr>
        <w:pStyle w:val="Heading2"/>
        <w:spacing w:after="160" w:before="280"/>
      </w:pPr>
      <w:r>
        <w:rPr>
          <w:rFonts w:ascii="Cambria" w:cs="Cambria" w:eastAsia="Cambria" w:hAnsi="Cambria"/>
          <w:sz w:val="24"/>
          <w:szCs w:val="24"/>
        </w:rPr>
        <w:t xml:space="preserve">3.3  Sub-Research Questions</w:t>
      </w:r>
    </w:p>
    <w:p>
      <w:pPr>
        <w:spacing w:after="140" w:line="300"/>
        <w:jc w:val="both"/>
      </w:pPr>
      <w:r>
        <w:rPr>
          <w:rFonts w:ascii="Cambria" w:cs="Cambria" w:eastAsia="Cambria" w:hAnsi="Cambria"/>
          <w:sz w:val="24"/>
          <w:szCs w:val="24"/>
        </w:rP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p>
      <w:pPr>
        <w:spacing w:after="140" w:line="300"/>
        <w:jc w:val="both"/>
      </w:pPr>
      <w:r>
        <w:rPr>
          <w:rFonts w:ascii="Cambria" w:cs="Cambria" w:eastAsia="Cambria" w:hAnsi="Cambria"/>
          <w:color w:val="0000CC"/>
          <w:sz w:val="24"/>
          <w:szCs w:val="24"/>
        </w:rPr>
        <w:t xml:space="preserve">Each sub-research question corresponds to one of the six requirements defined in Section 2.2 (Req 1 to Req 6) and to the associated gap identified in Section 2.5, so that SRQ1 to SRQ6 address, respectively, the representation, identity, threshold, policy, lifecycle and assurance requirements that no reviewed study satisfies together. For brevity, the sub-research questions SRQ1 to SRQ6 are referred to as RQ1 to RQ6 in Chapter 4 and in the remaining chapters.</w:t>
      </w:r>
    </w:p>
    <w:p>
      <w:pPr>
        <w:pStyle w:val="Heading3"/>
        <w:spacing w:after="160" w:before="280"/>
      </w:pPr>
      <w:r>
        <w:rPr>
          <w:rFonts w:ascii="Cambria" w:cs="Cambria" w:eastAsia="Cambria" w:hAnsi="Cambria"/>
          <w:sz w:val="24"/>
          <w:szCs w:val="24"/>
        </w:rPr>
        <w:t xml:space="preserve">3.3.1  SRQ1: Trust-Centric Consent Modelling</w:t>
      </w:r>
    </w:p>
    <w:p>
      <w:pPr>
        <w:spacing w:after="140" w:line="300"/>
        <w:jc w:val="both"/>
      </w:pPr>
      <w:r>
        <w:rPr>
          <w:rFonts w:ascii="Cambria" w:cs="Cambria" w:eastAsia="Cambria" w:hAnsi="Cambria"/>
          <w:sz w:val="24"/>
          <w:szCs w:val="24"/>
        </w:rPr>
        <w:t xml:space="preserve">The first sub-research question is:</w:t>
      </w:r>
    </w:p>
    <w:p>
      <w:pPr>
        <w:spacing w:after="140" w:line="300"/>
        <w:ind w:left="720" w:right="720"/>
        <w:jc w:val="both"/>
      </w:pPr>
      <w:r>
        <w:rPr>
          <w:rFonts w:ascii="Cambria" w:cs="Cambria" w:eastAsia="Cambria" w:hAnsi="Cambria"/>
          <w:i/>
          <w:iCs/>
          <w:sz w:val="24"/>
          <w:szCs w:val="24"/>
        </w:rPr>
        <w:t xml:space="preserve">How can patient consent be modelled as a trust-aware authorisation object that explicitly represents identity, authority requirements, policy constraints, and authorisation evidence?</w:t>
      </w:r>
    </w:p>
    <w:p>
      <w:pPr>
        <w:spacing w:after="140" w:line="300"/>
        <w:jc w:val="both"/>
      </w:pPr>
      <w:r>
        <w:rPr>
          <w:rFonts w:ascii="Cambria" w:cs="Cambria" w:eastAsia="Cambria" w:hAnsi="Cambria"/>
          <w:sz w:val="24"/>
          <w:szCs w:val="24"/>
        </w:rP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C = (I, A, P, E),</w:t>
      </w:r>
      <w:r>
        <w:rPr>
          <w:rFonts w:ascii="Cambria" w:cs="Cambria" w:eastAsia="Cambria" w:hAnsi="Cambria"/>
          <w:sz w:val="22"/>
          <w:szCs w:val="22"/>
        </w:rPr>
        <w:t xml:space="preserve">	(2)</w:t>
      </w:r>
    </w:p>
    <w:p>
      <w:pPr>
        <w:spacing w:after="140" w:line="300"/>
        <w:jc w:val="both"/>
      </w:pPr>
      <w:r>
        <w:rPr>
          <w:rFonts w:ascii="Cambria" w:cs="Cambria" w:eastAsia="Cambria" w:hAnsi="Cambria"/>
          <w:sz w:val="24"/>
          <w:szCs w:val="24"/>
        </w:rPr>
        <w:t xml:space="preserve">where I represents identity information, A represents authority and authorisation requirements, P represents policy and data-scope constraints, and E represents authorisation evidence.</w:t>
      </w:r>
    </w:p>
    <w:p>
      <w:pPr>
        <w:spacing w:after="140" w:line="300"/>
        <w:jc w:val="both"/>
      </w:pPr>
      <w:r>
        <w:rPr>
          <w:rFonts w:ascii="Cambria" w:cs="Cambria" w:eastAsia="Cambria" w:hAnsi="Cambria"/>
          <w:sz w:val="24"/>
          <w:szCs w:val="24"/>
        </w:rP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spacing w:after="140" w:line="300"/>
        <w:jc w:val="both"/>
      </w:pPr>
      <w:r>
        <w:rPr>
          <w:rFonts w:ascii="Cambria" w:cs="Cambria" w:eastAsia="Cambria" w:hAnsi="Cambria"/>
          <w:sz w:val="24"/>
          <w:szCs w:val="24"/>
        </w:rPr>
        <w:t xml:space="preserve">SRQ1 therefore establishes the conceptual representation required by the subsequent identity, multi-party authorisation, policy, and security-assurance mechanisms.</w:t>
      </w:r>
    </w:p>
    <w:p>
      <w:pPr>
        <w:pStyle w:val="Heading3"/>
        <w:spacing w:after="160" w:before="280"/>
      </w:pPr>
      <w:r>
        <w:rPr>
          <w:rFonts w:ascii="Cambria" w:cs="Cambria" w:eastAsia="Cambria" w:hAnsi="Cambria"/>
          <w:sz w:val="24"/>
          <w:szCs w:val="24"/>
        </w:rPr>
        <w:t xml:space="preserve">3.3.2  SRQ2: Decentralised Identity and Authority Trust</w:t>
      </w:r>
    </w:p>
    <w:p>
      <w:pPr>
        <w:spacing w:after="140" w:line="300"/>
        <w:jc w:val="both"/>
      </w:pPr>
      <w:r>
        <w:rPr>
          <w:rFonts w:ascii="Cambria" w:cs="Cambria" w:eastAsia="Cambria" w:hAnsi="Cambria"/>
          <w:sz w:val="24"/>
          <w:szCs w:val="24"/>
        </w:rPr>
        <w:t xml:space="preserve">The second sub-research question is:</w:t>
      </w:r>
    </w:p>
    <w:p>
      <w:pPr>
        <w:spacing w:after="140" w:line="300"/>
        <w:ind w:left="720" w:right="720"/>
        <w:jc w:val="both"/>
      </w:pPr>
      <w:r>
        <w:rPr>
          <w:rFonts w:ascii="Cambria" w:cs="Cambria" w:eastAsia="Cambria" w:hAnsi="Cambria"/>
          <w:i/>
          <w:iCs/>
          <w:sz w:val="24"/>
          <w:szCs w:val="24"/>
        </w:rPr>
        <w:t xml:space="preserve">How can decentralised identities and verifiable credentials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A fundamental principle of the proposed framework is that identity and authorisation should not be treated as equivalent. A valid decentralised identifier establishes the identity of a participant, </w:t>
      </w:r>
      <w:r>
        <w:rPr>
          <w:rFonts w:ascii="Cambria" w:cs="Cambria" w:eastAsia="Cambria" w:hAnsi="Cambria"/>
          <w:color w:val="E6007E"/>
          <w:sz w:val="24"/>
          <w:szCs w:val="24"/>
        </w:rPr>
        <w:t xml:space="preserve">while a verifiable credential provides evidence concerning the participant’s role or authority [20, 16].</w:t>
      </w:r>
      <w:r>
        <w:rPr>
          <w:rFonts w:ascii="Cambria" w:cs="Cambria" w:eastAsia="Cambria" w:hAnsi="Cambria"/>
          <w:sz w:val="24"/>
          <w:szCs w:val="24"/>
        </w:rPr>
        <w:t xml:space="preserve"> </w:t>
      </w:r>
      <w:r>
        <w:rPr>
          <w:rFonts w:ascii="Cambria" w:cs="Cambria" w:eastAsia="Cambria" w:hAnsi="Cambria"/>
          <w:color w:val="000000"/>
          <w:sz w:val="24"/>
          <w:szCs w:val="24"/>
        </w:rPr>
        <w:t xml:space="preserve">Therefore, Identity</w:t>
      </w:r>
      <w:r>
        <w:rPr>
          <w:rFonts w:ascii="Cambria" w:cs="Cambria" w:eastAsia="Cambria" w:hAnsi="Cambria"/>
          <w:sz w:val="24"/>
          <w:szCs w:val="24"/>
        </w:rPr>
        <w:t xml:space="preserve"> ≠ Authorisation. The identity and authority validity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w:t>
      </w:r>
    </w:p>
    <w:p>
      <w:pPr>
        <w:spacing w:after="140" w:line="300"/>
        <w:jc w:val="both"/>
      </w:pPr>
      <w:r>
        <w:rPr>
          <w:rFonts w:ascii="Cambria" w:cs="Cambria" w:eastAsia="Cambria" w:hAnsi="Cambria"/>
          <w:sz w:val="24"/>
          <w:szCs w:val="24"/>
        </w:rP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spacing w:after="140" w:line="300"/>
        <w:jc w:val="both"/>
      </w:pPr>
      <w:r>
        <w:rPr>
          <w:rFonts w:ascii="Cambria" w:cs="Cambria" w:eastAsia="Cambria" w:hAnsi="Cambria"/>
          <w:sz w:val="24"/>
          <w:szCs w:val="24"/>
        </w:rPr>
        <w:t xml:space="preserve">SRQ2 therefore addresses how trustworthy participants can be established before their participation in collective authorisation decisions.</w:t>
      </w:r>
    </w:p>
    <w:p>
      <w:pPr>
        <w:pStyle w:val="Heading3"/>
        <w:spacing w:after="160" w:before="280"/>
      </w:pPr>
      <w:r>
        <w:rPr>
          <w:rFonts w:ascii="Cambria" w:cs="Cambria" w:eastAsia="Cambria" w:hAnsi="Cambria"/>
          <w:sz w:val="24"/>
          <w:szCs w:val="24"/>
        </w:rPr>
        <w:t xml:space="preserve">3.3.3  SRQ3: Trustworthy Multi-Party Authorisation</w:t>
      </w:r>
    </w:p>
    <w:p>
      <w:pPr>
        <w:spacing w:after="140" w:line="300"/>
        <w:jc w:val="both"/>
      </w:pPr>
      <w:r>
        <w:rPr>
          <w:rFonts w:ascii="Cambria" w:cs="Cambria" w:eastAsia="Cambria" w:hAnsi="Cambria"/>
          <w:sz w:val="24"/>
          <w:szCs w:val="24"/>
        </w:rPr>
        <w:t xml:space="preserve">The third sub-research question is:</w:t>
      </w:r>
    </w:p>
    <w:p>
      <w:pPr>
        <w:spacing w:after="140" w:line="300"/>
        <w:ind w:left="720" w:right="720"/>
        <w:jc w:val="both"/>
      </w:pPr>
      <w:r>
        <w:rPr>
          <w:rFonts w:ascii="Cambria" w:cs="Cambria" w:eastAsia="Cambria" w:hAnsi="Cambria"/>
          <w:i/>
          <w:iCs/>
          <w:sz w:val="24"/>
          <w:szCs w:val="24"/>
        </w:rPr>
        <w:t xml:space="preserve">How can multiple independently verified participants jointly establish a trustworthy consent decision without allowing a single participant to unilaterally authorise sensitive healthcare data access?</w:t>
      </w:r>
    </w:p>
    <w:p>
      <w:pPr>
        <w:spacing w:after="140" w:line="300"/>
        <w:jc w:val="both"/>
      </w:pPr>
      <w:r>
        <w:rPr>
          <w:rFonts w:ascii="Cambria" w:cs="Cambria" w:eastAsia="Cambria" w:hAnsi="Cambria"/>
          <w:sz w:val="24"/>
          <w:szCs w:val="24"/>
        </w:rPr>
        <w:t xml:space="preserve">This question addresses the collaborative authorisation problem.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independently verified authorisation participants and let N denote the required authorisation threshold. Multi-party authorisation is defined as</w:t>
      </w:r>
    </w:p>
    <w:p>
      <w:pPr>
        <w:spacing w:after="140" w:line="300"/>
        <w:jc w:val="both"/>
      </w:pPr>
      <w:r>
        <w:rPr>
          <w:rFonts w:ascii="Cambria" w:cs="Cambria" w:eastAsia="Cambria" w:hAnsi="Cambria"/>
          <w:color w:val="0000CC"/>
          <w:sz w:val="24"/>
          <w:szCs w:val="24"/>
        </w:rPr>
        <w:t xml:space="preserve">In this context, A</w:t>
      </w:r>
      <w:r>
        <w:rPr>
          <w:rFonts w:ascii="Cambria" w:cs="Cambria" w:eastAsia="Cambria" w:hAnsi="Cambria"/>
          <w:color w:val="0000CC"/>
          <w:sz w:val="24"/>
          <w:szCs w:val="24"/>
          <w:vertAlign w:val="subscript"/>
        </w:rPr>
        <w:t xml:space="preserve">v</w:t>
      </w:r>
      <w:r>
        <w:rPr>
          <w:rFonts w:ascii="Cambria" w:cs="Cambria" w:eastAsia="Cambria" w:hAnsi="Cambria"/>
          <w:color w:val="0000CC"/>
          <w:sz w:val="24"/>
          <w:szCs w:val="24"/>
        </w:rPr>
        <w:t xml:space="preserve"> is the subset of the guardian set G whose approvals have been independently verified, so that A</w:t>
      </w:r>
      <w:r>
        <w:rPr>
          <w:rFonts w:ascii="Cambria" w:cs="Cambria" w:eastAsia="Cambria" w:hAnsi="Cambria"/>
          <w:color w:val="0000CC"/>
          <w:sz w:val="24"/>
          <w:szCs w:val="24"/>
          <w:vertAlign w:val="subscript"/>
        </w:rPr>
        <w:t xml:space="preserve">v</w:t>
      </w:r>
      <w:r>
        <w:rPr>
          <w:rFonts w:ascii="Cambria" w:cs="Cambria" w:eastAsia="Cambria" w:hAnsi="Cambria"/>
          <w:color w:val="0000CC"/>
          <w:sz w:val="24"/>
          <w:szCs w:val="24"/>
        </w:rPr>
        <w:t xml:space="preserve"> ⊆ G and 1 ≤ N ≤ |G|.</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(4)</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(5)</w:t>
      </w:r>
    </w:p>
    <w:p>
      <w:pPr>
        <w:spacing w:after="140" w:line="300"/>
        <w:jc w:val="both"/>
      </w:pPr>
      <w:r>
        <w:rPr>
          <w:rFonts w:ascii="Cambria" w:cs="Cambria" w:eastAsia="Cambria" w:hAnsi="Cambria"/>
          <w:sz w:val="24"/>
          <w:szCs w:val="24"/>
        </w:rP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spacing w:after="140" w:line="300"/>
        <w:jc w:val="both"/>
      </w:pPr>
      <w:r>
        <w:rPr>
          <w:rFonts w:ascii="Cambria" w:cs="Cambria" w:eastAsia="Cambria" w:hAnsi="Cambria"/>
          <w:sz w:val="24"/>
          <w:szCs w:val="24"/>
        </w:rPr>
        <w:t xml:space="preserve">More fundamentally, SRQ3 changes the interpretation of trust from an assumption concerning a single trusted entity to a property established through the joint satisfaction of independently verified authorisation requirements.</w:t>
      </w:r>
    </w:p>
    <w:p>
      <w:pPr>
        <w:pStyle w:val="Heading3"/>
        <w:spacing w:after="160" w:before="280"/>
      </w:pPr>
      <w:r>
        <w:rPr>
          <w:rFonts w:ascii="Cambria" w:cs="Cambria" w:eastAsia="Cambria" w:hAnsi="Cambria"/>
          <w:sz w:val="24"/>
          <w:szCs w:val="24"/>
        </w:rPr>
        <w:t xml:space="preserve">3.3.4  SRQ4: Policy- and Context-Aware Access Control</w:t>
      </w:r>
    </w:p>
    <w:p>
      <w:pPr>
        <w:spacing w:after="140" w:line="300"/>
        <w:jc w:val="both"/>
      </w:pPr>
      <w:r>
        <w:rPr>
          <w:rFonts w:ascii="Cambria" w:cs="Cambria" w:eastAsia="Cambria" w:hAnsi="Cambria"/>
          <w:sz w:val="24"/>
          <w:szCs w:val="24"/>
        </w:rPr>
        <w:t xml:space="preserve">The fourth sub-research question is</w:t>
      </w:r>
    </w:p>
    <w:p>
      <w:pPr>
        <w:spacing w:after="140" w:line="300"/>
        <w:ind w:left="720" w:right="720"/>
        <w:jc w:val="both"/>
      </w:pPr>
      <w:r>
        <w:rPr>
          <w:rFonts w:ascii="Cambria" w:cs="Cambria" w:eastAsia="Cambria" w:hAnsi="Cambria"/>
          <w:i/>
          <w:iCs/>
          <w:sz w:val="24"/>
          <w:szCs w:val="24"/>
        </w:rPr>
        <w:t xml:space="preserve">How can policy, purpose, and data-scope constraints be incorporated into authorisation decisions so that valid identities and sufficient approvals cannot be used to obtain unauthorised healthcare data?</w:t>
      </w:r>
    </w:p>
    <w:p>
      <w:pPr>
        <w:spacing w:after="140" w:line="300"/>
        <w:jc w:val="both"/>
      </w:pPr>
      <w:r>
        <w:rPr>
          <w:rFonts w:ascii="Cambria" w:cs="Cambria" w:eastAsia="Cambria" w:hAnsi="Cambria"/>
          <w:sz w:val="24"/>
          <w:szCs w:val="24"/>
        </w:rP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(6)</w:t>
      </w:r>
    </w:p>
    <w:p>
      <w:pPr>
        <w:spacing w:after="140" w:line="300"/>
        <w:jc w:val="both"/>
      </w:pPr>
      <w:r>
        <w:rPr>
          <w:rFonts w:ascii="Cambria" w:cs="Cambria" w:eastAsia="Cambria" w:hAnsi="Cambria"/>
          <w:sz w:val="24"/>
          <w:szCs w:val="24"/>
        </w:rPr>
        <w:t xml:space="preserve">which evaluates whether the requested operation satisfies the purpose and data-scope constraints defined by the consent object.</w:t>
      </w:r>
    </w:p>
    <w:p>
      <w:pPr>
        <w:spacing w:after="140" w:line="300"/>
        <w:jc w:val="both"/>
      </w:pPr>
      <w:r>
        <w:rPr>
          <w:rFonts w:ascii="Cambria" w:cs="Cambria" w:eastAsia="Cambria" w:hAnsi="Cambria"/>
          <w:sz w:val="24"/>
          <w:szCs w:val="24"/>
        </w:rPr>
        <w:t xml:space="preserve">For example, if a consent authorises access to</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(7)</w:t>
      </w:r>
    </w:p>
    <w:p>
      <w:pPr>
        <w:spacing w:after="140" w:line="300"/>
        <w:jc w:val="both"/>
      </w:pPr>
      <w:r>
        <w:rPr>
          <w:rFonts w:ascii="Cambria" w:cs="Cambria" w:eastAsia="Cambria" w:hAnsi="Cambria"/>
          <w:color w:val="000000"/>
          <w:sz w:val="24"/>
          <w:szCs w:val="24"/>
        </w:rPr>
        <w:t xml:space="preserve">where I represents the participating identities, </w:t>
      </w:r>
      <w:r>
        <w:rPr>
          <w:rFonts w:ascii="Cambria" w:cs="Cambria" w:eastAsia="Cambria" w:hAnsi="Cambria"/>
          <w:color w:val="E6007E"/>
          <w:sz w:val="24"/>
          <w:szCs w:val="24"/>
        </w:rPr>
        <w:t xml:space="preserve">A represents the authority requirements, namely the guardian set G and the approval threshold N</w:t>
      </w:r>
      <w:r>
        <w:rPr>
          <w:rFonts w:ascii="Cambria" w:cs="Cambria" w:eastAsia="Cambria" w:hAnsi="Cambria"/>
          <w:color w:val="000000"/>
          <w:sz w:val="24"/>
          <w:szCs w:val="24"/>
        </w:rPr>
        <w:t xml:space="preserve">, P represents the purpose and data-scope constraints, T represents the temporal validity window, L represents the jurisdictional constraint, and </w:t>
      </w:r>
      <w:r>
        <w:rPr>
          <w:rFonts w:ascii="Cambria" w:cs="Cambria" w:eastAsia="Cambria" w:hAnsi="Cambria"/>
          <w:color w:val="000000"/>
          <w:sz w:val="24"/>
          <w:szCs w:val="24"/>
        </w:rPr>
        <w:t xml:space="preserve">E represents the authorisation evidence, including the record of whether the consent remains active or has been revoked</w:t>
      </w:r>
      <w:r>
        <w:rPr>
          <w:rFonts w:ascii="Cambria" w:cs="Cambria" w:eastAsia="Cambria" w:hAnsi="Cambria"/>
          <w:color w:val="000000"/>
          <w:sz w:val="24"/>
          <w:szCs w:val="24"/>
        </w:rPr>
        <w:t xml:space="preserve">. </w:t>
      </w:r>
      <w:r>
        <w:rPr>
          <w:rFonts w:ascii="Cambria" w:cs="Cambria" w:eastAsia="Cambria" w:hAnsi="Cambria"/>
          <w:color w:val="0000CC"/>
          <w:sz w:val="24"/>
          <w:szCs w:val="24"/>
        </w:rPr>
        <w:t xml:space="preserve">It should be noted that the question names four dimensions, namely identity, authority requirements, policy constraints and authorisation evidence, whereas the consent object contains six components. The temporal component T and the jurisdictional </w:t>
      </w:r>
      <w:r>
        <w:rPr>
          <w:rFonts w:ascii="Cambria" w:cs="Cambria" w:eastAsia="Cambria" w:hAnsi="Cambria"/>
          <w:color w:val="E6007E"/>
          <w:sz w:val="24"/>
          <w:szCs w:val="24"/>
        </w:rPr>
        <w:t xml:space="preserve">component L are required by Gap 1 of Section 2.5.1 and were made explicit during implementation as</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constraints of the policy dimension; the jurisdictional constraint is motivated by Gap 4 and the temporal constraint by Gap 5 of Section 2.5.1, and both are evaluated as the separate predicates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and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defined in Section 6.5</w:t>
      </w:r>
      <w:r>
        <w:rPr>
          <w:rFonts w:ascii="Cambria" w:cs="Cambria" w:eastAsia="Cambria" w:hAnsi="Cambria"/>
          <w:color w:val="0000CC"/>
          <w:sz w:val="24"/>
          <w:szCs w:val="24"/>
        </w:rPr>
        <w:t xml:space="preserve"> rather than as an additional sub-research question.</w:t>
      </w:r>
    </w:p>
    <w:p>
      <w:pPr>
        <w:tabs>
          <w:tab w:val="right" w:pos="9360"/>
        </w:tabs>
        <w:spacing w:after="160" w:before="60"/>
        <w:jc w:val="center"/>
      </w:pPr>
      <w:r>
        <w:rPr>
          <w:rFonts w:ascii="Cambria Math" w:cs="Cambria Math" w:eastAsia="Cambria Math" w:hAnsi="Cambria Math"/>
          <w:i/>
          <w:iCs/>
          <w:color w:val="E6007E"/>
          <w:sz w:val="22"/>
          <w:szCs w:val="22"/>
        </w:rPr>
        <w:t xml:space="preserve">S</w:t>
      </w:r>
      <w:r>
        <w:rPr>
          <w:rFonts w:ascii="Cambria Math" w:cs="Cambria Math" w:eastAsia="Cambria Math" w:hAnsi="Cambria Math"/>
          <w:i/>
          <w:iCs/>
          <w:color w:val="E6007E"/>
          <w:sz w:val="22"/>
          <w:szCs w:val="22"/>
          <w:vertAlign w:val="subscript"/>
        </w:rPr>
        <w:t xml:space="preserve">R</w:t>
      </w:r>
      <w:r>
        <w:rPr>
          <w:rFonts w:ascii="Cambria Math" w:cs="Cambria Math" w:eastAsia="Cambria Math" w:hAnsi="Cambria Math"/>
          <w:i/>
          <w:iCs/>
          <w:color w:val="E6007E"/>
          <w:sz w:val="22"/>
          <w:szCs w:val="22"/>
        </w:rPr>
        <w:t xml:space="preserve"> = {Observation, Medication, Procedure},</w:t>
      </w:r>
      <w:r>
        <w:rPr>
          <w:rFonts w:ascii="Cambria" w:cs="Cambria" w:eastAsia="Cambria" w:hAnsi="Cambria"/>
          <w:sz w:val="22"/>
          <w:szCs w:val="22"/>
        </w:rPr>
        <w:t xml:space="preserve">	(8)</w:t>
      </w:r>
    </w:p>
    <w:p>
      <w:pPr>
        <w:spacing w:after="140" w:line="300"/>
        <w:jc w:val="both"/>
      </w:pPr>
      <w:r>
        <w:rPr>
          <w:rFonts w:ascii="Cambria" w:cs="Cambria" w:eastAsia="Cambria" w:hAnsi="Cambria"/>
          <w:sz w:val="24"/>
          <w:szCs w:val="24"/>
        </w:rPr>
        <w:t xml:space="preserve">the request must be rejected when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(9)</w:t>
      </w:r>
    </w:p>
    <w:p>
      <w:pPr>
        <w:spacing w:after="140" w:line="300"/>
        <w:jc w:val="both"/>
      </w:pPr>
      <w:r>
        <w:rPr>
          <w:rFonts w:ascii="Cambria" w:cs="Cambria" w:eastAsia="Cambria" w:hAnsi="Cambria"/>
          <w:sz w:val="24"/>
          <w:szCs w:val="24"/>
        </w:rPr>
        <w:t xml:space="preserve">Similarly, a request may be rejected when its declared purpose is inconsistent with the purpose specified in the consent.</w:t>
      </w:r>
    </w:p>
    <w:p>
      <w:pPr>
        <w:spacing w:after="140" w:line="300"/>
        <w:jc w:val="both"/>
      </w:pPr>
      <w:r>
        <w:rPr>
          <w:rFonts w:ascii="Cambria" w:cs="Cambria" w:eastAsia="Cambria" w:hAnsi="Cambria"/>
          <w:sz w:val="24"/>
          <w:szCs w:val="24"/>
        </w:rPr>
        <w:t xml:space="preserve">Thus, trustworthy authorisation requires not only trusted participants and sufficient approvals, but also compliance between the requested operation and the authorisation policy.</w:t>
      </w:r>
    </w:p>
    <w:p>
      <w:pPr>
        <w:spacing w:after="140" w:line="300"/>
        <w:jc w:val="both"/>
      </w:pPr>
      <w:r>
        <w:rPr>
          <w:rFonts w:ascii="Cambria" w:cs="Cambria" w:eastAsia="Cambria" w:hAnsi="Cambria"/>
          <w:sz w:val="24"/>
          <w:szCs w:val="24"/>
        </w:rPr>
        <w:t xml:space="preserve">SRQ4 therefore completes the foundational access-control mechanisms by connecting participant trust and collective authorisation with the actual operation being requested.</w:t>
      </w:r>
    </w:p>
    <w:p>
      <w:pPr>
        <w:pStyle w:val="Heading3"/>
        <w:spacing w:after="160" w:before="280"/>
      </w:pPr>
      <w:r>
        <w:rPr>
          <w:rFonts w:ascii="Cambria" w:cs="Cambria" w:eastAsia="Cambria" w:hAnsi="Cambria"/>
          <w:sz w:val="24"/>
          <w:szCs w:val="24"/>
        </w:rPr>
        <w:t xml:space="preserve">3.3.5  SRQ5: Temporal and Lifecycle Trust</w:t>
      </w:r>
    </w:p>
    <w:p>
      <w:pPr>
        <w:spacing w:after="140" w:line="300"/>
        <w:jc w:val="both"/>
      </w:pPr>
      <w:r>
        <w:rPr>
          <w:rFonts w:ascii="Cambria" w:cs="Cambria" w:eastAsia="Cambria" w:hAnsi="Cambria"/>
          <w:sz w:val="24"/>
          <w:szCs w:val="24"/>
        </w:rPr>
        <w:t xml:space="preserve">The fifth sub-research question is</w:t>
      </w:r>
    </w:p>
    <w:p>
      <w:pPr>
        <w:spacing w:after="140" w:line="300"/>
        <w:ind w:left="720" w:right="720"/>
        <w:jc w:val="both"/>
      </w:pPr>
      <w:r>
        <w:rPr>
          <w:rFonts w:ascii="Cambria" w:cs="Cambria" w:eastAsia="Cambria" w:hAnsi="Cambria"/>
          <w:i/>
          <w:iCs/>
          <w:sz w:val="24"/>
          <w:szCs w:val="24"/>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spacing w:after="140" w:line="300"/>
        <w:jc w:val="both"/>
      </w:pPr>
      <w:r>
        <w:rPr>
          <w:rFonts w:ascii="Cambria" w:cs="Cambria" w:eastAsia="Cambria" w:hAnsi="Cambria"/>
          <w:sz w:val="24"/>
          <w:szCs w:val="24"/>
        </w:rPr>
        <w:t xml:space="preserve">Trustworthy authorisation is inherently dynamic. A consent that is valid at one point in time </w:t>
      </w:r>
      <w:r>
        <w:rPr>
          <w:rFonts w:ascii="Cambria" w:cs="Cambria" w:eastAsia="Cambria" w:hAnsi="Cambria"/>
          <w:color w:val="E6007E"/>
          <w:sz w:val="24"/>
          <w:szCs w:val="24"/>
        </w:rPr>
        <w:t xml:space="preserve">cannot necessarily be assumed to remain valid indefinitely, as recognised in the dynamic consent literature [24, 13].</w:t>
      </w:r>
      <w:r>
        <w:rPr>
          <w:rFonts w:ascii="Cambria" w:cs="Cambria" w:eastAsia="Cambria" w:hAnsi="Cambria"/>
          <w:sz w:val="24"/>
          <w:szCs w:val="24"/>
        </w:rPr>
        <w:t xml:space="preserve"> Let the validity interval of a consent object be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Temporal validity is defined as</w:t>
      </w:r>
    </w:p>
    <w:p>
      <w:pPr>
        <w:tabs>
          <w:tab w:val="right" w:pos="9360"/>
        </w:tabs>
        <w:spacing w:after="160" w:before="60"/>
        <w:jc w:val="center"/>
      </w:pPr>
      <w:r>
        <w:rPr>
          <w:rFonts w:ascii="Cambria Math" w:cs="Cambria Math" w:eastAsia="Cambria Math" w:hAnsi="Cambria Math"/>
          <w:i/>
          <w:iCs/>
          <w:color w:val="000000"/>
          <w:sz w:val="22"/>
          <w:szCs w:val="22"/>
        </w:rPr>
        <w:t xml:space="preserve">|A</w:t>
      </w:r>
      <w:r>
        <w:rPr>
          <w:rFonts w:ascii="Cambria Math" w:cs="Cambria Math" w:eastAsia="Cambria Math" w:hAnsi="Cambria Math"/>
          <w:i/>
          <w:iCs/>
          <w:color w:val="000000"/>
          <w:sz w:val="22"/>
          <w:szCs w:val="22"/>
          <w:vertAlign w:val="subscript"/>
        </w:rPr>
        <w:t xml:space="preserve">v</w:t>
      </w:r>
      <w:r>
        <w:rPr>
          <w:rFonts w:ascii="Cambria Math" w:cs="Cambria Math" w:eastAsia="Cambria Math" w:hAnsi="Cambria Math"/>
          <w:i/>
          <w:iCs/>
          <w:color w:val="000000"/>
          <w:sz w:val="22"/>
          <w:szCs w:val="22"/>
        </w:rPr>
        <w:t xml:space="preserve">| &lt; N ⟹ Decision(C, R) = DENY.</w:t>
      </w:r>
      <w:r>
        <w:rPr>
          <w:rFonts w:ascii="Cambria" w:cs="Cambria" w:eastAsia="Cambria" w:hAnsi="Cambria"/>
          <w:color w:val="000000"/>
          <w:sz w:val="22"/>
          <w:szCs w:val="22"/>
        </w:rPr>
        <w:t xml:space="preserve">	(10)</w:t>
      </w:r>
    </w:p>
    <w:p>
      <w:pPr>
        <w:spacing w:after="140" w:line="300"/>
        <w:jc w:val="both"/>
      </w:pPr>
      <w:r>
        <w:rPr>
          <w:rFonts w:ascii="Cambria" w:cs="Cambria" w:eastAsia="Cambria" w:hAnsi="Cambria"/>
          <w:color w:val="E6007E"/>
          <w:sz w:val="24"/>
          <w:szCs w:val="24"/>
        </w:rPr>
        <w:t xml:space="preserve">In the implemented framework, N is instantiated as |G|, the number of designated guardians,</w:t>
      </w:r>
      <w:r>
        <w:rPr>
          <w:rFonts w:ascii="Cambria" w:cs="Cambria" w:eastAsia="Cambria" w:hAnsi="Cambria"/>
          <w:color w:val="000000"/>
          <w:sz w:val="24"/>
          <w:szCs w:val="24"/>
        </w:rPr>
        <w:t xml:space="preserve"> so that activation requires the approval of every listed guardian; configurable k-of-n thresholds are identified as future work.</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t &lt;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&gt;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(11)</w:t>
      </w:r>
    </w:p>
    <w:p>
      <w:pPr>
        <w:spacing w:after="140" w:line="300"/>
        <w:jc w:val="both"/>
      </w:pPr>
      <w:r>
        <w:rPr>
          <w:rFonts w:ascii="Cambria" w:cs="Cambria" w:eastAsia="Cambria" w:hAnsi="Cambria"/>
          <w:sz w:val="24"/>
          <w:szCs w:val="24"/>
        </w:rPr>
        <w:t xml:space="preserve">Temporal validity must also be evaluated together with the lifecycle state of the consent. The lifecycle can be represented as</w:t>
      </w:r>
    </w:p>
    <w:p>
      <w:pPr>
        <w:tabs>
          <w:tab w:val="right" w:pos="9360"/>
        </w:tabs>
        <w:spacing w:after="160" w:before="60"/>
        <w:jc w:val="center"/>
      </w:pPr>
      <w:r>
        <w:rPr>
          <w:rFonts w:ascii="Cambria Math" w:cs="Cambria Math" w:eastAsia="Cambria Math" w:hAnsi="Cambria Math"/>
          <w:i/>
          <w:iCs/>
          <w:sz w:val="22"/>
          <w:szCs w:val="22"/>
        </w:rPr>
        <w:t xml:space="preserve">Specification → Verification → Approval → Active → Expiration/Revocation.</w:t>
      </w:r>
      <w:r>
        <w:rPr>
          <w:rFonts w:ascii="Cambria" w:cs="Cambria" w:eastAsia="Cambria" w:hAnsi="Cambria"/>
          <w:sz w:val="22"/>
          <w:szCs w:val="22"/>
        </w:rPr>
        <w:t xml:space="preserve">	(12)</w:t>
      </w:r>
    </w:p>
    <w:p>
      <w:pPr>
        <w:spacing w:after="140" w:line="300"/>
        <w:jc w:val="both"/>
      </w:pPr>
      <w:r>
        <w:rPr>
          <w:rFonts w:ascii="Cambria" w:cs="Cambria" w:eastAsia="Cambria" w:hAnsi="Cambria"/>
          <w:sz w:val="24"/>
          <w:szCs w:val="24"/>
        </w:rPr>
        <w:t xml:space="preserve">The lifecycle validity predicate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sz w:val="24"/>
          <w:szCs w:val="24"/>
        </w:rPr>
        <w:t xml:space="preserve"> can therefore be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V</w:t>
      </w:r>
      <w:r>
        <w:rPr>
          <w:rFonts w:ascii="Cambria Math" w:cs="Cambria Math" w:eastAsia="Cambria Math" w:hAnsi="Cambria Math"/>
          <w:i/>
          <w:iCs/>
          <w:color w:val="000000"/>
          <w:sz w:val="22"/>
          <w:szCs w:val="22"/>
          <w:vertAlign w:val="subscript"/>
        </w:rPr>
        <w:t xml:space="preserve">S</w:t>
      </w:r>
      <w:r>
        <w:rPr>
          <w:rFonts w:ascii="Cambria Math" w:cs="Cambria Math" w:eastAsia="Cambria Math" w:hAnsi="Cambria Math"/>
          <w:i/>
          <w:iCs/>
          <w:color w:val="000000"/>
          <w:sz w:val="22"/>
          <w:szCs w:val="22"/>
        </w:rPr>
        <w:t xml:space="preserve">(C)</w:t>
      </w:r>
      <w:r>
        <w:rPr>
          <w:rFonts w:ascii="Cambria Math" w:cs="Cambria Math" w:eastAsia="Cambria Math" w:hAnsi="Cambria Math"/>
          <w:i/>
          <w:iCs/>
          <w:sz w:val="22"/>
          <w:szCs w:val="22"/>
        </w:rPr>
        <w:t xml:space="preserve"> = ValidState(C) ∧ ValidTransition(C).</w:t>
      </w:r>
      <w:r>
        <w:rPr>
          <w:rFonts w:ascii="Cambria" w:cs="Cambria" w:eastAsia="Cambria" w:hAnsi="Cambria"/>
          <w:sz w:val="22"/>
          <w:szCs w:val="22"/>
        </w:rPr>
        <w:t xml:space="preserve">	(13)</w:t>
      </w:r>
    </w:p>
    <w:p>
      <w:pPr>
        <w:spacing w:after="140" w:line="300"/>
        <w:jc w:val="both"/>
      </w:pPr>
      <w:r>
        <w:rPr>
          <w:rFonts w:ascii="Cambria" w:cs="Cambria" w:eastAsia="Cambria" w:hAnsi="Cambria"/>
          <w:sz w:val="24"/>
          <w:szCs w:val="24"/>
        </w:rP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 </w:t>
      </w:r>
      <w:r>
        <w:rPr>
          <w:rFonts w:ascii="Cambria" w:cs="Cambria" w:eastAsia="Cambria" w:hAnsi="Cambria"/>
          <w:color w:val="E6007E"/>
          <w:sz w:val="24"/>
          <w:szCs w:val="24"/>
        </w:rPr>
        <w:t xml:space="preserve">In the implemented framework, the state and revocation conditions of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are evaluated as part of the collective authorisation predicate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whereas Section 6.5 additionally evaluates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as a composite temporal and lifecycle predicate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t, q) that includes the temporal condition of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w:t>
      </w:r>
      <w:r>
        <w:rPr>
          <w:rFonts w:ascii="Cambria" w:cs="Cambria" w:eastAsia="Cambria" w:hAnsi="Cambria"/>
          <w:color w:val="000000"/>
          <w:sz w:val="24"/>
          <w:szCs w:val="24"/>
        </w:rPr>
        <w:t xml:space="preserve"> This is important because only a consent in the ACTIVE state can satisfy the authorisation condition. Consequently, the symbol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is reserved for the jurisdictional predicate, which corresponds to the component L of the consent object.</w:t>
      </w:r>
    </w:p>
    <w:p>
      <w:pPr>
        <w:spacing w:after="140" w:line="300"/>
        <w:jc w:val="both"/>
      </w:pPr>
      <w:r>
        <w:rPr>
          <w:rFonts w:ascii="Cambria" w:cs="Cambria" w:eastAsia="Cambria" w:hAnsi="Cambria"/>
          <w:color w:val="0000CC"/>
          <w:sz w:val="24"/>
          <w:szCs w:val="24"/>
        </w:rPr>
        <w:t xml:space="preserve">It should be noted that Section 6.4 also writes the data-scope condition of Equation (9) as V</w:t>
      </w:r>
      <w:r>
        <w:rPr>
          <w:rFonts w:ascii="Cambria" w:cs="Cambria" w:eastAsia="Cambria" w:hAnsi="Cambria"/>
          <w:color w:val="0000CC"/>
          <w:sz w:val="24"/>
          <w:szCs w:val="24"/>
          <w:vertAlign w:val="subscript"/>
        </w:rPr>
        <w:t xml:space="preserve">S</w:t>
      </w:r>
      <w:r>
        <w:rPr>
          <w:rFonts w:ascii="Cambria" w:cs="Cambria" w:eastAsia="Cambria" w:hAnsi="Cambria"/>
          <w:color w:val="0000CC"/>
          <w:sz w:val="24"/>
          <w:szCs w:val="24"/>
        </w:rPr>
        <w:t xml:space="preserve">(C, R); for this reason the lifecycle predicate is written with three arguments, V</w:t>
      </w:r>
      <w:r>
        <w:rPr>
          <w:rFonts w:ascii="Cambria" w:cs="Cambria" w:eastAsia="Cambria" w:hAnsi="Cambria"/>
          <w:color w:val="0000CC"/>
          <w:sz w:val="24"/>
          <w:szCs w:val="24"/>
          <w:vertAlign w:val="subscript"/>
        </w:rPr>
        <w:t xml:space="preserve">S</w:t>
      </w:r>
      <w:r>
        <w:rPr>
          <w:rFonts w:ascii="Cambria" w:cs="Cambria" w:eastAsia="Cambria" w:hAnsi="Cambria"/>
          <w:color w:val="0000CC"/>
          <w:sz w:val="24"/>
          <w:szCs w:val="24"/>
        </w:rPr>
        <w:t xml:space="preserve">(C, t, q), wherever the two could be confused.</w:t>
      </w:r>
    </w:p>
    <w:p>
      <w:pPr>
        <w:spacing w:after="140" w:line="300"/>
        <w:jc w:val="both"/>
      </w:pPr>
      <w:r>
        <w:rPr>
          <w:rFonts w:ascii="Cambria" w:cs="Cambria" w:eastAsia="Cambria" w:hAnsi="Cambria"/>
          <w:sz w:val="24"/>
          <w:szCs w:val="24"/>
        </w:rPr>
        <w:t xml:space="preserve">SRQ5 therefore extends the foundational authorisation model into a dynamic consent environment in which trust is continuously evaluated according to both temporal conditions and lifecycle state.</w:t>
      </w:r>
    </w:p>
    <w:p>
      <w:pPr>
        <w:pStyle w:val="Heading3"/>
        <w:spacing w:after="160" w:before="280"/>
      </w:pPr>
      <w:r>
        <w:rPr>
          <w:rFonts w:ascii="Cambria" w:cs="Cambria" w:eastAsia="Cambria" w:hAnsi="Cambria"/>
          <w:sz w:val="24"/>
          <w:szCs w:val="24"/>
        </w:rPr>
        <w:t xml:space="preserve">3.3.6  SRQ6: Formal Security Assurance and Empirical Validation</w:t>
      </w:r>
    </w:p>
    <w:p>
      <w:pPr>
        <w:spacing w:after="140" w:line="300"/>
        <w:jc w:val="both"/>
      </w:pPr>
      <w:r>
        <w:rPr>
          <w:rFonts w:ascii="Cambria" w:cs="Cambria" w:eastAsia="Cambria" w:hAnsi="Cambria"/>
          <w:sz w:val="24"/>
          <w:szCs w:val="24"/>
        </w:rPr>
        <w:t xml:space="preserve">The sixth sub-research question is</w:t>
      </w:r>
    </w:p>
    <w:p>
      <w:pPr>
        <w:spacing w:after="140" w:line="300"/>
        <w:ind w:left="720" w:right="720"/>
        <w:jc w:val="both"/>
      </w:pPr>
      <w:r>
        <w:rPr>
          <w:rFonts w:ascii="Cambria" w:cs="Cambria" w:eastAsia="Cambria" w:hAnsi="Cambria"/>
          <w:i/>
          <w:iCs/>
          <w:sz w:val="24"/>
          <w:szCs w:val="24"/>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40" w:line="300"/>
        <w:jc w:val="both"/>
      </w:pPr>
      <w:r>
        <w:rPr>
          <w:rFonts w:ascii="Cambria" w:cs="Cambria" w:eastAsia="Cambria" w:hAnsi="Cambria"/>
          <w:sz w:val="24"/>
          <w:szCs w:val="24"/>
        </w:rP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spacing w:after="140" w:line="300"/>
        <w:jc w:val="both"/>
      </w:pPr>
      <w:r>
        <w:rPr>
          <w:rFonts w:ascii="Cambria" w:cs="Cambria" w:eastAsia="Cambria" w:hAnsi="Cambria"/>
          <w:sz w:val="24"/>
          <w:szCs w:val="24"/>
        </w:rPr>
        <w:t xml:space="preserve">The overall authorisation decision is defined as a conjunction of independently evaluated predicates</w:t>
      </w:r>
    </w:p>
    <w:p>
      <w:pPr>
        <w:tabs>
          <w:tab w:val="right" w:pos="9360"/>
        </w:tabs>
        <w:spacing w:after="160" w:before="60"/>
        <w:jc w:val="center"/>
      </w:pPr>
      <w:r>
        <w:rPr>
          <w:rFonts w:ascii="Cambria Math" w:cs="Cambria Math" w:eastAsia="Cambria Math" w:hAnsi="Cambria Math"/>
          <w:i/>
          <w:iCs/>
          <w:color w:val="E6007E"/>
          <w:sz w:val="22"/>
          <w:szCs w:val="22"/>
        </w:rPr>
        <w:t xml:space="preserve">Decision(C, R, t) = { ALLOW, V</w:t>
      </w:r>
      <w:r>
        <w:rPr>
          <w:rFonts w:ascii="Cambria Math" w:cs="Cambria Math" w:eastAsia="Cambria Math" w:hAnsi="Cambria Math"/>
          <w:i/>
          <w:iCs/>
          <w:color w:val="E6007E"/>
          <w:sz w:val="22"/>
          <w:szCs w:val="22"/>
          <w:vertAlign w:val="subscript"/>
        </w:rPr>
        <w:t xml:space="preserve">I</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A</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P</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T</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L</w:t>
      </w:r>
      <w:r>
        <w:rPr>
          <w:rFonts w:ascii="Cambria Math" w:cs="Cambria Math" w:eastAsia="Cambria Math" w:hAnsi="Cambria Math"/>
          <w:i/>
          <w:iCs/>
          <w:color w:val="E6007E"/>
          <w:sz w:val="22"/>
          <w:szCs w:val="22"/>
        </w:rPr>
        <w:t xml:space="preserve">; DENY, otherwise. }</w:t>
      </w:r>
      <w:r>
        <w:rPr>
          <w:rFonts w:ascii="Cambria" w:cs="Cambria" w:eastAsia="Cambria" w:hAnsi="Cambria"/>
          <w:sz w:val="22"/>
          <w:szCs w:val="22"/>
        </w:rPr>
        <w:t xml:space="preserve">	(14)</w:t>
      </w:r>
    </w:p>
    <w:p>
      <w:pPr>
        <w:spacing w:after="140" w:line="300"/>
        <w:jc w:val="both"/>
      </w:pPr>
      <w:r>
        <w:rPr>
          <w:rFonts w:ascii="Cambria" w:cs="Cambria" w:eastAsia="Cambria" w:hAnsi="Cambria"/>
          <w:sz w:val="24"/>
          <w:szCs w:val="24"/>
        </w:rPr>
        <w:t xml:space="preserve">The corresponding security properties include identity correctness, which can be formulated as</w:t>
      </w:r>
    </w:p>
    <w:p>
      <w:pPr>
        <w:tabs>
          <w:tab w:val="right" w:pos="9360"/>
        </w:tabs>
        <w:spacing w:after="160" w:before="60"/>
        <w:jc w:val="center"/>
      </w:pPr>
      <w:r>
        <w:rPr>
          <w:rFonts w:ascii="Cambria Math" w:cs="Cambria Math" w:eastAsia="Cambria Math" w:hAnsi="Cambria Math"/>
          <w:i/>
          <w:iCs/>
          <w:sz w:val="22"/>
          <w:szCs w:val="22"/>
        </w:rPr>
        <w:t xml:space="preserve">u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w:t>
      </w:r>
      <w:r>
        <w:rPr>
          <w:rFonts w:ascii="Cambria" w:cs="Cambria" w:eastAsia="Cambria" w:hAnsi="Cambria"/>
          <w:sz w:val="22"/>
          <w:szCs w:val="22"/>
        </w:rPr>
        <w:t xml:space="preserve">	(15)</w:t>
      </w:r>
    </w:p>
    <w:p>
      <w:pPr>
        <w:spacing w:after="140" w:line="300"/>
        <w:jc w:val="both"/>
      </w:pPr>
      <w:r>
        <w:rPr>
          <w:rFonts w:ascii="Cambria" w:cs="Cambria" w:eastAsia="Cambria" w:hAnsi="Cambria"/>
          <w:sz w:val="24"/>
          <w:szCs w:val="24"/>
        </w:rPr>
        <w:t xml:space="preserve">authorisation integrity</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(16)</w:t>
      </w:r>
    </w:p>
    <w:p>
      <w:pPr>
        <w:spacing w:after="140" w:line="300"/>
        <w:jc w:val="both"/>
      </w:pPr>
      <w:r>
        <w:rPr>
          <w:rFonts w:ascii="Cambria" w:cs="Cambria" w:eastAsia="Cambria" w:hAnsi="Cambria"/>
          <w:sz w:val="24"/>
          <w:szCs w:val="24"/>
        </w:rPr>
        <w:t xml:space="preserve">threshold security, formulated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(17)</w:t>
      </w:r>
    </w:p>
    <w:p>
      <w:pPr>
        <w:spacing w:after="140" w:line="300"/>
        <w:jc w:val="both"/>
      </w:pPr>
      <w:r>
        <w:rPr>
          <w:rFonts w:ascii="Cambria" w:cs="Cambria" w:eastAsia="Cambria" w:hAnsi="Cambria"/>
          <w:sz w:val="24"/>
          <w:szCs w:val="24"/>
        </w:rPr>
        <w:t xml:space="preserve">and temporal safety, formulated as</w:t>
      </w:r>
    </w:p>
    <w:p>
      <w:pPr>
        <w:tabs>
          <w:tab w:val="right" w:pos="9360"/>
        </w:tabs>
        <w:spacing w:after="160" w:before="60"/>
        <w:jc w:val="center"/>
      </w:pPr>
      <w:r>
        <w:rPr>
          <w:rFonts w:ascii="Cambria Math" w:cs="Cambria Math" w:eastAsia="Cambria Math" w:hAnsi="Cambria Math"/>
          <w:i/>
          <w:iCs/>
          <w:sz w:val="22"/>
          <w:szCs w:val="22"/>
        </w:rPr>
        <w:t xml:space="preserve">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(18)</w:t>
      </w:r>
    </w:p>
    <w:p>
      <w:pPr>
        <w:spacing w:after="140" w:line="300"/>
        <w:jc w:val="both"/>
      </w:pPr>
      <w:r>
        <w:rPr>
          <w:rFonts w:ascii="Cambria" w:cs="Cambria" w:eastAsia="Cambria" w:hAnsi="Cambria"/>
          <w:sz w:val="24"/>
          <w:szCs w:val="24"/>
        </w:rPr>
        <w:t xml:space="preserve">Lifecycle safety additionally requires that unauthorised state transitions be rejected</w:t>
      </w:r>
    </w:p>
    <w:p>
      <w:pPr>
        <w:tabs>
          <w:tab w:val="right" w:pos="9360"/>
        </w:tabs>
        <w:spacing w:after="160" w:before="60"/>
        <w:jc w:val="center"/>
      </w:pPr>
      <w:r>
        <w:rPr>
          <w:rFonts w:ascii="Cambria Math" w:cs="Cambria Math" w:eastAsia="Cambria Math" w:hAnsi="Cambria Math"/>
          <w:i/>
          <w:iCs/>
          <w:sz w:val="22"/>
          <w:szCs w:val="22"/>
        </w:rPr>
        <w:t xml:space="preserve">IllegalTransition(C) ⟹ Reject.</w:t>
      </w:r>
      <w:r>
        <w:rPr>
          <w:rFonts w:ascii="Cambria" w:cs="Cambria" w:eastAsia="Cambria" w:hAnsi="Cambria"/>
          <w:sz w:val="22"/>
          <w:szCs w:val="22"/>
        </w:rPr>
        <w:t xml:space="preserve">	(19)</w:t>
      </w:r>
    </w:p>
    <w:p>
      <w:pPr>
        <w:spacing w:after="140" w:line="300"/>
        <w:jc w:val="both"/>
      </w:pPr>
      <w:r>
        <w:rPr>
          <w:rFonts w:ascii="Cambria" w:cs="Cambria" w:eastAsia="Cambria" w:hAnsi="Cambria"/>
          <w:sz w:val="24"/>
          <w:szCs w:val="24"/>
        </w:rP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spacing w:after="140" w:line="300"/>
        <w:jc w:val="both"/>
      </w:pPr>
      <w:r>
        <w:rPr>
          <w:rFonts w:ascii="Cambria" w:cs="Cambria" w:eastAsia="Cambria" w:hAnsi="Cambria"/>
          <w:sz w:val="24"/>
          <w:szCs w:val="24"/>
        </w:rPr>
        <w:t xml:space="preserve">The empirical component evaluates whether the implemented HALAH framework realises these defined properties in representative decentralised healthcare data-sharing scenarios. </w:t>
      </w:r>
      <w:r>
        <w:rPr>
          <w:rFonts w:ascii="Cambria" w:cs="Cambria" w:eastAsia="Cambria" w:hAnsi="Cambria"/>
          <w:color w:val="000000"/>
          <w:sz w:val="24"/>
          <w:szCs w:val="24"/>
        </w:rPr>
        <w:t xml:space="preserve">Synthetic demonstration records, containing no real patient data, are used</w:t>
      </w:r>
      <w:r>
        <w:rPr>
          <w:rFonts w:ascii="Cambria" w:cs="Cambria" w:eastAsia="Cambria" w:hAnsi="Cambria"/>
          <w:sz w:val="24"/>
          <w:szCs w:val="24"/>
        </w:rPr>
        <w:t xml:space="preserve">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spacing w:after="140" w:line="300"/>
        <w:jc w:val="both"/>
      </w:pPr>
      <w:r>
        <w:rPr>
          <w:rFonts w:ascii="Cambria" w:cs="Cambria" w:eastAsia="Cambria" w:hAnsi="Cambria"/>
          <w:sz w:val="24"/>
          <w:szCs w:val="24"/>
        </w:rPr>
        <w:t xml:space="preserve">For a representative multi-party consent scenario, if two authorised participants are required, then it yields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1,</w:t>
      </w:r>
      <w:r>
        <w:rPr>
          <w:rFonts w:ascii="Cambria" w:cs="Cambria" w:eastAsia="Cambria" w:hAnsi="Cambria"/>
          <w:sz w:val="22"/>
          <w:szCs w:val="22"/>
        </w:rPr>
        <w:t xml:space="preserve">	(20)</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(21)</w:t>
      </w:r>
    </w:p>
    <w:p>
      <w:pPr>
        <w:spacing w:after="140" w:line="300"/>
        <w:jc w:val="both"/>
      </w:pPr>
      <w:r>
        <w:rPr>
          <w:rFonts w:ascii="Cambria" w:cs="Cambria" w:eastAsia="Cambria" w:hAnsi="Cambria"/>
          <w:sz w:val="24"/>
          <w:szCs w:val="24"/>
        </w:rP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spacing w:after="140" w:line="300"/>
        <w:jc w:val="both"/>
      </w:pPr>
      <w:r>
        <w:rPr>
          <w:rFonts w:ascii="Cambria" w:cs="Cambria" w:eastAsia="Cambria" w:hAnsi="Cambria"/>
          <w:sz w:val="24"/>
          <w:szCs w:val="24"/>
        </w:rPr>
        <w:t xml:space="preserve">Audit records are generated throughout the workflow to provide evidence of consent creation, participant verification, approval events, authorisation-state evaluation, data-access decisions, and relevant lifecycle transitions.</w:t>
      </w:r>
    </w:p>
    <w:p>
      <w:pPr>
        <w:spacing w:after="140" w:line="300"/>
        <w:jc w:val="both"/>
      </w:pPr>
      <w:r>
        <w:rPr>
          <w:rFonts w:ascii="Cambria" w:cs="Cambria" w:eastAsia="Cambria" w:hAnsi="Cambria"/>
          <w:sz w:val="24"/>
          <w:szCs w:val="24"/>
        </w:rP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spacing w:after="140" w:line="300"/>
        <w:jc w:val="both"/>
      </w:pPr>
      <w:r>
        <w:rPr>
          <w:rFonts w:ascii="Cambria" w:cs="Cambria" w:eastAsia="Cambria" w:hAnsi="Cambria"/>
          <w:sz w:val="24"/>
          <w:szCs w:val="24"/>
        </w:rPr>
        <w:t xml:space="preserve">SRQ6 consequently represents the final assurance stage of the research programme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p>
      <w:pPr>
        <w:pStyle w:val="Heading2"/>
        <w:spacing w:after="160" w:before="280"/>
      </w:pPr>
      <w:r>
        <w:rPr>
          <w:rFonts w:ascii="Cambria" w:cs="Cambria" w:eastAsia="Cambria" w:hAnsi="Cambria"/>
          <w:sz w:val="24"/>
          <w:szCs w:val="24"/>
        </w:rPr>
        <w:t xml:space="preserve">3.4  Research Questions as an Integrated Research Problem</w:t>
      </w:r>
    </w:p>
    <w:p>
      <w:pPr>
        <w:spacing w:after="140" w:line="300"/>
        <w:jc w:val="both"/>
      </w:pPr>
      <w:r>
        <w:rPr>
          <w:rFonts w:ascii="Cambria" w:cs="Cambria" w:eastAsia="Cambria" w:hAnsi="Cambria"/>
          <w:sz w:val="24"/>
          <w:szCs w:val="24"/>
        </w:rP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spacing w:after="140" w:line="300"/>
        <w:jc w:val="both"/>
      </w:pPr>
      <w:r>
        <w:rPr>
          <w:rFonts w:ascii="Cambria" w:cs="Cambria" w:eastAsia="Cambria" w:hAnsi="Cambria"/>
          <w:sz w:val="24"/>
          <w:szCs w:val="24"/>
        </w:rP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spacing w:after="140" w:line="300"/>
        <w:jc w:val="both"/>
      </w:pPr>
      <w:r>
        <w:rPr>
          <w:rFonts w:ascii="Cambria" w:cs="Cambria" w:eastAsia="Cambria" w:hAnsi="Cambria"/>
          <w:sz w:val="24"/>
          <w:szCs w:val="24"/>
        </w:rPr>
        <w:t xml:space="preserve">The integrated authorisation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(22)</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 represents identity and authority validity,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 represents collective authorisation validity,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 represents policy and contextual compliance, V</w:t>
      </w:r>
      <w:r>
        <w:rPr>
          <w:rFonts w:ascii="Cambria" w:cs="Cambria" w:eastAsia="Cambria" w:hAnsi="Cambria"/>
          <w:sz w:val="24"/>
          <w:szCs w:val="24"/>
          <w:vertAlign w:val="subscript"/>
        </w:rPr>
        <w:t xml:space="preserve">T</w:t>
      </w:r>
      <w:r>
        <w:rPr>
          <w:rFonts w:ascii="Cambria" w:cs="Cambria" w:eastAsia="Cambria" w:hAnsi="Cambria"/>
          <w:sz w:val="24"/>
          <w:szCs w:val="24"/>
        </w:rPr>
        <w:t xml:space="preserve"> represents temporal validity, and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 represents </w:t>
      </w:r>
      <w:r>
        <w:rPr>
          <w:rFonts w:ascii="Cambria" w:cs="Cambria" w:eastAsia="Cambria" w:hAnsi="Cambria"/>
          <w:color w:val="000000"/>
          <w:sz w:val="24"/>
          <w:szCs w:val="24"/>
        </w:rPr>
        <w:t xml:space="preserve">jurisdictional compliance, while lifecycle validity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is evaluated within V</w:t>
      </w:r>
      <w:r>
        <w:rPr>
          <w:rFonts w:ascii="Cambria" w:cs="Cambria" w:eastAsia="Cambria" w:hAnsi="Cambria"/>
          <w:color w:val="000000"/>
          <w:sz w:val="24"/>
          <w:szCs w:val="24"/>
          <w:vertAlign w:val="subscript"/>
        </w:rPr>
        <w:t xml:space="preserve">A</w:t>
      </w:r>
      <w:r>
        <w:rPr>
          <w:rFonts w:ascii="Cambria" w:cs="Cambria" w:eastAsia="Cambria" w:hAnsi="Cambria"/>
          <w:sz w:val="24"/>
          <w:szCs w:val="24"/>
        </w:rPr>
        <w:t xml:space="preserve">. </w:t>
      </w:r>
      <w:r>
        <w:rPr>
          <w:rFonts w:ascii="Cambria" w:cs="Cambria" w:eastAsia="Cambria" w:hAnsi="Cambria"/>
          <w:color w:val="E6007E"/>
          <w:sz w:val="24"/>
          <w:szCs w:val="24"/>
        </w:rPr>
        <w:t xml:space="preserve">This five-predicate conjunction constitutes the decision rule of the implemented Consent Engine; the three-predicate formulation of Equation (24) represents the foundational core of RO1 to RO4, which the implemented rule extends with the temporal and jurisdictional predicates.</w:t>
      </w:r>
    </w:p>
    <w:p>
      <w:pPr>
        <w:spacing w:after="140" w:line="300"/>
        <w:jc w:val="both"/>
      </w:pPr>
      <w:r>
        <w:rPr>
          <w:rFonts w:ascii="Cambria" w:cs="Cambria" w:eastAsia="Cambria" w:hAnsi="Cambria"/>
          <w:color w:val="0000CC"/>
          <w:sz w:val="24"/>
          <w:szCs w:val="24"/>
        </w:rPr>
        <w:t xml:space="preserve">The jurisdictional predicate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is satisfied when the jurisdiction declared in the access request R matches the jurisdiction L recorded in the consent object, or when no jurisdiction is recorded; its formal definition is given in Equation (59) in Section 6.5.</w:t>
      </w:r>
    </w:p>
    <w:p>
      <w:pPr>
        <w:spacing w:after="140" w:line="300"/>
        <w:jc w:val="both"/>
      </w:pPr>
      <w:r>
        <w:rPr>
          <w:rFonts w:ascii="Cambria" w:cs="Cambria" w:eastAsia="Cambria" w:hAnsi="Cambria"/>
          <w:sz w:val="24"/>
          <w:szCs w:val="24"/>
        </w:rPr>
        <w:t xml:space="preserve">This formulation provides the central logical relationship among SRQ1–SRQ5. A valid authorisation decision requires the simultaneous satisfaction of all relevant trust conditions. Consequently, failure of any individual condition results in denial</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(23)</w:t>
      </w:r>
    </w:p>
    <w:p>
      <w:pPr>
        <w:spacing w:after="140" w:line="300"/>
        <w:jc w:val="both"/>
      </w:pPr>
      <w:r>
        <w:rPr>
          <w:rFonts w:ascii="Cambria" w:cs="Cambria" w:eastAsia="Cambria" w:hAnsi="Cambria"/>
          <w:sz w:val="24"/>
          <w:szCs w:val="24"/>
        </w:rP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spacing w:after="140" w:line="300"/>
        <w:jc w:val="both"/>
      </w:pPr>
      <w:r>
        <w:rPr>
          <w:rFonts w:ascii="Cambria" w:cs="Cambria" w:eastAsia="Cambria" w:hAnsi="Cambria"/>
          <w:sz w:val="24"/>
          <w:szCs w:val="24"/>
        </w:rP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w:t>
      </w:r>
      <w:r>
        <w:rPr>
          <w:rFonts w:ascii="Cambria" w:cs="Cambria" w:eastAsia="Cambria" w:hAnsi="Cambria"/>
          <w:color w:val="000000"/>
          <w:sz w:val="24"/>
          <w:szCs w:val="24"/>
        </w:rPr>
        <w:t xml:space="preserve">links the user-facing interaction directly to the underlying authorisation checks</w:t>
      </w:r>
      <w:r>
        <w:rPr>
          <w:rFonts w:ascii="Cambria" w:cs="Cambria" w:eastAsia="Cambria" w:hAnsi="Cambria"/>
          <w:sz w:val="24"/>
          <w:szCs w:val="24"/>
        </w:rPr>
        <w:t xml:space="preserve">.</w:t>
      </w:r>
    </w:p>
    <w:p>
      <w:pPr>
        <w:spacing w:after="140" w:line="300"/>
        <w:jc w:val="both"/>
      </w:pPr>
      <w:r>
        <w:rPr>
          <w:rFonts w:ascii="Cambria" w:cs="Cambria" w:eastAsia="Cambria" w:hAnsi="Cambria"/>
          <w:color w:val="000000"/>
          <w:sz w:val="24"/>
          <w:szCs w:val="24"/>
        </w:rPr>
        <w:t xml:space="preserve">The first four objectives are realised in full, while the fifth objective is realised operationally in the current prototype and the sixth objective is addressed empirically at this stage, with its formal component reserved for the next research programme.</w:t>
      </w:r>
    </w:p>
    <w:p>
      <w:pPr>
        <w:spacing w:after="140" w:line="300"/>
        <w:jc w:val="both"/>
      </w:pPr>
      <w:r>
        <w:rPr>
          <w:rFonts w:ascii="Cambria" w:cs="Cambria" w:eastAsia="Cambria" w:hAnsi="Cambria"/>
          <w:sz w:val="24"/>
          <w:szCs w:val="24"/>
        </w:rP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spacing w:after="140" w:line="300"/>
        <w:jc w:val="both"/>
      </w:pPr>
      <w:r>
        <w:rPr>
          <w:rFonts w:ascii="Cambria" w:cs="Cambria" w:eastAsia="Cambria" w:hAnsi="Cambria"/>
          <w:sz w:val="24"/>
          <w:szCs w:val="24"/>
        </w:rP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p>
      <w:pPr>
        <w:pStyle w:val="Heading1"/>
        <w:pageBreakBefore/>
        <w:spacing w:after="160" w:before="400"/>
      </w:pPr>
      <w:r>
        <w:rPr>
          <w:rFonts w:ascii="Cambria" w:cs="Cambria" w:eastAsia="Cambria" w:hAnsi="Cambria"/>
          <w:sz w:val="24"/>
          <w:szCs w:val="24"/>
        </w:rPr>
        <w:t xml:space="preserve">4  Research Objectives</w:t>
      </w:r>
    </w:p>
    <w:p>
      <w:pPr>
        <w:spacing w:after="140" w:line="300"/>
        <w:jc w:val="both"/>
      </w:pPr>
      <w:r>
        <w:rPr>
          <w:rFonts w:ascii="Cambria" w:cs="Cambria" w:eastAsia="Cambria" w:hAnsi="Cambria"/>
          <w:sz w:val="24"/>
          <w:szCs w:val="24"/>
        </w:rP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programme consists of six research objectives, corresponding to six research questions. </w:t>
      </w:r>
      <w:r>
        <w:rPr>
          <w:rFonts w:ascii="Cambria" w:cs="Cambria" w:eastAsia="Cambria" w:hAnsi="Cambria"/>
          <w:color w:val="E6007E"/>
          <w:sz w:val="24"/>
          <w:szCs w:val="24"/>
        </w:rPr>
        <w:t xml:space="preserve">The first four objectives establish the foundational trust-oriented authorisation mechanisms investigated during the current stage, RO5 has been operationalised in the current prototype, and the empirical component of RO6 has been delivered, so that only the formal component of RO6 remains for the next stage.</w:t>
      </w:r>
    </w:p>
    <w:p>
      <w:pPr>
        <w:pStyle w:val="Heading2"/>
        <w:spacing w:after="160" w:before="280"/>
      </w:pPr>
      <w:r>
        <w:rPr>
          <w:rFonts w:ascii="Cambria" w:cs="Cambria" w:eastAsia="Cambria" w:hAnsi="Cambria"/>
          <w:sz w:val="24"/>
          <w:szCs w:val="24"/>
        </w:rPr>
        <w:t xml:space="preserve">4.1  RO1 - Trust-Centric Consent Model</w:t>
      </w:r>
    </w:p>
    <w:p>
      <w:pPr>
        <w:spacing w:after="140" w:line="300"/>
        <w:jc w:val="both"/>
      </w:pPr>
      <w:r>
        <w:rPr>
          <w:rFonts w:ascii="Cambria" w:cs="Cambria" w:eastAsia="Cambria" w:hAnsi="Cambria"/>
          <w:sz w:val="24"/>
          <w:szCs w:val="24"/>
        </w:rP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spacing w:after="140" w:line="300"/>
        <w:jc w:val="both"/>
      </w:pPr>
      <w:r>
        <w:rPr>
          <w:rFonts w:ascii="Cambria" w:cs="Cambria" w:eastAsia="Cambria" w:hAnsi="Cambria"/>
          <w:sz w:val="24"/>
          <w:szCs w:val="24"/>
        </w:rPr>
        <w:t xml:space="preserve">RO1 directly addresses RQ1 and establishes the conceptual foundation for the remaining objectives. In particular, it defines the information that must be represented before consent can be interpreted as an authorisation decision rather than merely as a static approval record.</w:t>
      </w:r>
    </w:p>
    <w:p>
      <w:pPr>
        <w:pStyle w:val="Heading2"/>
        <w:spacing w:after="160" w:before="280"/>
      </w:pPr>
      <w:r>
        <w:rPr>
          <w:rFonts w:ascii="Cambria" w:cs="Cambria" w:eastAsia="Cambria" w:hAnsi="Cambria"/>
          <w:sz w:val="24"/>
          <w:szCs w:val="24"/>
        </w:rPr>
        <w:t xml:space="preserve">4.2  RO2 - Decentralised Identity and Authority Trust</w:t>
      </w:r>
    </w:p>
    <w:p>
      <w:pPr>
        <w:spacing w:after="140" w:line="300"/>
        <w:jc w:val="both"/>
      </w:pPr>
      <w:r>
        <w:rPr>
          <w:rFonts w:ascii="Cambria" w:cs="Cambria" w:eastAsia="Cambria" w:hAnsi="Cambria"/>
          <w:sz w:val="24"/>
          <w:szCs w:val="24"/>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RO2 addresses 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p>
      <w:pPr>
        <w:pStyle w:val="Heading2"/>
        <w:spacing w:after="160" w:before="280"/>
      </w:pPr>
      <w:r>
        <w:rPr>
          <w:rFonts w:ascii="Cambria" w:cs="Cambria" w:eastAsia="Cambria" w:hAnsi="Cambria"/>
          <w:sz w:val="24"/>
          <w:szCs w:val="24"/>
        </w:rPr>
        <w:t xml:space="preserve">4.3  RO3 - Trustworthy Multi-Party Authorisation</w:t>
      </w:r>
    </w:p>
    <w:p>
      <w:pPr>
        <w:spacing w:after="140" w:line="300"/>
        <w:jc w:val="both"/>
      </w:pPr>
      <w:r>
        <w:rPr>
          <w:rFonts w:ascii="Cambria" w:cs="Cambria" w:eastAsia="Cambria" w:hAnsi="Cambria"/>
          <w:color w:val="000000"/>
          <w:sz w:val="24"/>
          <w:szCs w:val="24"/>
        </w:rPr>
        <w:t xml:space="preserve">The implemented mechanism defines the designated guardians at consent creation, verifies each EIP-712 approval through signature recovery, and requires a valid signature from every listed guardian. Consequently, the threshold equals |G|, an N-of-N condition demonstrated in the 2-of-2 configuration.</w:t>
      </w:r>
    </w:p>
    <w:p>
      <w:pPr>
        <w:spacing w:after="140" w:line="300"/>
        <w:jc w:val="both"/>
      </w:pPr>
      <w:r>
        <w:rPr>
          <w:rFonts w:ascii="Cambria" w:cs="Cambria" w:eastAsia="Cambria" w:hAnsi="Cambria"/>
          <w:sz w:val="24"/>
          <w:szCs w:val="24"/>
        </w:rPr>
        <w:t xml:space="preserve">The third research objective is to develop a threshold-based multi-party authorisation mechanism through which multiple independently verified participants can jointly establish a trustworthy consent decision.</w:t>
      </w:r>
    </w:p>
    <w:p>
      <w:pPr>
        <w:spacing w:after="140" w:line="300"/>
        <w:jc w:val="both"/>
      </w:pPr>
      <w:r>
        <w:rPr>
          <w:rFonts w:ascii="Cambria" w:cs="Cambria" w:eastAsia="Cambria" w:hAnsi="Cambria"/>
          <w:sz w:val="24"/>
          <w:szCs w:val="24"/>
        </w:rPr>
        <w:t xml:space="preserve">The objective is to prevent unilateral authorisation where collective approval is required and to provide an explicit mechanism for distinguishing sufficient from insufficient participation.</w:t>
      </w:r>
    </w:p>
    <w:p>
      <w:pPr>
        <w:spacing w:after="140" w:line="300"/>
        <w:jc w:val="both"/>
      </w:pPr>
      <w:r>
        <w:rPr>
          <w:rFonts w:ascii="Cambria" w:cs="Cambria" w:eastAsia="Cambria" w:hAnsi="Cambria"/>
          <w:sz w:val="24"/>
          <w:szCs w:val="24"/>
        </w:rPr>
        <w:t xml:space="preserve">RO3 directly addresses RQ3 and extends the consent model from an individual permission statement to a collective authorisation decision.</w:t>
      </w:r>
    </w:p>
    <w:p>
      <w:pPr>
        <w:pStyle w:val="Heading2"/>
        <w:spacing w:after="160" w:before="280"/>
      </w:pPr>
      <w:r>
        <w:rPr>
          <w:rFonts w:ascii="Cambria" w:cs="Cambria" w:eastAsia="Cambria" w:hAnsi="Cambria"/>
          <w:sz w:val="24"/>
          <w:szCs w:val="24"/>
        </w:rPr>
        <w:t xml:space="preserve">4.4  RO4 - Policy- and Context-Aware Access Control</w:t>
      </w:r>
    </w:p>
    <w:p>
      <w:pPr>
        <w:spacing w:after="140" w:line="300"/>
        <w:jc w:val="both"/>
      </w:pPr>
      <w:r>
        <w:rPr>
          <w:rFonts w:ascii="Cambria" w:cs="Cambria" w:eastAsia="Cambria" w:hAnsi="Cambria"/>
          <w:color w:val="E6007E"/>
          <w:sz w:val="24"/>
          <w:szCs w:val="24"/>
        </w:rPr>
        <w:t xml:space="preserve">In the implemented framework, the policy mechanism evaluates whether the requested purpose is consistent with the consent</w:t>
      </w:r>
      <w:r>
        <w:rPr>
          <w:rFonts w:ascii="Cambria" w:cs="Cambria" w:eastAsia="Cambria" w:hAnsi="Cambria"/>
          <w:color w:val="000000"/>
          <w:sz w:val="24"/>
          <w:szCs w:val="24"/>
        </w:rPr>
        <w:t xml:space="preserve"> and rejects any request whose data scope is not a non-empty subset of the authorised EMR modules.</w:t>
      </w:r>
    </w:p>
    <w:p>
      <w:pPr>
        <w:spacing w:after="140" w:line="300"/>
        <w:jc w:val="both"/>
      </w:pPr>
      <w:r>
        <w:rPr>
          <w:rFonts w:ascii="Cambria" w:cs="Cambria" w:eastAsia="Cambria" w:hAnsi="Cambria"/>
          <w:sz w:val="24"/>
          <w:szCs w:val="24"/>
        </w:rPr>
        <w:t xml:space="preserve">The fourth research objective is to develop a policy-aware authorisation mechanism that evaluates the purpose and data scope of a requested operation against the constraints defined by the consent.</w:t>
      </w:r>
    </w:p>
    <w:p>
      <w:pPr>
        <w:spacing w:after="140" w:line="300"/>
        <w:jc w:val="both"/>
      </w:pPr>
      <w:r>
        <w:rPr>
          <w:rFonts w:ascii="Cambria" w:cs="Cambria" w:eastAsia="Cambria" w:hAnsi="Cambria"/>
          <w:sz w:val="24"/>
          <w:szCs w:val="24"/>
        </w:rPr>
        <w:t xml:space="preserve">The objective is to ensure that a valid identity and sufficient multi-party approval cannot be used to obtain healthcare information outside the authorised scope.</w:t>
      </w:r>
    </w:p>
    <w:p>
      <w:pPr>
        <w:spacing w:after="140" w:line="300"/>
        <w:jc w:val="both"/>
      </w:pPr>
      <w:r>
        <w:rPr>
          <w:rFonts w:ascii="Cambria" w:cs="Cambria" w:eastAsia="Cambria" w:hAnsi="Cambria"/>
          <w:sz w:val="24"/>
          <w:szCs w:val="24"/>
        </w:rPr>
        <w:t xml:space="preserve">RO4 directly addresses RQ4 and completes the foundational authorisation model investigated during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Together, RO1–RO4 establish the representation, verification, collective authorisation, and policy-enforcement mechanisms required for a trust-oriented healthcare data-sharing decision.</w:t>
      </w:r>
    </w:p>
    <w:p>
      <w:pPr>
        <w:pStyle w:val="Heading2"/>
        <w:spacing w:after="160" w:before="280"/>
      </w:pPr>
      <w:r>
        <w:rPr>
          <w:rFonts w:ascii="Cambria" w:cs="Cambria" w:eastAsia="Cambria" w:hAnsi="Cambria"/>
          <w:sz w:val="24"/>
          <w:szCs w:val="24"/>
        </w:rPr>
        <w:t xml:space="preserve">4.5  RO5 - Temporal and Lifecycle Trust</w:t>
      </w:r>
    </w:p>
    <w:p>
      <w:pPr>
        <w:spacing w:after="140" w:line="300"/>
        <w:jc w:val="both"/>
      </w:pPr>
      <w:r>
        <w:rPr>
          <w:rFonts w:ascii="Cambria" w:cs="Cambria" w:eastAsia="Cambria" w:hAnsi="Cambria"/>
          <w:color w:val="000000"/>
          <w:sz w:val="24"/>
          <w:szCs w:val="24"/>
        </w:rPr>
        <w:t xml:space="preserve">This objective has been substantially realised in the current implementation. In particular, the prototype enforces the temporal validity window at every access decision through the predicate VT, records notBefore and expiry on-chain within the consent token, implements end-to-end revocation including an on-chain revoke transaction, and manages the consent through an explicit lifecycle state machine. The remaining </w:t>
      </w:r>
      <w:r>
        <w:rPr>
          <w:rFonts w:ascii="Cambria" w:cs="Cambria" w:eastAsia="Cambria" w:hAnsi="Cambria"/>
          <w:color w:val="E6007E"/>
          <w:sz w:val="24"/>
          <w:szCs w:val="24"/>
        </w:rPr>
        <w:t xml:space="preserve">work therefore concerns hardening these controls and extending them to consent modification, delegation and guardian-set changes (Section 9.2), rather than introducing</w:t>
      </w:r>
      <w:r>
        <w:rPr>
          <w:rFonts w:ascii="Cambria" w:cs="Cambria" w:eastAsia="Cambria" w:hAnsi="Cambria"/>
          <w:color w:val="000000"/>
          <w:sz w:val="24"/>
          <w:szCs w:val="24"/>
        </w:rPr>
        <w:t xml:space="preserve"> them.</w:t>
      </w:r>
    </w:p>
    <w:p>
      <w:pPr>
        <w:spacing w:after="140" w:line="300"/>
        <w:jc w:val="both"/>
      </w:pPr>
      <w:r>
        <w:rPr>
          <w:rFonts w:ascii="Cambria" w:cs="Cambria" w:eastAsia="Cambria" w:hAnsi="Cambria"/>
          <w:sz w:val="24"/>
          <w:szCs w:val="24"/>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spacing w:after="140" w:line="300"/>
        <w:jc w:val="both"/>
      </w:pPr>
      <w:r>
        <w:rPr>
          <w:rFonts w:ascii="Cambria" w:cs="Cambria" w:eastAsia="Cambria" w:hAnsi="Cambria"/>
          <w:sz w:val="24"/>
          <w:szCs w:val="24"/>
        </w:rPr>
        <w:t xml:space="preserve">RO5 addresses RQ5 and extends the foundational current stage authorisation model into a dynamic consent environment. Whereas current stage establishes whether an authorisation can be considered valid under the defined identity, approval, and policy conditions, RO5 investigates whether that authorisation remains valid as time passes and as the consent state changes.</w:t>
      </w:r>
    </w:p>
    <w:p>
      <w:pPr>
        <w:pStyle w:val="Heading2"/>
        <w:spacing w:after="160" w:before="280"/>
      </w:pPr>
      <w:r>
        <w:rPr>
          <w:rFonts w:ascii="Cambria" w:cs="Cambria" w:eastAsia="Cambria" w:hAnsi="Cambria"/>
          <w:sz w:val="24"/>
          <w:szCs w:val="24"/>
        </w:rPr>
        <w:t xml:space="preserve">4.6  RO6 - Formal Security Assurance and Empirical Validation</w:t>
      </w:r>
    </w:p>
    <w:p>
      <w:pPr>
        <w:spacing w:after="140" w:line="300"/>
        <w:jc w:val="both"/>
      </w:pPr>
      <w:r>
        <w:rPr>
          <w:rFonts w:ascii="Cambria" w:cs="Cambria" w:eastAsia="Cambria" w:hAnsi="Cambria"/>
          <w:color w:val="000000"/>
          <w:sz w:val="24"/>
          <w:szCs w:val="24"/>
        </w:rPr>
        <w:t xml:space="preserve">The empirical component has been partially delivered: 23 automated tests exercise per-dimension denial, signature rejection and proof tampering; a live out-of-jurisdiction request was refused on the deployed Sepolia contract; and an independent tool re-verified every recorded transaction against the chain. Consequently, the complete formal analysis, whether through proofs or model checking of the stated properties, remains the subject of the next stage research.</w:t>
      </w:r>
    </w:p>
    <w:p>
      <w:pPr>
        <w:spacing w:after="140" w:line="300"/>
        <w:jc w:val="both"/>
      </w:pPr>
      <w:r>
        <w:rPr>
          <w:rFonts w:ascii="Cambria" w:cs="Cambria" w:eastAsia="Cambria" w:hAnsi="Cambria"/>
          <w:sz w:val="24"/>
          <w:szCs w:val="24"/>
        </w:rPr>
        <w:t xml:space="preserve">The sixth research objective is to formally analyse and empirically evaluate whether the implemented framework satisfies its defined trust and authorisation properties under representative healthcare data-sharing scenarios.</w:t>
      </w:r>
    </w:p>
    <w:p>
      <w:pPr>
        <w:spacing w:after="140" w:line="300"/>
        <w:jc w:val="both"/>
      </w:pPr>
      <w:r>
        <w:rPr>
          <w:rFonts w:ascii="Cambria" w:cs="Cambria" w:eastAsia="Cambria" w:hAnsi="Cambria"/>
          <w:sz w:val="24"/>
          <w:szCs w:val="24"/>
        </w:rPr>
        <w:t xml:space="preserve">RO6 addresses 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spacing w:after="140" w:line="300"/>
        <w:jc w:val="both"/>
      </w:pPr>
      <w:r>
        <w:rPr>
          <w:rFonts w:ascii="Cambria" w:cs="Cambria" w:eastAsia="Cambria" w:hAnsi="Cambria"/>
          <w:color w:val="E6007E"/>
          <w:sz w:val="24"/>
          <w:szCs w:val="24"/>
        </w:rPr>
        <w:t xml:space="preserve">In particular,</w:t>
      </w:r>
      <w:r>
        <w:rPr>
          <w:rFonts w:ascii="Cambria" w:cs="Cambria" w:eastAsia="Cambria" w:hAnsi="Cambria"/>
          <w:color w:val="000000"/>
          <w:sz w:val="24"/>
          <w:szCs w:val="24"/>
        </w:rPr>
        <w:t xml:space="preserve"> 23 automated tests cover per-dimension failures of the decision matrix, rejection of invalid EIP-712 signatures, and zero-knowledge tamper and expiry cases; the live demonstration includes a jurisdiction-based denial and a revocation followed by refusal; and an independent verification tool re-checks every ledger transaction against Sepolia receipts, reporting ALL CHECKS PASSED.</w:t>
      </w:r>
    </w:p>
    <w:p>
      <w:pPr>
        <w:spacing w:after="140" w:line="300"/>
        <w:jc w:val="both"/>
      </w:pPr>
      <w:r>
        <w:rPr>
          <w:rFonts w:ascii="Cambria" w:cs="Cambria" w:eastAsia="Cambria" w:hAnsi="Cambria"/>
          <w:sz w:val="24"/>
          <w:szCs w:val="24"/>
        </w:rP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spacing w:after="140" w:line="300"/>
        <w:jc w:val="both"/>
      </w:pPr>
      <w:r>
        <w:rPr>
          <w:rFonts w:ascii="Cambria" w:cs="Cambria" w:eastAsia="Cambria" w:hAnsi="Cambria"/>
          <w:sz w:val="24"/>
          <w:szCs w:val="24"/>
        </w:rPr>
        <w:t xml:space="preserve">RO6 therefore represents the transition from establishing the authorisation model to providing evidence for its security and practical effectiveness.</w:t>
      </w:r>
    </w:p>
    <w:p>
      <w:pPr>
        <w:pStyle w:val="Heading2"/>
        <w:spacing w:after="160" w:before="280"/>
      </w:pPr>
      <w:r>
        <w:rPr>
          <w:rFonts w:ascii="Cambria" w:cs="Cambria" w:eastAsia="Cambria" w:hAnsi="Cambria"/>
          <w:sz w:val="24"/>
          <w:szCs w:val="24"/>
        </w:rPr>
        <w:t xml:space="preserve">4.7  Relationship Between Research Questions and Objectives</w:t>
      </w:r>
    </w:p>
    <w:p>
      <w:pPr>
        <w:spacing w:after="140" w:line="300"/>
        <w:jc w:val="both"/>
      </w:pPr>
      <w:r>
        <w:rPr>
          <w:rFonts w:ascii="Cambria" w:cs="Cambria" w:eastAsia="Cambria" w:hAnsi="Cambria"/>
          <w:color w:val="000000"/>
          <w:sz w:val="24"/>
          <w:szCs w:val="24"/>
        </w:rPr>
        <w:t xml:space="preserve">The current stage delivers RO1–RO5 in operational form together with the empirical component of RO6, including negative and adversarial testing. Consequently, the principal remaining agenda for CA3 is the formal component of RO6, namely the formal specification and analysis of the security properties, </w:t>
      </w:r>
      <w:r>
        <w:rPr>
          <w:rFonts w:ascii="Cambria" w:cs="Cambria" w:eastAsia="Cambria" w:hAnsi="Cambria"/>
          <w:color w:val="E6007E"/>
          <w:sz w:val="24"/>
          <w:szCs w:val="24"/>
        </w:rPr>
        <w:t xml:space="preserve">together with the systematic performance study and the identified prototype hardening (Sections 7.6 and 9.2)</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color w:val="E6007E"/>
          <w:sz w:val="24"/>
          <w:szCs w:val="24"/>
        </w:rPr>
        <w:t xml:space="preserve">The relationship between the six research questions and the six research objectives is summarised in Table 10 and Table 11, in which the last column names the section of this report where each objective is realised.</w:t>
      </w:r>
      <w:r>
        <w:rPr>
          <w:rFonts w:ascii="Cambria" w:cs="Cambria" w:eastAsia="Cambria" w:hAnsi="Cambria"/>
          <w:color w:val="000000"/>
          <w:sz w:val="24"/>
          <w:szCs w:val="24"/>
        </w:rPr>
        <w:t xml:space="preserve"> </w:t>
      </w:r>
      <w:r>
        <w:rPr>
          <w:rFonts w:ascii="Cambria" w:cs="Cambria" w:eastAsia="Cambria" w:hAnsi="Cambria"/>
          <w:color w:val="0000CC"/>
          <w:sz w:val="24"/>
          <w:szCs w:val="24"/>
        </w:rPr>
        <w:t xml:space="preserve">Because each research question corresponds to one requirement of Section 2.2 and to one gap of Section 2.5.1, the tables also trace each objective to the gap that motivates it, so that RO1 addresses Gap 1, RO2 addresses Gap 2, and so on to RO6 and Gap 6.</w:t>
      </w:r>
    </w:p>
    <w:p>
      <w:pPr>
        <w:spacing w:after="140" w:line="300"/>
        <w:jc w:val="both"/>
      </w:pPr>
      <w:r>
        <w:rPr>
          <w:rFonts w:ascii="Cambria" w:cs="Cambria" w:eastAsia="Cambria" w:hAnsi="Cambria"/>
          <w:color w:val="E6007E"/>
          <w:sz w:val="24"/>
          <w:szCs w:val="24"/>
        </w:rPr>
        <w:t xml:space="preserve">The formal component of RO6 constitutes the principal research agenda for the next stage of the research, whereas RO5 has already been operationalised in the current prototype.</w:t>
      </w:r>
      <w:r>
        <w:rPr>
          <w:rFonts w:ascii="Cambria" w:cs="Cambria" w:eastAsia="Cambria" w:hAnsi="Cambria"/>
          <w:sz w:val="24"/>
          <w:szCs w:val="24"/>
        </w:rPr>
        <w:t xml:space="preserve"> RO5 extends the authorisation model with temporal and lifecycle trust, while RO6 provides formal security assurance and comprehensive empirical validation. The distinction between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is therefore based on research scope and maturity rather than on a different set of research questions or objectives. </w:t>
      </w:r>
      <w:r>
        <w:rPr>
          <w:rFonts w:ascii="Cambria" w:cs="Cambria" w:eastAsia="Cambria" w:hAnsi="Cambria"/>
          <w:color w:val="E6007E"/>
          <w:sz w:val="24"/>
          <w:szCs w:val="24"/>
        </w:rPr>
        <w:t xml:space="preserve">The current stage establishes the foundational mechanisms, their conceptual relationships and their operational lifecycle controls, whereas the next stage investigates whether these mechanisms satisfy the formally defined security properties and whether their security and practical effectiveness can be formally and empirically demonstrated.</w:t>
      </w:r>
    </w:p>
    <w:p>
      <w:pPr>
        <w:keepNext/>
        <w:spacing w:after="80" w:before="160"/>
        <w:jc w:val="center"/>
      </w:pPr>
      <w:r>
        <w:rPr>
          <w:rFonts w:ascii="Cambria" w:cs="Cambria" w:eastAsia="Cambria" w:hAnsi="Cambria"/>
          <w:b/>
          <w:bCs/>
          <w:color w:val="000000"/>
          <w:sz w:val="21"/>
          <w:szCs w:val="21"/>
        </w:rPr>
        <w:t xml:space="preserve">Table 10: </w:t>
      </w:r>
      <w:r>
        <w:rPr>
          <w:rFonts w:ascii="Cambria" w:cs="Cambria" w:eastAsia="Cambria" w:hAnsi="Cambria"/>
          <w:color w:val="E6007E"/>
          <w:sz w:val="21"/>
          <w:szCs w:val="21"/>
        </w:rPr>
        <w:t xml:space="preserve">Research Questions, Research Objectives, and Report Sections (RQ1 to RQ3)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E6007E"/>
                <w:sz w:val="19"/>
                <w:szCs w:val="19"/>
              </w:rPr>
              <w:t xml:space="preserve">Report Section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consent representation that treats patient consent as a policy-bound authorisation object containing identity information, authority requirements, policy constraints, and authorisation evidence.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6.1 (progress in Section 7.1)</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DIDs and VCs while explicitly separating identity authentication from authorisation authority.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6.2 (progress in Section 7.2)</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authorisation through independently verified participants and threshold-based approval mechanisms, thereby preventing unilateral authorisation when collective approval is required.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6.3 (progress in Section 7.3)</w:t>
            </w:r>
          </w:p>
        </w:tc>
      </w:tr>
    </w:tbl>
    <w:p>
      <w:pPr>
        <w:spacing w:after="180"/>
      </w:pPr>
    </w:p>
    <w:p>
      <w:pPr>
        <w:keepNext/>
        <w:spacing w:after="80" w:before="160"/>
        <w:jc w:val="center"/>
      </w:pPr>
      <w:r>
        <w:rPr>
          <w:rFonts w:ascii="Cambria" w:cs="Cambria" w:eastAsia="Cambria" w:hAnsi="Cambria"/>
          <w:b/>
          <w:bCs/>
          <w:color w:val="000000"/>
          <w:sz w:val="21"/>
          <w:szCs w:val="21"/>
        </w:rPr>
        <w:t xml:space="preserve">Table 11: </w:t>
      </w:r>
      <w:r>
        <w:rPr>
          <w:rFonts w:ascii="Cambria" w:cs="Cambria" w:eastAsia="Cambria" w:hAnsi="Cambria"/>
          <w:color w:val="E6007E"/>
          <w:sz w:val="21"/>
          <w:szCs w:val="21"/>
        </w:rPr>
        <w:t xml:space="preserve">Research Questions, Research Objectives, and Report Sections (RQ4 to RQ6)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E6007E"/>
                <w:sz w:val="19"/>
                <w:szCs w:val="19"/>
              </w:rPr>
              <w:t xml:space="preserve">Report Section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Enforce purpose and healthcare data-scope constraints as explicit and evaluable conditions of access, ensuring that valid identities and sufficient approvals cannot be used outside the authorised scope.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6.4 (progress in Section 7.4)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Temporal validity, expiration, revocation and controlled state transitions, enforced in the current prototype and anchored on-chain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6.5 (progress in Section 7.5)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Formal analysis of the security properties (next stage), building upon the empirical negative and adversarial testing already performed with the HALAH prototype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6.6 (progress in Section 7.6)</w:t>
            </w:r>
          </w:p>
        </w:tc>
      </w:tr>
    </w:tbl>
    <w:p>
      <w:pPr>
        <w:spacing w:after="180"/>
      </w:pPr>
    </w:p>
    <w:p>
      <w:pPr>
        <w:spacing w:after="140" w:line="300"/>
        <w:jc w:val="both"/>
      </w:pPr>
      <w:r>
        <w:rPr>
          <w:rFonts w:ascii="Cambria" w:cs="Cambria" w:eastAsia="Cambria" w:hAnsi="Cambria"/>
          <w:sz w:val="24"/>
          <w:szCs w:val="24"/>
        </w:rPr>
        <w:t xml:space="preserve">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through which these conditions can be represented, evaluated, enforced, and ultimately validated in a decentralised healthcare data-sharing environment. For the foundational current stage model, the authorisation decision is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(24)</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authorisation threshold, and VP (C, R) represents compliance between the access request and the consent policy. </w:t>
      </w:r>
      <w:r>
        <w:rPr>
          <w:rFonts w:ascii="Cambria" w:cs="Cambria" w:eastAsia="Cambria" w:hAnsi="Cambria"/>
          <w:color w:val="E6007E"/>
          <w:sz w:val="24"/>
          <w:szCs w:val="24"/>
        </w:rPr>
        <w:t xml:space="preserve">The implemented decision model incorporates the temporal and jurisdictional conditions as follows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(25)</w:t>
      </w:r>
    </w:p>
    <w:p>
      <w:pPr>
        <w:spacing w:after="140" w:line="300"/>
        <w:jc w:val="both"/>
      </w:pPr>
      <w:r>
        <w:rPr>
          <w:rFonts w:ascii="Cambria" w:cs="Cambria" w:eastAsia="Cambria" w:hAnsi="Cambria"/>
          <w:color w:val="E6007E"/>
          <w:sz w:val="24"/>
          <w:szCs w:val="24"/>
        </w:rPr>
        <w:t xml:space="preserve">where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(C, t) represents temporal validity and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(C) represents jurisdictional compliance, while the lifecycle state and its transitions are evaluated within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(C), as stated in Section 3.4 and Section 6.5.</w:t>
      </w:r>
      <w:r>
        <w:rPr>
          <w:rFonts w:ascii="Cambria" w:cs="Cambria" w:eastAsia="Cambria" w:hAnsi="Cambria"/>
          <w:sz w:val="24"/>
          <w:szCs w:val="24"/>
        </w:rPr>
        <w:t xml:space="preserve"> </w:t>
      </w:r>
      <w:r>
        <w:rPr>
          <w:rFonts w:ascii="Cambria" w:cs="Cambria" w:eastAsia="Cambria" w:hAnsi="Cambria"/>
          <w:color w:val="E6007E"/>
          <w:sz w:val="24"/>
          <w:szCs w:val="24"/>
        </w:rPr>
        <w:t xml:space="preserve">This formulation provides a consistent connection between the foundational objectives RO1 to RO4, the operational lifecycle controls of RO5 and the assurance objective RO6, whose formal component is planned for the next stage of the research.</w:t>
      </w:r>
    </w:p>
    <w:p>
      <w:pPr>
        <w:pStyle w:val="Heading1"/>
        <w:pageBreakBefore/>
        <w:spacing w:after="160" w:before="400"/>
      </w:pPr>
      <w:r>
        <w:rPr>
          <w:rFonts w:ascii="Cambria" w:cs="Cambria" w:eastAsia="Cambria" w:hAnsi="Cambria"/>
          <w:sz w:val="24"/>
          <w:szCs w:val="24"/>
        </w:rPr>
        <w:t xml:space="preserve">5  Research Architecture: MVC</w:t>
      </w:r>
    </w:p>
    <w:p>
      <w:pPr>
        <w:spacing w:after="140" w:line="300"/>
        <w:jc w:val="both"/>
      </w:pPr>
      <w:r>
        <w:rPr>
          <w:rFonts w:ascii="Cambria" w:cs="Cambria" w:eastAsia="Cambria" w:hAnsi="Cambria"/>
          <w:sz w:val="24"/>
          <w:szCs w:val="24"/>
        </w:rP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 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 The proposed architecture therefore distinguishes three complementary responsibilities. The Model represents the security and governance state of the system, including identities, credentials, consent objects, authorisation requirements, policies, approval evidence, and healthcare data scopes. The View provides controlled interaction mechanisms through which independent participants can create, inspect, approve, or exercise consent-related operations. The Controller acts as the trusted decision coordination layer responsible for validating identity,</w:t>
      </w:r>
    </w:p>
    <w:p>
      <w:pPr>
        <w:spacing w:after="140" w:line="300"/>
        <w:jc w:val="both"/>
      </w:pPr>
      <w:r>
        <w:rPr>
          <w:rFonts w:ascii="Cambria" w:cs="Cambria" w:eastAsia="Cambria" w:hAnsi="Cambria"/>
          <w:sz w:val="24"/>
          <w:szCs w:val="24"/>
        </w:rPr>
        <w:t xml:space="preserve">evaluating authority, aggregating multi-party approval evidence, enforcing policy constraints, and determining whether a requested healthcare data operation should be permitted. 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 what consent represents, how stakeholders interact with it, and how trust is enforced.</w:t>
      </w:r>
    </w:p>
    <w:p>
      <w:pPr>
        <w:pStyle w:val="Heading2"/>
        <w:spacing w:after="160" w:before="280"/>
      </w:pPr>
      <w:r>
        <w:rPr>
          <w:rFonts w:ascii="Cambria" w:cs="Cambria" w:eastAsia="Cambria" w:hAnsi="Cambria"/>
          <w:sz w:val="24"/>
          <w:szCs w:val="24"/>
        </w:rPr>
        <w:t xml:space="preserve">5.1  MVC Layered Architecture and Component Decomposition</w:t>
      </w:r>
    </w:p>
    <w:p>
      <w:pPr>
        <w:spacing w:after="140" w:line="300"/>
        <w:jc w:val="both"/>
      </w:pPr>
      <w:r>
        <w:rPr>
          <w:rFonts w:ascii="Cambria" w:cs="Cambria" w:eastAsia="Cambria" w:hAnsi="Cambria"/>
          <w:sz w:val="24"/>
          <w:szCs w:val="24"/>
        </w:rP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 At the highest level, the architecture consists of three complementary layers: the View Layer, the Controller Layer, and the Model Layer.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 Figure 6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 The protected healthcare data are deliberately positioned outside the three MVC layers as a protected resource. </w:t>
      </w:r>
      <w:r>
        <w:rPr>
          <w:rFonts w:ascii="Cambria" w:cs="Cambria" w:eastAsia="Cambria" w:hAnsi="Cambria"/>
          <w:color w:val="E6007E"/>
          <w:sz w:val="24"/>
          <w:szCs w:val="24"/>
        </w:rPr>
        <w:t xml:space="preserve">This distinction is important because healthcare data should not be treated as ordinary application state that can be directly manipulated by the View; instead, access to the protected resource is mediated by the Controller after the relevant trust conditions have been evaluated.</w:t>
      </w:r>
    </w:p>
    <w:p>
      <w:pPr>
        <w:spacing w:after="140" w:line="300"/>
        <w:jc w:val="both"/>
      </w:pPr>
      <w:r>
        <w:rPr>
          <w:rFonts w:ascii="Cambria" w:cs="Cambria" w:eastAsia="Cambria" w:hAnsi="Cambria"/>
          <w:color w:val="0000CC"/>
          <w:sz w:val="24"/>
          <w:szCs w:val="24"/>
        </w:rPr>
        <w:t xml:space="preserve">MVC was selected in preference to a purely on-chain design because the authorisation decision must combine identity, threshold, policy, temporal and jurisdictional evaluation performed by the Controller with the anchoring of consent state on the blockchain, and because the pattern allows each stakeholder interface to be replaced without altering the enforcement logic, which is necessary for evaluating the trust predicates independently of any particular user interface.</w:t>
      </w:r>
    </w:p>
    <w:p>
      <w:pPr>
        <w:keepNext/>
        <w:spacing w:after="60" w:before="140"/>
        <w:jc w:val="center"/>
      </w:pPr>
      <w:r>
        <w:drawing>
          <wp:inline distT="0" distB="0" distL="0" distR="0">
            <wp:extent cx="5715000" cy="3543300"/>
            <wp:effectExtent t="0" r="0" b="0" l="0"/>
            <wp:docPr id="1" name="fig3.png" descr="Figure 6: Layered MVC Architecture and Component Decomposition of the HALAH Framework" title="Figure 6: 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6: Layered MVC Architecture and Component Decomposition of the HALAH Framework</w:t>
      </w:r>
    </w:p>
    <w:p>
      <w:pPr>
        <w:spacing w:after="140" w:line="300"/>
        <w:jc w:val="both"/>
      </w:pPr>
      <w:r>
        <w:rPr>
          <w:rFonts w:ascii="Cambria" w:cs="Cambria" w:eastAsia="Cambria" w:hAnsi="Cambria"/>
          <w:color w:val="000000"/>
          <w:sz w:val="24"/>
          <w:szCs w:val="24"/>
        </w:rPr>
        <w:t xml:space="preserve">The Controller layer additionally incorporates a ZK Proof Service, responsible for Groth16 proof generation and verification and feeding directly into the Authorisation Decision, together with an On-chain Anchor Service that performs asynchronous minting and revocation; correspondingly, the Model layer contains the ConsentSBTv3 contract </w:t>
      </w:r>
      <w:r>
        <w:rPr>
          <w:rFonts w:ascii="Cambria" w:cs="Cambria" w:eastAsia="Cambria" w:hAnsi="Cambria"/>
          <w:color w:val="E6007E"/>
          <w:sz w:val="24"/>
          <w:szCs w:val="24"/>
        </w:rPr>
        <w:t xml:space="preserve">deployed on Sepolia alongside the application audit ledger,</w:t>
      </w:r>
      <w:r>
        <w:rPr>
          <w:rFonts w:ascii="Cambria" w:cs="Cambria" w:eastAsia="Cambria" w:hAnsi="Cambria"/>
          <w:color w:val="000000"/>
          <w:sz w:val="24"/>
          <w:szCs w:val="24"/>
        </w:rPr>
        <w:t xml:space="preserve"> a revocation path flows from the Patient interface through the Controller to both the ledger and the contract, </w:t>
      </w:r>
      <w:r>
        <w:rPr>
          <w:rFonts w:ascii="Cambria" w:cs="Cambria" w:eastAsia="Cambria" w:hAnsi="Cambria"/>
          <w:color w:val="E6007E"/>
          <w:sz w:val="24"/>
          <w:szCs w:val="24"/>
        </w:rPr>
        <w:t xml:space="preserve">and an external independent verification tool, described in Section 6.8.9, reads from both the audit ledger and the Sepolia chain.</w:t>
      </w:r>
    </w:p>
    <w:p>
      <w:pPr>
        <w:spacing w:after="140" w:line="300"/>
        <w:jc w:val="both"/>
      </w:pPr>
      <w:r>
        <w:rPr>
          <w:rFonts w:ascii="Cambria" w:cs="Cambria" w:eastAsia="Cambria" w:hAnsi="Cambria"/>
          <w:color w:val="000000"/>
          <w:sz w:val="24"/>
          <w:szCs w:val="24"/>
        </w:rPr>
        <w:t xml:space="preserve">It should be acknowledged that, in the present prototype, credential verification consists of a structural well-formedness check on each DID, and the requester's role and jurisdiction are self-declared. This is important because wallet-held signing keys and authenticated verifiable credentials are deferred to the production design and are therefore identified as future work. </w:t>
      </w:r>
      <w:r>
        <w:rPr>
          <w:rFonts w:ascii="Cambria" w:cs="Cambria" w:eastAsia="Cambria" w:hAnsi="Cambria"/>
          <w:color w:val="0000CC"/>
          <w:sz w:val="24"/>
          <w:szCs w:val="24"/>
        </w:rPr>
        <w:t xml:space="preserve">Guardian approvals are nevertheless verified cryptographically in the prototype through EIP-712 typed-data signatures bound to the consent identifier, so that the multi-party threshold of Section 5.6 is enforced over signed approvals rather than over interface actions, as described in Section 6.8.</w:t>
      </w:r>
    </w:p>
    <w:p>
      <w:pPr>
        <w:pStyle w:val="Heading3"/>
        <w:spacing w:after="160" w:before="280"/>
      </w:pPr>
      <w:r>
        <w:rPr>
          <w:rFonts w:ascii="Cambria" w:cs="Cambria" w:eastAsia="Cambria" w:hAnsi="Cambria"/>
          <w:sz w:val="24"/>
          <w:szCs w:val="24"/>
        </w:rPr>
        <w:t xml:space="preserve">5.1.1  MVC Component Decomposition</w:t>
      </w:r>
    </w:p>
    <w:p>
      <w:pPr>
        <w:spacing w:after="140" w:line="300"/>
        <w:jc w:val="both"/>
      </w:pPr>
      <w:r>
        <w:rPr>
          <w:rFonts w:ascii="Cambria" w:cs="Cambria" w:eastAsia="Cambria" w:hAnsi="Cambria"/>
          <w:color w:val="E6007E"/>
          <w:sz w:val="24"/>
          <w:szCs w:val="24"/>
        </w:rPr>
        <w:t xml:space="preserve">In the implemented prototype the Controller layer comprises eight principal functions rather than the six of the conceptual model described below, the two additional functions being</w:t>
      </w:r>
      <w:r>
        <w:rPr>
          <w:rFonts w:ascii="Cambria" w:cs="Cambria" w:eastAsia="Cambria" w:hAnsi="Cambria"/>
          <w:color w:val="000000"/>
          <w:sz w:val="24"/>
          <w:szCs w:val="24"/>
        </w:rPr>
        <w:t xml:space="preserve"> Cryptographic Proof Generation and Verification, realised through the Groth16 proving system, and On-chain Anchoring and State Synchronisation, which performs the Sepolia mint and revoke operations as a background process; the Controller row of Figure 7 reflects these eight functions accordingly.</w:t>
      </w:r>
    </w:p>
    <w:p>
      <w:pPr>
        <w:spacing w:after="140" w:line="300"/>
        <w:jc w:val="both"/>
      </w:pPr>
      <w:r>
        <w:rPr>
          <w:rFonts w:ascii="Cambria" w:cs="Cambria" w:eastAsia="Cambria" w:hAnsi="Cambria"/>
          <w:sz w:val="24"/>
          <w:szCs w:val="24"/>
        </w:rPr>
        <w:t xml:space="preserve">The three architectural layers are further decomposed into functional components, each corresponding to a distinct responsibility within the trust-oriented authorisation process. Figure 7 presents this decomposition. The View is decomposed according to the principal stakeholder</w:t>
      </w:r>
    </w:p>
    <w:p>
      <w:pPr>
        <w:keepNext/>
        <w:spacing w:after="60" w:before="140"/>
        <w:jc w:val="center"/>
      </w:pPr>
      <w:r>
        <w:drawing>
          <wp:inline distT="0" distB="0" distL="0" distR="0">
            <wp:extent cx="5715000" cy="2171700"/>
            <wp:effectExtent t="0" r="0" b="0" l="0"/>
            <wp:docPr id="1" name="fig4.png" descr="Figure 7: Functional Decomposition of the MVC Components" title="Figure 7: 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7: Functional Decomposition of the MVC Components</w:t>
      </w:r>
    </w:p>
    <w:p>
      <w:pPr>
        <w:spacing w:after="140" w:line="300"/>
        <w:jc w:val="both"/>
      </w:pPr>
      <w:r>
        <w:rPr>
          <w:rFonts w:ascii="Cambria" w:cs="Cambria" w:eastAsia="Cambria" w:hAnsi="Cambria"/>
          <w:sz w:val="24"/>
          <w:szCs w:val="24"/>
        </w:rPr>
        <w:t xml:space="preserve">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w:t>
      </w:r>
    </w:p>
    <w:p>
      <w:pPr>
        <w:spacing w:after="140" w:line="300"/>
        <w:jc w:val="both"/>
      </w:pPr>
      <w:r>
        <w:rPr>
          <w:rFonts w:ascii="Cambria" w:cs="Cambria" w:eastAsia="Cambria" w:hAnsi="Cambria"/>
          <w:sz w:val="24"/>
          <w:szCs w:val="24"/>
        </w:rPr>
        <w:t xml:space="preserve">different interaction responsibilities but share the same architectural principle: none of them independently determines whether access should be granted. </w:t>
      </w:r>
      <w:r>
        <w:rPr>
          <w:rFonts w:ascii="Cambria" w:cs="Cambria" w:eastAsia="Cambria" w:hAnsi="Cambria"/>
          <w:color w:val="E6007E"/>
          <w:sz w:val="24"/>
          <w:szCs w:val="24"/>
        </w:rPr>
        <w:t xml:space="preserve">The Controller is decomposed into six principal security functions in the conceptual model, which the implemented prototype extends to the eight functions noted above.</w:t>
      </w:r>
      <w:r>
        <w:rPr>
          <w:rFonts w:ascii="Cambria" w:cs="Cambria" w:eastAsia="Cambria" w:hAnsi="Cambria"/>
          <w:sz w:val="24"/>
          <w:szCs w:val="24"/>
        </w:rPr>
        <w:t xml:space="preserve">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 This decomposition establishes an explicit distinction between state, interaction, and enforcement. The Model stores and represents security-relevant state, the View expresses stakeholder actions, and the Controller determines whether those actions satisfy the required trust conditions.</w:t>
      </w:r>
    </w:p>
    <w:p>
      <w:pPr>
        <w:pStyle w:val="Heading3"/>
        <w:spacing w:after="160" w:before="280"/>
      </w:pPr>
      <w:r>
        <w:rPr>
          <w:rFonts w:ascii="Cambria" w:cs="Cambria" w:eastAsia="Cambria" w:hAnsi="Cambria"/>
          <w:sz w:val="24"/>
          <w:szCs w:val="24"/>
        </w:rPr>
        <w:t xml:space="preserve">5.1.2  Trust Evaluation Across the MVC Layers</w:t>
      </w:r>
    </w:p>
    <w:p>
      <w:pPr>
        <w:spacing w:after="140" w:line="300"/>
        <w:jc w:val="both"/>
      </w:pPr>
      <w:r>
        <w:rPr>
          <w:rFonts w:ascii="Cambria" w:cs="Cambria" w:eastAsia="Cambria" w:hAnsi="Cambria"/>
          <w:sz w:val="24"/>
          <w:szCs w:val="24"/>
        </w:rPr>
        <w:t xml:space="preserve">The architectural layers cooperate through a controlled authorisation sequence rather than through unrestricted direct communication. The relationship between the MVC components and the trust predicates </w:t>
      </w:r>
      <w:r>
        <w:rPr>
          <w:rFonts w:ascii="Cambria" w:cs="Cambria" w:eastAsia="Cambria" w:hAnsi="Cambria"/>
          <w:color w:val="E6007E"/>
          <w:sz w:val="24"/>
          <w:szCs w:val="24"/>
        </w:rPr>
        <w:t xml:space="preserve">introduced by RQ1–RQ5 is illustrated in Figure 8.</w:t>
      </w:r>
      <w:r>
        <w:rPr>
          <w:rFonts w:ascii="Cambria" w:cs="Cambria" w:eastAsia="Cambria" w:hAnsi="Cambria"/>
          <w:sz w:val="24"/>
          <w:szCs w:val="24"/>
        </w:rPr>
        <w:t xml:space="preserve"> Figure 8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 The first condition, VI (u), determines whether the requesting participant possesses valid identity and authority evidence. The second condition, VA (C), determines whether the required independently verified participants have collectively satisfied the authorisation threshold. The third condition, VP (C, R), determines whether the requested operation complies with the consent policy, including purpose and data-scope restrictions. The fourth condition, VT (C, t), determines whether the consent remains valid at the time of the request. The fifth condition,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determines whether the jurisdictional constraint recorded in the consent is satisfied; lifecycle validity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sz w:val="24"/>
          <w:szCs w:val="24"/>
        </w:rPr>
        <w:t xml:space="preserve">. </w:t>
      </w:r>
      <w:r>
        <w:rPr>
          <w:rFonts w:ascii="Cambria" w:cs="Cambria" w:eastAsia="Cambria" w:hAnsi="Cambria"/>
          <w:color w:val="E6007E"/>
          <w:sz w:val="24"/>
          <w:szCs w:val="24"/>
        </w:rPr>
        <w:t xml:space="preserve">The integrated decision can therefore be expressed as Eq. (26).</w:t>
      </w:r>
    </w:p>
    <w:p>
      <w:pPr>
        <w:spacing w:after="140" w:line="300"/>
        <w:jc w:val="both"/>
      </w:pP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j) verifies that the jurisdiction j declared by the requester matches the jurisdiction L recorded within the consent object. This distinction is important because revocation and lifecycle state are not enforced by this function but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Consequently, the corresponding component in Figure 8 is depicted as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j), the jurisdiction verification function, where j = Jur(R) is the jurisdiction declared in the request; this is the same predicate written as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R) in Eq. (59) and abbreviated as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in Eq. (26).</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(26)</w:t>
      </w:r>
    </w:p>
    <w:p>
      <w:pPr>
        <w:spacing w:after="140" w:line="300"/>
        <w:jc w:val="both"/>
      </w:pPr>
      <w:r>
        <w:rPr>
          <w:rFonts w:ascii="Cambria" w:cs="Cambria" w:eastAsia="Cambria" w:hAnsi="Cambria"/>
          <w:sz w:val="24"/>
          <w:szCs w:val="24"/>
        </w:rPr>
        <w:t xml:space="preserve">The Controller does not itself create these trust conditions. Instead, it evaluates evidence represented by the Model and coordinates the resulting decision. This distinction is important for the interpretation of the architecture: the Controller is a decision-enforcement mechanism, whereas the Model is a representation of trust and governance state. If any required predicate evaluates to false, the decision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(27)</w:t>
      </w:r>
    </w:p>
    <w:p>
      <w:pPr>
        <w:keepNext/>
        <w:spacing w:after="60" w:before="140"/>
        <w:jc w:val="center"/>
      </w:pPr>
      <w:r>
        <w:drawing>
          <wp:inline distT="0" distB="0" distL="0" distR="0">
            <wp:extent cx="3619500" cy="5114925"/>
            <wp:effectExtent t="0" r="0" b="0" l="0"/>
            <wp:docPr id="1" name="fig5.png" descr="Figure 8: Trust Predicate Evaluation and Authorisation Decision Flow" title="Figure 8: 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5114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8: Trust Predicate Evaluation and Authorisation Decision Flow</w:t>
      </w:r>
    </w:p>
    <w:p>
      <w:pPr>
        <w:spacing w:after="140" w:line="300"/>
        <w:jc w:val="both"/>
      </w:pPr>
      <w:r>
        <w:rPr>
          <w:rFonts w:ascii="Cambria" w:cs="Cambria" w:eastAsia="Cambria" w:hAnsi="Cambria"/>
          <w:sz w:val="24"/>
          <w:szCs w:val="24"/>
        </w:rPr>
        <w:t xml:space="preserve">Both successful and unsuccessful decisions are subsequently associated with authorisation evidence. This ensures that the architecture supports not only access enforcement but also accountability and subsequent verification.</w:t>
      </w:r>
    </w:p>
    <w:p>
      <w:pPr>
        <w:pStyle w:val="Heading3"/>
        <w:spacing w:after="160" w:before="280"/>
      </w:pPr>
      <w:r>
        <w:rPr>
          <w:rFonts w:ascii="Cambria" w:cs="Cambria" w:eastAsia="Cambria" w:hAnsi="Cambria"/>
          <w:sz w:val="24"/>
          <w:szCs w:val="24"/>
        </w:rPr>
        <w:t xml:space="preserve">5.1.3  Relationship Between MVC Layers and Research Questions</w:t>
      </w:r>
    </w:p>
    <w:p>
      <w:pPr>
        <w:spacing w:after="140" w:line="300"/>
        <w:jc w:val="both"/>
      </w:pPr>
      <w:r>
        <w:rPr>
          <w:rFonts w:ascii="Cambria" w:cs="Cambria" w:eastAsia="Cambria" w:hAnsi="Cambria"/>
          <w:sz w:val="24"/>
          <w:szCs w:val="24"/>
        </w:rP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 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relationship can therefore be summarised as </w:t>
      </w:r>
      <w:r>
        <w:rPr>
          <w:rFonts w:ascii="Cambria" w:cs="Cambria" w:eastAsia="Cambria" w:hAnsi="Cambria"/>
          <w:color w:val="000000"/>
          <w:sz w:val="24"/>
          <w:szCs w:val="24"/>
        </w:rPr>
        <w:t xml:space="preserve">follows</w:t>
      </w:r>
    </w:p>
    <w:p>
      <w:pPr>
        <w:tabs>
          <w:tab w:val="right" w:pos="9360"/>
        </w:tabs>
        <w:spacing w:after="160" w:before="60"/>
        <w:jc w:val="center"/>
      </w:pPr>
      <w:r>
        <w:rPr>
          <w:rFonts w:ascii="Cambria Math" w:cs="Cambria Math" w:eastAsia="Cambria Math" w:hAnsi="Cambria Math"/>
          <w:i/>
          <w:iCs/>
          <w:sz w:val="22"/>
          <w:szCs w:val="22"/>
        </w:rPr>
        <w:t xml:space="preserve">SRQ1 → Model; SRQ2 → Model + Controller; SRQ3 → Controller; SRQ4 → Model + Controller; SRQ5 → Model + Controller; SRQ6 → Model + View + Controller.</w:t>
      </w:r>
    </w:p>
    <w:p>
      <w:pPr>
        <w:spacing w:after="140" w:line="300"/>
        <w:jc w:val="both"/>
      </w:pPr>
      <w:r>
        <w:rPr>
          <w:rFonts w:ascii="Cambria" w:cs="Cambria" w:eastAsia="Cambria" w:hAnsi="Cambria"/>
          <w:sz w:val="24"/>
          <w:szCs w:val="24"/>
        </w:rP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p>
      <w:pPr>
        <w:pStyle w:val="Heading3"/>
        <w:spacing w:after="160" w:before="280"/>
      </w:pPr>
      <w:r>
        <w:rPr>
          <w:rFonts w:ascii="Cambria" w:cs="Cambria" w:eastAsia="Cambria" w:hAnsi="Cambria"/>
          <w:sz w:val="24"/>
          <w:szCs w:val="24"/>
        </w:rPr>
        <w:t xml:space="preserve">5.1.4  Architectural Boundary and Trust Assumptions</w:t>
      </w:r>
    </w:p>
    <w:p>
      <w:pPr>
        <w:spacing w:after="140" w:line="300"/>
        <w:jc w:val="both"/>
      </w:pPr>
      <w:r>
        <w:rPr>
          <w:rFonts w:ascii="Cambria" w:cs="Cambria" w:eastAsia="Cambria" w:hAnsi="Cambria"/>
          <w:sz w:val="24"/>
          <w:szCs w:val="24"/>
        </w:rP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spacing w:after="140" w:line="300"/>
        <w:jc w:val="both"/>
      </w:pPr>
      <w:r>
        <w:rPr>
          <w:rFonts w:ascii="Cambria" w:cs="Cambria" w:eastAsia="Cambria" w:hAnsi="Cambria"/>
          <w:sz w:val="24"/>
          <w:szCs w:val="24"/>
        </w:rP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 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p>
      <w:pPr>
        <w:spacing w:after="140" w:line="300"/>
        <w:jc w:val="both"/>
      </w:pPr>
      <w:r>
        <w:rPr>
          <w:rFonts w:ascii="Cambria" w:cs="Cambria" w:eastAsia="Cambria" w:hAnsi="Cambria"/>
          <w:color w:val="0000CC"/>
          <w:sz w:val="24"/>
          <w:szCs w:val="24"/>
        </w:rPr>
        <w:t xml:space="preserve">It should also be noted that, in the present prototype, the Controller is realised as a single trusted server that both evaluates the predicates and writes the audit ledger. Therefore, the on-chain anchoring of consent state </w:t>
      </w:r>
      <w:r>
        <w:rPr>
          <w:rFonts w:ascii="Cambria" w:cs="Cambria" w:eastAsia="Cambria" w:hAnsi="Cambria"/>
          <w:color w:val="E6007E"/>
          <w:sz w:val="24"/>
          <w:szCs w:val="24"/>
        </w:rPr>
        <w:t xml:space="preserve">and the independent verification tool described in Section 6.8.9 provide</w:t>
      </w:r>
      <w:r>
        <w:rPr>
          <w:rFonts w:ascii="Cambria" w:cs="Cambria" w:eastAsia="Cambria" w:hAnsi="Cambria"/>
          <w:color w:val="0000CC"/>
          <w:sz w:val="24"/>
          <w:szCs w:val="24"/>
        </w:rPr>
        <w:t xml:space="preserve"> the external evidence against which the Controller's own records can be checked.</w:t>
      </w:r>
    </w:p>
    <w:p>
      <w:pPr>
        <w:pStyle w:val="Heading2"/>
        <w:spacing w:after="160" w:before="280"/>
      </w:pPr>
      <w:r>
        <w:rPr>
          <w:rFonts w:ascii="Cambria" w:cs="Cambria" w:eastAsia="Cambria" w:hAnsi="Cambria"/>
          <w:sz w:val="24"/>
          <w:szCs w:val="24"/>
        </w:rPr>
        <w:t xml:space="preserve">5.2  Trust-Oriented Consent Authorisation Workflow</w:t>
      </w:r>
    </w:p>
    <w:p>
      <w:pPr>
        <w:spacing w:after="140" w:line="300"/>
        <w:jc w:val="both"/>
      </w:pPr>
      <w:r>
        <w:rPr>
          <w:rFonts w:ascii="Cambria" w:cs="Cambria" w:eastAsia="Cambria" w:hAnsi="Cambria"/>
          <w:sz w:val="24"/>
          <w:szCs w:val="24"/>
        </w:rPr>
        <w:t xml:space="preserve">Figure 9 presents the end-to-end workflow of the proposed trust-oriented patient consent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w:t>
      </w:r>
      <w:r>
        <w:rPr>
          <w:rFonts w:ascii="Cambria" w:cs="Cambria" w:eastAsia="Cambria" w:hAnsi="Cambria"/>
          <w:color w:val="E6007E"/>
          <w:sz w:val="24"/>
          <w:szCs w:val="24"/>
        </w:rPr>
        <w:t xml:space="preserve">The workflow operationalises the central premise of this research</w:t>
      </w:r>
      <w:r>
        <w:rPr>
          <w:rFonts w:ascii="Cambria" w:cs="Cambria" w:eastAsia="Cambria" w:hAnsi="Cambria"/>
          <w:sz w:val="24"/>
          <w:szCs w:val="24"/>
        </w:rPr>
        <w:t xml:space="preserve">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Accordingly, the proposed workflow transforms a patient’s consent from a static permission record into an evaluable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object that can be verified before healthcare data are released. The workflow begins when the patient creates a consent request and specifies the conditions under which healthcare data may be accessed. The consent specification defines the intended purpose, permitted data scope, and other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conditions. This step establishes what the patient intends to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 and provides the policy context against which subsequent access requests can be evaluated. Therefore, consent is not represented merely as an approval flag, but as a structured object containing the information required for subsequent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decisions. The next stage performs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authority verification </w:t>
      </w:r>
      <w:r>
        <w:rPr>
          <w:rFonts w:ascii="Cambria" w:cs="Cambria" w:eastAsia="Cambria" w:hAnsi="Cambria"/>
          <w:color w:val="E6007E"/>
          <w:sz w:val="24"/>
          <w:szCs w:val="24"/>
        </w:rPr>
        <w:t xml:space="preserve">using Decentralised Identifiers (DIDs) and Verifiable Credentials (VCs) [20].</w:t>
      </w:r>
      <w:r>
        <w:rPr>
          <w:rFonts w:ascii="Cambria" w:cs="Cambria" w:eastAsia="Cambria" w:hAnsi="Cambria"/>
          <w:sz w:val="24"/>
          <w:szCs w:val="24"/>
        </w:rPr>
        <w:t xml:space="preserve"> The purpose of this stage is to establish both the identity of the participant and the evidence supporting the participant’s claimed role or authority. Importantly, the framework explicitly separates identity authentication from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participant. After identity and authority verification, the framework identifies the participants required to establish the consent decision.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requirement may involve multiple independent participants, such as a patient together with one or more guardians or other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parties. The framework then collects their independent approvals and evaluates whether the predefined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has been satisfied. Let Av denote the set of successfully verified approvals and let N denote the required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w:t>
      </w:r>
      <w:r>
        <w:rPr>
          <w:rFonts w:ascii="Cambria" w:cs="Cambria" w:eastAsia="Cambria" w:hAnsi="Cambria"/>
          <w:color w:val="E6007E"/>
          <w:sz w:val="24"/>
          <w:szCs w:val="24"/>
        </w:rPr>
        <w:t xml:space="preserve">Multi-party authorisation is satisfied when the threshold condition of Eq. (28) holds.</w:t>
      </w:r>
    </w:p>
    <w:p>
      <w:pPr>
        <w:keepNext/>
        <w:spacing w:after="60" w:before="140"/>
        <w:jc w:val="center"/>
      </w:pPr>
      <w:r>
        <w:drawing>
          <wp:inline distT="0" distB="0" distL="0" distR="0">
            <wp:extent cx="4000500" cy="6181725"/>
            <wp:effectExtent t="0" r="0" b="0" l="0"/>
            <wp:docPr id="1" name="fig6.png" descr="Figure 9: End-to-End Workflow of Trust-Oriented Consent Authorisation Framework" title="Figure 9: End-to-End Workflow of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6181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9: End-to-End Workflow of Trust-Oriented Consent Authorisation Framework</w:t>
      </w:r>
    </w:p>
    <w:p>
      <w:pPr>
        <w:spacing w:after="140" w:line="300"/>
        <w:jc w:val="both"/>
      </w:pPr>
      <w:r>
        <w:rPr>
          <w:rFonts w:ascii="Cambria" w:cs="Cambria" w:eastAsia="Cambria" w:hAnsi="Cambria"/>
          <w:color w:val="E6007E"/>
          <w:sz w:val="24"/>
          <w:szCs w:val="24"/>
        </w:rPr>
        <w:t xml:space="preserve">Figure 9 further shows that, once all |G| guardians have signed and the N-of-N condition of Eq. (28) is satisfied, the consent token is minted in the local ledger</w:t>
      </w:r>
      <w:r>
        <w:rPr>
          <w:rFonts w:ascii="Cambria" w:cs="Cambria" w:eastAsia="Cambria" w:hAnsi="Cambria"/>
          <w:color w:val="000000"/>
          <w:sz w:val="24"/>
          <w:szCs w:val="24"/>
        </w:rPr>
        <w:t xml:space="preserve"> while a background job anchors the mint on Sepolia asynchronously; the temporal check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and the jurisdictional check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are then evaluated before the Authorisation Decision, </w:t>
      </w:r>
      <w:r>
        <w:rPr>
          <w:rFonts w:ascii="Cambria" w:cs="Cambria" w:eastAsia="Cambria" w:hAnsi="Cambria"/>
          <w:color w:val="E6007E"/>
          <w:sz w:val="24"/>
          <w:szCs w:val="24"/>
        </w:rPr>
        <w:t xml:space="preserve">a Groth16 proof is generated and verified before access is granted,</w:t>
      </w:r>
      <w:r>
        <w:rPr>
          <w:rFonts w:ascii="Cambria" w:cs="Cambria" w:eastAsia="Cambria" w:hAnsi="Cambria"/>
          <w:color w:val="000000"/>
          <w:sz w:val="24"/>
          <w:szCs w:val="24"/>
        </w:rPr>
        <w:t xml:space="preserve"> and after the audit evidence is recorded the flow continues through patient-initiated revocation, the corresponding on-chain revoke transaction, </w:t>
      </w:r>
      <w:r>
        <w:rPr>
          <w:rFonts w:ascii="Cambria" w:cs="Cambria" w:eastAsia="Cambria" w:hAnsi="Cambria"/>
          <w:color w:val="E6007E"/>
          <w:sz w:val="24"/>
          <w:szCs w:val="24"/>
        </w:rPr>
        <w:t xml:space="preserve">and finally auditor review together with independent verification by the verification tool of Section 6.8.9.</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(28)</w:t>
      </w:r>
    </w:p>
    <w:p>
      <w:pPr>
        <w:spacing w:after="140" w:line="300"/>
        <w:jc w:val="both"/>
      </w:pPr>
      <w:r>
        <w:rPr>
          <w:rFonts w:ascii="Cambria" w:cs="Cambria" w:eastAsia="Cambria" w:hAnsi="Cambria"/>
          <w:sz w:val="24"/>
          <w:szCs w:val="24"/>
        </w:rPr>
        <w:t xml:space="preserve">If the required threshold is not satisfied,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process terminates with a denial decision. This prevents a single participant from unilaterally establishing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when the consent policy requires collective approval. When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if a consent permits access to Observation, Medication, a request additionally containing Procedure should not be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(29)</w:t>
      </w:r>
    </w:p>
    <w:p>
      <w:pPr>
        <w:spacing w:after="140" w:line="300"/>
        <w:jc w:val="both"/>
      </w:pPr>
      <w:r>
        <w:rPr>
          <w:rFonts w:ascii="Cambria" w:cs="Cambria" w:eastAsia="Cambria" w:hAnsi="Cambria"/>
          <w:sz w:val="24"/>
          <w:szCs w:val="24"/>
        </w:rPr>
        <w:t xml:space="preserve">where SR represents the requested data scope and SC represents the consent-</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scope. Similarly, the requested purpose must be consistent with the purpose specified in the consent. Consequently, a valid identity and sufficient multi-party approval are necessary but not sufficient conditions for access. The final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is therefore determined by the conjunction of identity and authority verification,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w:t>
      </w:r>
      <w:r>
        <w:rPr>
          <w:rFonts w:ascii="Cambria" w:cs="Cambria" w:eastAsia="Cambria" w:hAnsi="Cambria"/>
          <w:color w:val="E6007E"/>
          <w:sz w:val="24"/>
          <w:szCs w:val="24"/>
        </w:rPr>
        <w:t xml:space="preserve">For the foundational authorisation core established by RO1–RO4, the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(30)</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and VP (C, R) represents compliance between the access request and the consent policy. If any of these conditions is false, the request is denied. Only when all required conditions are satisfied is healthcare data access granted. Finally, the framework records the resulting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evidence in the audit layer. Importantly, both successful and denied decisions should be recorded because a trustworthy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requires accountability not only for data that were released but also for access attempts that were rejected. The audit evidence can therefore provide a traceable record of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including the relevant consent, participants, policy evaluation, decision outcome, and associated evidence. In this manner, the workflow connects consent specification with identity trust, collective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policy enforcement, and accountability, providing the operational foundation of the proposed trust-oriented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w:t>
      </w:r>
    </w:p>
    <w:p>
      <w:pPr>
        <w:spacing w:after="140" w:line="300"/>
        <w:jc w:val="both"/>
      </w:pPr>
      <w:r>
        <w:rPr>
          <w:rFonts w:ascii="Cambria" w:cs="Cambria" w:eastAsia="Cambria" w:hAnsi="Cambria"/>
          <w:color w:val="0000CC"/>
          <w:sz w:val="24"/>
          <w:szCs w:val="24"/>
        </w:rPr>
        <w:t xml:space="preserve">It should be noted that Eq. (30) expresses the foundational core only. In the complete model, the temporal predicate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(C, t) and the jurisdictional predicate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(C) introduced by RO5 are conjoined with these three conditions, as shown in Eq. (26), and the implemented Controller evaluates all five predicates at every access request.</w:t>
      </w:r>
    </w:p>
    <w:p>
      <w:pPr>
        <w:pStyle w:val="Heading2"/>
        <w:spacing w:after="160" w:before="280"/>
      </w:pPr>
      <w:r>
        <w:rPr>
          <w:rFonts w:ascii="Cambria" w:cs="Cambria" w:eastAsia="Cambria" w:hAnsi="Cambria"/>
          <w:sz w:val="24"/>
          <w:szCs w:val="24"/>
        </w:rPr>
        <w:t xml:space="preserve">5.3  Model: Trust-Aware Consent and Authorisation Representation</w:t>
      </w:r>
    </w:p>
    <w:p>
      <w:pPr>
        <w:spacing w:after="140" w:line="300"/>
        <w:jc w:val="both"/>
      </w:pPr>
      <w:r>
        <w:rPr>
          <w:rFonts w:ascii="Cambria" w:cs="Cambria" w:eastAsia="Cambria" w:hAnsi="Cambria"/>
          <w:color w:val="E6007E"/>
          <w:sz w:val="24"/>
          <w:szCs w:val="24"/>
        </w:rPr>
        <w:t xml:space="preserve">The implemented prototype described in Section 6.8 realises the consent representation defined in this section in full, including temporal validity, expiration, on-chain revocation and an explicit lifecycle state machine.</w:t>
      </w:r>
      <w:r>
        <w:rPr>
          <w:rFonts w:ascii="Cambria" w:cs="Cambria" w:eastAsia="Cambria" w:hAnsi="Cambria"/>
          <w:color w:val="000000"/>
          <w:sz w:val="24"/>
          <w:szCs w:val="24"/>
        </w:rPr>
        <w:t xml:space="preserve"> Formal verification of the associated security properties, however, remains a matter for future work.</w:t>
      </w:r>
    </w:p>
    <w:p>
      <w:pPr>
        <w:spacing w:after="140" w:line="300"/>
        <w:jc w:val="both"/>
      </w:pPr>
      <w:r>
        <w:rPr>
          <w:rFonts w:ascii="Cambria" w:cs="Cambria" w:eastAsia="Cambria" w:hAnsi="Cambria"/>
          <w:sz w:val="24"/>
          <w:szCs w:val="24"/>
        </w:rPr>
        <w:t xml:space="preserve">The Model layer represents the persistent security state of the proposed consent-management framework. Rather than treating consent as a simple binary permission, the framework models</w:t>
      </w:r>
    </w:p>
    <w:p>
      <w:pPr>
        <w:spacing w:after="140" w:line="300"/>
        <w:jc w:val="both"/>
      </w:pPr>
      <w:r>
        <w:rPr>
          <w:rFonts w:ascii="Cambria" w:cs="Cambria" w:eastAsia="Cambria" w:hAnsi="Cambria"/>
          <w:sz w:val="24"/>
          <w:szCs w:val="24"/>
        </w:rPr>
        <w:t xml:space="preserve">consent as a structured authorisation object that captures the security conditions under which healthcare data may be accessed. For the </w:t>
      </w:r>
      <w:r>
        <w:rPr>
          <w:rFonts w:ascii="Cambria" w:cs="Cambria" w:eastAsia="Cambria" w:hAnsi="Cambria"/>
          <w:color w:val="000000"/>
          <w:sz w:val="24"/>
          <w:szCs w:val="24"/>
        </w:rPr>
        <w:t xml:space="preserve">current stage</w:t>
      </w:r>
      <w:r>
        <w:rPr>
          <w:rFonts w:ascii="Cambria" w:cs="Cambria" w:eastAsia="Cambria" w:hAnsi="Cambria"/>
          <w:sz w:val="24"/>
          <w:szCs w:val="24"/>
        </w:rPr>
        <w:t xml:space="preserve"> scope, the core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(31)</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 both defined exactly as they are realised in the implementation.</w:t>
      </w:r>
    </w:p>
    <w:p>
      <w:pPr>
        <w:spacing w:after="140" w:line="300"/>
        <w:jc w:val="both"/>
      </w:pPr>
      <w:r>
        <w:rPr>
          <w:rFonts w:ascii="Cambria" w:cs="Cambria" w:eastAsia="Cambria" w:hAnsi="Cambria"/>
          <w:color w:val="E6007E"/>
          <w:sz w:val="24"/>
          <w:szCs w:val="24"/>
        </w:rPr>
        <w:t xml:space="preserve">In this representation, I represents identity-related information associated with the relevant participants,</w:t>
      </w:r>
      <w:r>
        <w:rPr>
          <w:rFonts w:ascii="Cambria" w:cs="Cambria" w:eastAsia="Cambria" w:hAnsi="Cambria"/>
          <w:sz w:val="24"/>
          <w:szCs w:val="24"/>
        </w:rPr>
        <w:t xml:space="preserve"> A represents the authorisation requirements that must be satisfied before access can be granted, P represents the policy conditions governing purpose and healthcare data scope, and E represents the evidence generated throughout the authorisation process. The identity component I 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 The authorisation component A defines the conditions under which a consent object may become operational. In particular, it specifies whether a single participant is sufficient or whether multiple independent entities are required to jointly authorise a sensitive healthcare data operation. </w:t>
      </w:r>
      <w:r>
        <w:rPr>
          <w:rFonts w:ascii="Cambria" w:cs="Cambria" w:eastAsia="Cambria" w:hAnsi="Cambria"/>
          <w:color w:val="E6007E"/>
          <w:sz w:val="24"/>
          <w:szCs w:val="24"/>
        </w:rPr>
        <w:t xml:space="preserve">Let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denote the set of approvals submitted by participants whose identities and authority have been successfully verified,</w:t>
      </w:r>
      <w:r>
        <w:rPr>
          <w:rFonts w:ascii="Cambria" w:cs="Cambria" w:eastAsia="Cambria" w:hAnsi="Cambria"/>
          <w:sz w:val="24"/>
          <w:szCs w:val="24"/>
        </w:rPr>
        <w:t xml:space="preserve"> and let N denote the minimum required approval threshold. The authorisation condition can then be represented as</w:t>
      </w:r>
    </w:p>
    <w:p>
      <w:pPr>
        <w:spacing w:after="140" w:line="300"/>
        <w:jc w:val="both"/>
      </w:pPr>
      <w:r>
        <w:rPr>
          <w:rFonts w:ascii="Cambria" w:cs="Cambria" w:eastAsia="Cambria" w:hAnsi="Cambria"/>
          <w:color w:val="0000CC"/>
          <w:sz w:val="24"/>
          <w:szCs w:val="24"/>
        </w:rPr>
        <w:t xml:space="preserve">It should be noted that the lifecycle state of the consent, State(C), is not an element of the tuple itself but is maintained by the Lifecycle component of the Model alongside C, and it is evaluated within V</w:t>
      </w:r>
      <w:r>
        <w:rPr>
          <w:rFonts w:ascii="Cambria" w:cs="Cambria" w:eastAsia="Cambria" w:hAnsi="Cambria"/>
          <w:color w:val="0000CC"/>
          <w:sz w:val="24"/>
          <w:szCs w:val="24"/>
          <w:vertAlign w:val="subscript"/>
        </w:rPr>
        <w:t xml:space="preserve">A</w:t>
      </w:r>
      <w:r>
        <w:rPr>
          <w:rFonts w:ascii="Cambria" w:cs="Cambria" w:eastAsia="Cambria" w:hAnsi="Cambria"/>
          <w:color w:val="0000CC"/>
          <w:sz w:val="24"/>
          <w:szCs w:val="24"/>
        </w:rPr>
        <w:t xml:space="preserve">(C), as stated in Section 6.5.</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(32)</w:t>
      </w:r>
    </w:p>
    <w:p>
      <w:pPr>
        <w:spacing w:after="140" w:line="300"/>
        <w:jc w:val="both"/>
      </w:pPr>
      <w:r>
        <w:rPr>
          <w:rFonts w:ascii="Cambria" w:cs="Cambria" w:eastAsia="Cambria" w:hAnsi="Cambria"/>
          <w:color w:val="E6007E"/>
          <w:sz w:val="24"/>
          <w:szCs w:val="24"/>
        </w:rPr>
        <w:t xml:space="preserve">This mechanism differs from the reviewed systems, in which joint approval is either a contingency path [53], a witness or notary threshold [69], a registration-time co-consent [43, 47], an institution-side admission gate [75], a custodial M-of-N signature [61] or a key-share reconstruction [35, 54]; in a single-owner model, compromise, error, or misuse of one privileged account may be sufficient to produce an authorisation decision.</w:t>
      </w:r>
      <w:r>
        <w:rPr>
          <w:rFonts w:ascii="Cambria" w:cs="Cambria" w:eastAsia="Cambria" w:hAnsi="Cambria"/>
          <w:sz w:val="24"/>
          <w:szCs w:val="24"/>
        </w:rPr>
        <w:t xml:space="preserve"> In the proposed framework, trust can instead be distributed across multiple independently verified participants. A sensitive access decision becomes valid only when the defined collective authorisation condition has been satisfied. The policy component P 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 Let SC denote the healthcare data scope authorised by the consent object and SR denote the scope requested by an entity. Policy compliance requires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(33)</w:t>
      </w:r>
    </w:p>
    <w:p>
      <w:pPr>
        <w:spacing w:after="140" w:line="300"/>
        <w:jc w:val="both"/>
      </w:pPr>
      <w:r>
        <w:rPr>
          <w:rFonts w:ascii="Cambria" w:cs="Cambria" w:eastAsia="Cambria" w:hAnsi="Cambria"/>
          <w:color w:val="000000"/>
          <w:sz w:val="24"/>
          <w:szCs w:val="24"/>
        </w:rPr>
        <w:t xml:space="preserve">In the implemented prototype the threshold is fixed at N = |G|, so that every listed guardian must provide a valid approval before activation; the evaluated configuration is therefore 2-of-2. Configurable k-of-n thresholds constitute a direct generalisation that is deferred to future work.</w:t>
      </w:r>
    </w:p>
    <w:p>
      <w:pPr>
        <w:spacing w:after="140" w:line="300"/>
        <w:jc w:val="both"/>
      </w:pPr>
      <w:r>
        <w:rPr>
          <w:rFonts w:ascii="Cambria" w:cs="Cambria" w:eastAsia="Cambria" w:hAnsi="Cambria"/>
          <w:sz w:val="24"/>
          <w:szCs w:val="24"/>
        </w:rPr>
        <w:t xml:space="preserve">If the requested data exceeds the authorised scope, the request must be rejected even if the requester has successfully authenticated and the required number of participants has approved the consent. The evidence component E represents the verifiable information generated during the authorisation process. This may include identity-verification results, credential-verification results, approval records, policy-evaluation outcomes, access decisions, and audit events. The purpose of E is not merely to record that a decision occurred, but to provide evidence concerning why the decision was produced.</w:t>
      </w:r>
    </w:p>
    <w:p>
      <w:pPr>
        <w:spacing w:after="140" w:line="300"/>
        <w:jc w:val="both"/>
      </w:pPr>
      <w:r>
        <w:rPr>
          <w:rFonts w:ascii="Cambria" w:cs="Cambria" w:eastAsia="Cambria" w:hAnsi="Cambria"/>
          <w:sz w:val="24"/>
          <w:szCs w:val="24"/>
        </w:rPr>
        <w:t xml:space="preserve">This distinction is particularly important for trustworthy consent governance. </w:t>
      </w:r>
      <w:r>
        <w:rPr>
          <w:rFonts w:ascii="Cambria" w:cs="Cambria" w:eastAsia="Cambria" w:hAnsi="Cambria"/>
          <w:color w:val="E6007E"/>
          <w:sz w:val="24"/>
          <w:szCs w:val="24"/>
        </w:rPr>
        <w:t xml:space="preserve">A conventional immutable record may demonstrate that a transaction was stored [2, 28],</w:t>
      </w:r>
      <w:r>
        <w:rPr>
          <w:rFonts w:ascii="Cambria" w:cs="Cambria" w:eastAsia="Cambria" w:hAnsi="Cambria"/>
          <w:sz w:val="24"/>
          <w:szCs w:val="24"/>
        </w:rPr>
        <w:t xml:space="preserve">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Heading2"/>
        <w:spacing w:after="160" w:before="280"/>
      </w:pPr>
      <w:r>
        <w:rPr>
          <w:rFonts w:ascii="Cambria" w:cs="Cambria" w:eastAsia="Cambria" w:hAnsi="Cambria"/>
          <w:sz w:val="24"/>
          <w:szCs w:val="24"/>
        </w:rPr>
        <w:t xml:space="preserve">5.4  View: Controlled Interaction Among Independent Participants</w:t>
      </w:r>
    </w:p>
    <w:p>
      <w:pPr>
        <w:spacing w:after="140" w:line="300"/>
        <w:jc w:val="both"/>
      </w:pPr>
      <w:r>
        <w:rPr>
          <w:rFonts w:ascii="Cambria" w:cs="Cambria" w:eastAsia="Cambria" w:hAnsi="Cambria"/>
          <w:sz w:val="24"/>
          <w:szCs w:val="24"/>
        </w:rP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 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 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 The separation between interaction and enforcement prevents the user interface from becoming the source of trust. A request submitted through the View represents an input to the authorisation process, rather than an authorisation decision itself. The actual security decision remains the responsibility of the Controller. 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p>
      <w:pPr>
        <w:pStyle w:val="Heading2"/>
        <w:spacing w:after="160" w:before="280"/>
      </w:pPr>
      <w:r>
        <w:rPr>
          <w:rFonts w:ascii="Cambria" w:cs="Cambria" w:eastAsia="Cambria" w:hAnsi="Cambria"/>
          <w:sz w:val="24"/>
          <w:szCs w:val="24"/>
        </w:rPr>
        <w:t xml:space="preserve">5.5  Controller: Trusted Multi-Party Authorisation Enforcement</w:t>
      </w:r>
    </w:p>
    <w:p>
      <w:pPr>
        <w:spacing w:after="140" w:line="300"/>
        <w:jc w:val="both"/>
      </w:pPr>
      <w:r>
        <w:rPr>
          <w:rFonts w:ascii="Cambria" w:cs="Cambria" w:eastAsia="Cambria" w:hAnsi="Cambria"/>
          <w:sz w:val="24"/>
          <w:szCs w:val="24"/>
        </w:rP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 The Controller first evaluates whether the requesting entity and relevant authorisation participants possess valid identities and credentials. Identity verification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(34)</w:t>
      </w:r>
    </w:p>
    <w:p>
      <w:pPr>
        <w:spacing w:after="140" w:line="300"/>
        <w:jc w:val="both"/>
      </w:pPr>
      <w:r>
        <w:rPr>
          <w:rFonts w:ascii="Cambria" w:cs="Cambria" w:eastAsia="Cambria" w:hAnsi="Cambria"/>
          <w:sz w:val="24"/>
          <w:szCs w:val="24"/>
        </w:rPr>
        <w:t xml:space="preserve">where V erif yDID(u) determines whether the decentralised identity of participant u can be verified and V erif yV C(u) determines whether the associated credential provides valid evidence of the relevant authority or role. A central principle of the proposed architecture is that identity verification and authorisation authority are not equivalent. A participant may possess a valid identity while lacking the authority required to access a particular patient’s healthcare information. Therefore,</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(35)</w:t>
      </w:r>
    </w:p>
    <w:p>
      <w:pPr>
        <w:spacing w:after="140" w:line="300"/>
        <w:jc w:val="both"/>
      </w:pPr>
      <w:r>
        <w:rPr>
          <w:rFonts w:ascii="Cambria" w:cs="Cambria" w:eastAsia="Cambria" w:hAnsi="Cambria"/>
          <w:sz w:val="24"/>
          <w:szCs w:val="24"/>
        </w:rPr>
        <w:t xml:space="preserve">This distinction prevents successful authentication from being incorrectly interpreted as unrestricted permission. 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 Av . If the number of valid approvals is below the required threshold N , the consent cannot produce an effective authorisation decision. The Controller then evaluates the relationship between the access request R and the policy conditions contained within the consent object. This process determines whether the requested healthcare data, operation, and intended purpose remain within the permitted authorisation boundary. The corresponding policy predicate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(36)</w:t>
      </w:r>
    </w:p>
    <w:p>
      <w:pPr>
        <w:spacing w:after="140" w:line="300"/>
        <w:jc w:val="both"/>
      </w:pPr>
      <w:r>
        <w:rPr>
          <w:rFonts w:ascii="Cambria" w:cs="Cambria" w:eastAsia="Cambria" w:hAnsi="Cambria"/>
          <w:color w:val="E6007E"/>
          <w:sz w:val="24"/>
          <w:szCs w:val="24"/>
        </w:rPr>
        <w:t xml:space="preserve">The foundational authorisation decision for RO1–RO4 is therefore determined by the conjunction of the three core trust conditions, to which the temporal and jurisdictional predicates of Eq. (26) are added in the complete model:</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(37)</w:t>
      </w:r>
    </w:p>
    <w:p>
      <w:pPr>
        <w:spacing w:after="140" w:line="300"/>
        <w:jc w:val="both"/>
      </w:pPr>
      <w:r>
        <w:rPr>
          <w:rFonts w:ascii="Cambria" w:cs="Cambria" w:eastAsia="Cambria" w:hAnsi="Cambria"/>
          <w:sz w:val="24"/>
          <w:szCs w:val="24"/>
        </w:rPr>
        <w:t xml:space="preserve">Equivalently, the decision can be represented as</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1; DENY, otherwise.</w:t>
      </w:r>
      <w:r>
        <w:rPr>
          <w:rFonts w:ascii="Cambria" w:cs="Cambria" w:eastAsia="Cambria" w:hAnsi="Cambria"/>
          <w:sz w:val="22"/>
          <w:szCs w:val="22"/>
        </w:rPr>
        <w:t xml:space="preserve">	(38)</w:t>
      </w:r>
    </w:p>
    <w:p>
      <w:pPr>
        <w:spacing w:after="140" w:line="300"/>
        <w:jc w:val="both"/>
      </w:pPr>
      <w:r>
        <w:rPr>
          <w:rFonts w:ascii="Cambria" w:cs="Cambria" w:eastAsia="Cambria" w:hAnsi="Cambria"/>
          <w:sz w:val="24"/>
          <w:szCs w:val="24"/>
        </w:rP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 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p>
      <w:pPr>
        <w:pStyle w:val="Heading2"/>
        <w:spacing w:after="160" w:before="280"/>
      </w:pPr>
      <w:r>
        <w:rPr>
          <w:rFonts w:ascii="Cambria" w:cs="Cambria" w:eastAsia="Cambria" w:hAnsi="Cambria"/>
          <w:sz w:val="24"/>
          <w:szCs w:val="24"/>
        </w:rPr>
        <w:t xml:space="preserve">5.6  Multi-Party Consent as Distributed Trust Establishment</w:t>
      </w:r>
    </w:p>
    <w:p>
      <w:pPr>
        <w:spacing w:after="140" w:line="300"/>
        <w:jc w:val="both"/>
      </w:pPr>
      <w:r>
        <w:rPr>
          <w:rFonts w:ascii="Cambria" w:cs="Cambria" w:eastAsia="Cambria" w:hAnsi="Cambria"/>
          <w:sz w:val="24"/>
          <w:szCs w:val="24"/>
        </w:rPr>
        <w:t xml:space="preserve">A central contribution of the proposed architecture is the treatment of multi-party consent as a distributed trust-establishment mechanism rather than as a simple collection of multiple signatures. </w:t>
      </w:r>
      <w:r>
        <w:rPr>
          <w:rFonts w:ascii="Cambria" w:cs="Cambria" w:eastAsia="Cambria" w:hAnsi="Cambria"/>
          <w:color w:val="E6007E"/>
          <w:sz w:val="24"/>
          <w:szCs w:val="24"/>
        </w:rPr>
        <w:t xml:space="preserve">In the reviewed approval mechanisms, multiple signatures may be appended at consent registration [38, 43] or collected as hash-integrity confirmations on a ledger transaction [75].</w:t>
      </w:r>
      <w:r>
        <w:rPr>
          <w:rFonts w:ascii="Cambria" w:cs="Cambria" w:eastAsia="Cambria" w:hAnsi="Cambria"/>
          <w:sz w:val="24"/>
          <w:szCs w:val="24"/>
        </w:rPr>
        <w:t xml:space="preserve"> However, the presence of multiple approvals does not necessarily establish that the approving entities were legitimate, possessed the appropriate authority, or approved the same policy conditions. 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 Let the set of submitted approvals be denoted by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1</w:t>
      </w:r>
      <w:r>
        <w:rPr>
          <w:rFonts w:ascii="Cambria Math" w:cs="Cambria Math" w:eastAsia="Cambria Math" w:hAnsi="Cambria Math"/>
          <w:i/>
          <w:iCs/>
          <w:sz w:val="22"/>
          <w:szCs w:val="22"/>
        </w:rPr>
        <w:t xml:space="preserve">, a</w:t>
      </w:r>
      <w:r>
        <w:rPr>
          <w:rFonts w:ascii="Cambria Math" w:cs="Cambria Math" w:eastAsia="Cambria Math" w:hAnsi="Cambria Math"/>
          <w:i/>
          <w:iCs/>
          <w:sz w:val="22"/>
          <w:szCs w:val="22"/>
          <w:vertAlign w:val="subscript"/>
        </w:rPr>
        <w:t xml:space="preserve">2</w:t>
      </w:r>
      <w:r>
        <w:rPr>
          <w:rFonts w:ascii="Cambria Math" w:cs="Cambria Math" w:eastAsia="Cambria Math" w:hAnsi="Cambria Math"/>
          <w:i/>
          <w:iCs/>
          <w:sz w:val="22"/>
          <w:szCs w:val="22"/>
        </w:rPr>
        <w:t xml:space="preserve">, . . . , a</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(39)</w:t>
      </w:r>
    </w:p>
    <w:p>
      <w:pPr>
        <w:spacing w:after="140" w:line="300"/>
        <w:jc w:val="both"/>
      </w:pPr>
      <w:r>
        <w:rPr>
          <w:rFonts w:ascii="Cambria" w:cs="Cambria" w:eastAsia="Cambria" w:hAnsi="Cambria"/>
          <w:sz w:val="24"/>
          <w:szCs w:val="24"/>
        </w:rPr>
        <w:t xml:space="preserve">The verified approval set is then derived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1 ∧ Authority(a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Valid}.</w:t>
      </w:r>
      <w:r>
        <w:rPr>
          <w:rFonts w:ascii="Cambria" w:cs="Cambria" w:eastAsia="Cambria" w:hAnsi="Cambria"/>
          <w:sz w:val="22"/>
          <w:szCs w:val="22"/>
        </w:rPr>
        <w:t xml:space="preserve">	(40)</w:t>
      </w:r>
    </w:p>
    <w:p>
      <w:pPr>
        <w:spacing w:after="140" w:line="300"/>
        <w:jc w:val="both"/>
      </w:pPr>
      <w:r>
        <w:rPr>
          <w:rFonts w:ascii="Cambria" w:cs="Cambria" w:eastAsia="Cambria" w:hAnsi="Cambria"/>
          <w:sz w:val="24"/>
          <w:szCs w:val="24"/>
        </w:rPr>
        <w:t xml:space="preserve">Only the verified set Av contributes to the threshold condition. Consequently, an arbitrary number of unverified or unauthorised approvals cannot satisfy the multi-party authorisation requirement. 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 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p>
      <w:pPr>
        <w:spacing w:after="140" w:line="300"/>
        <w:jc w:val="both"/>
      </w:pPr>
      <w:r>
        <w:rPr>
          <w:rFonts w:ascii="Cambria" w:cs="Cambria" w:eastAsia="Cambria" w:hAnsi="Cambria"/>
          <w:color w:val="0000CC"/>
          <w:sz w:val="24"/>
          <w:szCs w:val="24"/>
        </w:rPr>
        <w:t xml:space="preserve">In Eq. (40),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(ai) denotes the identity predicate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(u) of Eq. (34) evaluated for the participant u who submitted approval ai, and Authority(ai) = Valid denotes that the role of that participant matches the role required by the consent, corresponding to the Authority(u, C) condition of Section 6.2.</w:t>
      </w:r>
    </w:p>
    <w:p>
      <w:pPr>
        <w:pStyle w:val="Heading2"/>
        <w:spacing w:after="160" w:before="280"/>
      </w:pPr>
      <w:r>
        <w:rPr>
          <w:rFonts w:ascii="Cambria" w:cs="Cambria" w:eastAsia="Cambria" w:hAnsi="Cambria"/>
          <w:sz w:val="24"/>
          <w:szCs w:val="24"/>
        </w:rPr>
        <w:t xml:space="preserve">5.7  Policy-Aware Consent Enforcement</w:t>
      </w:r>
    </w:p>
    <w:p>
      <w:pPr>
        <w:spacing w:after="140" w:line="300"/>
        <w:jc w:val="both"/>
      </w:pPr>
      <w:r>
        <w:rPr>
          <w:rFonts w:ascii="Cambria" w:cs="Cambria" w:eastAsia="Cambria" w:hAnsi="Cambria"/>
          <w:sz w:val="24"/>
          <w:szCs w:val="24"/>
        </w:rPr>
        <w:t xml:space="preserve">Another important feature of the architecture is the explicit separation between approval validity and access scope validity. Even when all required participants have approved a consent request, the resulting authorisation remains bounded by the policy encoded within the consent object. Suppose that a consent permits access to the following healthcare data categories</w:t>
      </w:r>
      <w:r>
        <w:rPr>
          <w:rFonts w:ascii="Cambria" w:cs="Cambria" w:eastAsia="Cambria" w:hAnsi="Cambria"/>
          <w:color w:val="000000"/>
          <w:sz w:val="24"/>
          <w:szCs w:val="24"/>
        </w:rPr>
        <w:t xml:space="preserv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(41)</w:t>
      </w:r>
    </w:p>
    <w:p>
      <w:pPr>
        <w:spacing w:after="140" w:line="300"/>
        <w:jc w:val="both"/>
      </w:pPr>
      <w:r>
        <w:rPr>
          <w:rFonts w:ascii="Cambria" w:cs="Cambria" w:eastAsia="Cambria" w:hAnsi="Cambria"/>
          <w:sz w:val="24"/>
          <w:szCs w:val="24"/>
        </w:rPr>
        <w:t xml:space="preserve">If a healthcare professional subsequently requests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(42)</w:t>
      </w:r>
    </w:p>
    <w:p>
      <w:pPr>
        <w:spacing w:after="140" w:line="300"/>
        <w:jc w:val="both"/>
      </w:pPr>
      <w:r>
        <w:rPr>
          <w:rFonts w:ascii="Cambria" w:cs="Cambria" w:eastAsia="Cambria" w:hAnsi="Cambria"/>
          <w:sz w:val="24"/>
          <w:szCs w:val="24"/>
        </w:rPr>
        <w:t xml:space="preserve">the request exceeds the authorised data scope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(43)</w:t>
      </w:r>
    </w:p>
    <w:p>
      <w:pPr>
        <w:spacing w:after="140" w:line="300"/>
        <w:jc w:val="both"/>
      </w:pPr>
      <w:r>
        <w:rPr>
          <w:rFonts w:ascii="Cambria" w:cs="Cambria" w:eastAsia="Cambria" w:hAnsi="Cambria"/>
          <w:sz w:val="24"/>
          <w:szCs w:val="24"/>
        </w:rPr>
        <w:t xml:space="preserve">The Controller must therefore return</w:t>
      </w:r>
    </w:p>
    <w:p>
      <w:pPr>
        <w:tabs>
          <w:tab w:val="right" w:pos="9360"/>
        </w:tabs>
        <w:spacing w:after="160" w:before="60"/>
        <w:jc w:val="center"/>
      </w:pPr>
      <w:r>
        <w:rPr>
          <w:rFonts w:ascii="Cambria Math" w:cs="Cambria Math" w:eastAsia="Cambria Math" w:hAnsi="Cambria Math"/>
          <w:i/>
          <w:iCs/>
          <w:sz w:val="22"/>
          <w:szCs w:val="22"/>
        </w:rPr>
        <w:t xml:space="preserve">Decision(C, R) = DENY.</w:t>
      </w:r>
      <w:r>
        <w:rPr>
          <w:rFonts w:ascii="Cambria" w:cs="Cambria" w:eastAsia="Cambria" w:hAnsi="Cambria"/>
          <w:sz w:val="22"/>
          <w:szCs w:val="22"/>
        </w:rPr>
        <w:t xml:space="preserve">	(44)</w:t>
      </w:r>
    </w:p>
    <w:p>
      <w:pPr>
        <w:spacing w:after="140" w:line="300"/>
        <w:jc w:val="both"/>
      </w:pPr>
      <w:r>
        <w:rPr>
          <w:rFonts w:ascii="Cambria" w:cs="Cambria" w:eastAsia="Cambria" w:hAnsi="Cambria"/>
          <w:sz w:val="24"/>
          <w:szCs w:val="24"/>
        </w:rPr>
        <w:t xml:space="preserve">This property is important because conventional authentication and role-based access control mechanisms may determine that an entity is generally authorised to access a category of healthcare information </w:t>
      </w:r>
      <w:r>
        <w:rPr>
          <w:rFonts w:ascii="Cambria" w:cs="Cambria" w:eastAsia="Cambria" w:hAnsi="Cambria"/>
          <w:color w:val="E6007E"/>
          <w:sz w:val="24"/>
          <w:szCs w:val="24"/>
        </w:rPr>
        <w:t xml:space="preserve">without adequately considering the specific policy conditions associated with an individual patient’s consent [11, 25].</w:t>
      </w:r>
      <w:r>
        <w:rPr>
          <w:rFonts w:ascii="Cambria" w:cs="Cambria" w:eastAsia="Cambria" w:hAnsi="Cambria"/>
          <w:sz w:val="24"/>
          <w:szCs w:val="24"/>
        </w:rPr>
        <w:t xml:space="preserve"> The proposed architecture instead binds the access decision to the consent policy itself.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p>
      <w:pPr>
        <w:pStyle w:val="Heading2"/>
        <w:spacing w:after="160" w:before="280"/>
      </w:pPr>
      <w:r>
        <w:rPr>
          <w:rFonts w:ascii="Cambria" w:cs="Cambria" w:eastAsia="Cambria" w:hAnsi="Cambria"/>
          <w:sz w:val="24"/>
          <w:szCs w:val="24"/>
        </w:rPr>
        <w:t xml:space="preserve">5.8  Authorisation Evidence and Auditability</w:t>
      </w:r>
    </w:p>
    <w:p>
      <w:pPr>
        <w:spacing w:after="140" w:line="300"/>
        <w:jc w:val="both"/>
      </w:pPr>
      <w:r>
        <w:rPr>
          <w:rFonts w:ascii="Cambria" w:cs="Cambria" w:eastAsia="Cambria" w:hAnsi="Cambria"/>
          <w:color w:val="000000"/>
          <w:sz w:val="24"/>
          <w:szCs w:val="24"/>
        </w:rPr>
        <w:t xml:space="preserve">In the implementation, consent activation and revocation are anchored on the Sepolia blockchain through the ConsentSBTv3 soulbound contract. This anchoring is performed asynchronously, and the audit ledger records the transaction hash and block number of each anchoring operation, thereby providing tamper-resistant evidence of the consent state.</w:t>
      </w:r>
    </w:p>
    <w:p>
      <w:pPr>
        <w:spacing w:after="140" w:line="300"/>
        <w:jc w:val="both"/>
      </w:pPr>
      <w:r>
        <w:rPr>
          <w:rFonts w:ascii="Cambria" w:cs="Cambria" w:eastAsia="Cambria" w:hAnsi="Cambria"/>
          <w:sz w:val="24"/>
          <w:szCs w:val="24"/>
        </w:rPr>
        <w:t xml:space="preserve">The proposed architecture further distinguishes between making an authorisation decision and demonstrating how that decision was made. For this reason, the Controller generates evidence associated with each relevant stage of the authorisation process. Conceptually, an authorisation evidence record can be represented as</w:t>
      </w:r>
    </w:p>
    <w:p>
      <w:pPr>
        <w:tabs>
          <w:tab w:val="right" w:pos="9360"/>
        </w:tabs>
        <w:spacing w:after="160" w:before="60"/>
        <w:jc w:val="center"/>
      </w:pPr>
      <w:r>
        <w:rPr>
          <w:rFonts w:ascii="Cambria Math" w:cs="Cambria Math" w:eastAsia="Cambria Math" w:hAnsi="Cambria Math"/>
          <w:i/>
          <w:iCs/>
          <w:sz w:val="22"/>
          <w:szCs w:val="22"/>
        </w:rPr>
        <w:t xml:space="preserve">E</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{ID, Credential, Approval, Policy, Decision, Audit}.</w:t>
      </w:r>
      <w:r>
        <w:rPr>
          <w:rFonts w:ascii="Cambria" w:cs="Cambria" w:eastAsia="Cambria" w:hAnsi="Cambria"/>
          <w:sz w:val="22"/>
          <w:szCs w:val="22"/>
        </w:rPr>
        <w:t xml:space="preserve">	(45)</w:t>
      </w:r>
    </w:p>
    <w:p>
      <w:pPr>
        <w:spacing w:after="140" w:line="300"/>
        <w:jc w:val="both"/>
      </w:pPr>
      <w:r>
        <w:rPr>
          <w:rFonts w:ascii="Cambria" w:cs="Cambria" w:eastAsia="Cambria" w:hAnsi="Cambria"/>
          <w:sz w:val="24"/>
          <w:szCs w:val="24"/>
        </w:rPr>
        <w:t xml:space="preserve">where ID represents identity-verification evidence, Credential represents authority or roleverification evidence, Approval represents the verified multi-party approval state, P olicy represents the result of policy evaluation, Decision represents the final access outcome, and Audit represents the associated event record. 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 However, the blockchain itself is not treated as the source of trust. </w:t>
      </w:r>
      <w:r>
        <w:rPr>
          <w:rFonts w:ascii="Cambria" w:cs="Cambria" w:eastAsia="Cambria" w:hAnsi="Cambria"/>
          <w:color w:val="E6007E"/>
          <w:sz w:val="24"/>
          <w:szCs w:val="24"/>
        </w:rPr>
        <w:t xml:space="preserve">Its role is to strengthen integrity, non-repudiation, and auditability of the evidence generated by the authorisation process [2, 28].</w:t>
      </w:r>
      <w:r>
        <w:rPr>
          <w:rFonts w:ascii="Cambria" w:cs="Cambria" w:eastAsia="Cambria" w:hAnsi="Cambria"/>
          <w:sz w:val="24"/>
          <w:szCs w:val="24"/>
        </w:rPr>
        <w:t xml:space="preserve"> The trustworthiness of the access decision instead originates from the coordinated enforcement of identity, authority, multi-party approval, and policy conditions.</w:t>
      </w:r>
    </w:p>
    <w:p>
      <w:pPr>
        <w:spacing w:after="140" w:line="300"/>
        <w:jc w:val="both"/>
      </w:pPr>
      <w:r>
        <w:rPr>
          <w:rFonts w:ascii="Cambria" w:cs="Cambria" w:eastAsia="Cambria" w:hAnsi="Cambria"/>
          <w:color w:val="0000CC"/>
          <w:sz w:val="24"/>
          <w:szCs w:val="24"/>
        </w:rPr>
        <w:t xml:space="preserve">The record ER is the per-request instance of the evidence component E of the consent object C, and in the implementation it corresponds to the event rows of the audit ledger, which for on-chain events additionally carry the Sepolia transaction hash and block number, as described in Section 6.8.8.</w:t>
      </w:r>
    </w:p>
    <w:p>
      <w:pPr>
        <w:pStyle w:val="Heading2"/>
        <w:spacing w:after="160" w:before="280"/>
      </w:pPr>
      <w:r>
        <w:rPr>
          <w:rFonts w:ascii="Cambria" w:cs="Cambria" w:eastAsia="Cambria" w:hAnsi="Cambria"/>
          <w:sz w:val="24"/>
          <w:szCs w:val="24"/>
        </w:rPr>
        <w:t xml:space="preserve">5.9  Architectural Security Properties</w:t>
      </w:r>
    </w:p>
    <w:p>
      <w:pPr>
        <w:spacing w:after="140" w:line="300"/>
        <w:jc w:val="both"/>
      </w:pPr>
      <w:r>
        <w:rPr>
          <w:rFonts w:ascii="Cambria" w:cs="Cambria" w:eastAsia="Cambria" w:hAnsi="Cambria"/>
          <w:sz w:val="24"/>
          <w:szCs w:val="24"/>
        </w:rPr>
        <w:t xml:space="preserve">The proposed MVC architecture provides several foundational security properties for the current stage. These properties emerge from the interaction between the Model, View, and Controller rather than from any single technology.</w:t>
      </w:r>
    </w:p>
    <w:p>
      <w:pPr>
        <w:spacing w:after="140" w:line="300"/>
        <w:jc w:val="both"/>
      </w:pPr>
      <w:r>
        <w:rPr>
          <w:rFonts w:ascii="Cambria" w:cs="Cambria" w:eastAsia="Cambria" w:hAnsi="Cambria"/>
          <w:sz w:val="24"/>
          <w:szCs w:val="24"/>
        </w:rPr>
        <w:t xml:space="preserve">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w:t>
      </w:r>
      <w:r>
        <w:rPr>
          <w:rFonts w:ascii="Cambria" w:cs="Cambria" w:eastAsia="Cambria" w:hAnsi="Cambria"/>
          <w:color w:val="E6007E"/>
          <w:sz w:val="24"/>
          <w:szCs w:val="24"/>
        </w:rPr>
        <w:t xml:space="preserve">These properties, together with the separation of interaction and enforcement established in Section 5.1.4, are summarised in Table 12, in which collective authorisation integrity and decision accountability appear as multi-party authorisation integrity and authorisation evidence respectively.</w:t>
      </w:r>
    </w:p>
    <w:p>
      <w:pPr>
        <w:pStyle w:val="Heading2"/>
        <w:spacing w:after="160" w:before="280"/>
      </w:pPr>
      <w:r>
        <w:rPr>
          <w:rFonts w:ascii="Cambria" w:cs="Cambria" w:eastAsia="Cambria" w:hAnsi="Cambria"/>
          <w:sz w:val="24"/>
          <w:szCs w:val="24"/>
        </w:rPr>
        <w:t xml:space="preserve">5.10  MVC Architecture and the Research Objectives</w:t>
      </w:r>
    </w:p>
    <w:p>
      <w:pPr>
        <w:spacing w:after="140" w:line="300"/>
        <w:jc w:val="both"/>
      </w:pPr>
      <w:r>
        <w:rPr>
          <w:rFonts w:ascii="Cambria" w:cs="Cambria" w:eastAsia="Cambria" w:hAnsi="Cambria"/>
          <w:sz w:val="24"/>
          <w:szCs w:val="24"/>
        </w:rP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As shown in Table 13,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p>
      <w:pPr>
        <w:spacing w:after="140" w:line="300"/>
        <w:jc w:val="both"/>
      </w:pPr>
      <w:r>
        <w:rPr>
          <w:rFonts w:ascii="Cambria" w:cs="Cambria" w:eastAsia="Cambria" w:hAnsi="Cambria"/>
          <w:color w:val="0000CC"/>
          <w:sz w:val="24"/>
          <w:szCs w:val="24"/>
        </w:rPr>
        <w:t xml:space="preserve">RO5 is realised through the temporal and lifecycle state held in the Model and the corresponding predicates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 and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evaluated by the Controller before any access decision is produced. RO6 operates across all three layers, since the evidence generated by the Controller and stored in the Model is what the empirical validation and the independent verifier examine.</w:t>
      </w:r>
    </w:p>
    <w:p>
      <w:pPr>
        <w:pStyle w:val="Heading2"/>
        <w:spacing w:after="160" w:before="280"/>
      </w:pPr>
      <w:r>
        <w:rPr>
          <w:rFonts w:ascii="Cambria" w:cs="Cambria" w:eastAsia="Cambria" w:hAnsi="Cambria"/>
          <w:sz w:val="24"/>
          <w:szCs w:val="24"/>
        </w:rPr>
        <w:t xml:space="preserve">5.11  Architectural Contribution and Scope</w:t>
      </w:r>
    </w:p>
    <w:p>
      <w:pPr>
        <w:spacing w:after="140" w:line="300"/>
        <w:jc w:val="both"/>
      </w:pPr>
      <w:r>
        <w:rPr>
          <w:rFonts w:ascii="Cambria" w:cs="Cambria" w:eastAsia="Cambria" w:hAnsi="Cambria"/>
          <w:sz w:val="24"/>
          <w:szCs w:val="24"/>
        </w:rP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 This design transforms multi-party consent management from a conventional record-management problem into a distributed security-governance problem. </w:t>
      </w:r>
      <w:r>
        <w:rPr>
          <w:rFonts w:ascii="Cambria" w:cs="Cambria" w:eastAsia="Cambria" w:hAnsi="Cambria"/>
          <w:color w:val="E6007E"/>
          <w:sz w:val="24"/>
          <w:szCs w:val="24"/>
        </w:rPr>
        <w:t xml:space="preserve">The key innovation is not the evaluable consent object as such, which the literature provides [71, 37, 44, 58], but the conjunction in which the effectiveness of the consent depends on the joint satisfaction of identity, authority, collective approval, policy, temporal and jurisdictional conditions on every access decision, and the assurance of that conjunction.</w:t>
      </w:r>
      <w:r>
        <w:rPr>
          <w:rFonts w:ascii="Cambria" w:cs="Cambria" w:eastAsia="Cambria" w:hAnsi="Cambria"/>
          <w:sz w:val="24"/>
          <w:szCs w:val="24"/>
        </w:rPr>
        <w:t xml:space="preserve"> For the current stage, the </w:t>
      </w:r>
      <w:r>
        <w:rPr>
          <w:rFonts w:ascii="Cambria" w:cs="Cambria" w:eastAsia="Cambria" w:hAnsi="Cambria"/>
          <w:color w:val="E6007E"/>
          <w:sz w:val="24"/>
          <w:szCs w:val="24"/>
        </w:rPr>
        <w:t xml:space="preserve">architecture therefore establishes the mechanisms required to answer RQ1–RQ5, while RQ6 is addressed empirically through the prototype evaluation in Section 6.8 and formally in the next stage.</w:t>
      </w:r>
      <w:r>
        <w:rPr>
          <w:rFonts w:ascii="Cambria" w:cs="Cambria" w:eastAsia="Cambria" w:hAnsi="Cambria"/>
          <w:sz w:val="24"/>
          <w:szCs w:val="24"/>
        </w:rPr>
        <w:t xml:space="preserve"> The implemented HALAH prototype provides the practical</w:t>
      </w:r>
    </w:p>
    <w:p>
      <w:pPr>
        <w:keepNext/>
        <w:spacing w:after="80" w:before="160"/>
        <w:jc w:val="center"/>
      </w:pPr>
      <w:r>
        <w:rPr>
          <w:rFonts w:ascii="Cambria" w:cs="Cambria" w:eastAsia="Cambria" w:hAnsi="Cambria"/>
          <w:b/>
          <w:bCs/>
          <w:color w:val="000000"/>
          <w:sz w:val="21"/>
          <w:szCs w:val="21"/>
        </w:rPr>
        <w:t xml:space="preserve">Table 12: </w:t>
      </w:r>
      <w:r>
        <w:rPr>
          <w:rFonts w:ascii="Cambria" w:cs="Cambria" w:eastAsia="Cambria" w:hAnsi="Cambria"/>
          <w:color w:val="000000"/>
          <w:sz w:val="21"/>
          <w:szCs w:val="21"/>
        </w:rPr>
        <w:t xml:space="preserve">Security Properties Supported by the Proposed MVC-Based Consent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Property</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Architectural Mechanism</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Significance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Identity-dependent participation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credential verification before a participant can contribute to the authorisation process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unverified entities from being treated as legitimate participants.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Authority separation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Independent evaluation of identity and role or authority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successful authentication from being interpreted as unrestricted authorisation.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authorisation integrity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Threshold evaluation over independently verified approval participants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a single participant from unilaterally activating sensitive healthcare data access when collective approval is required.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Policy-bounded access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Evaluation of purpose and requested data scope against consent policy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otherwise valid identities and approvals from being used to obtain data beyond the authorised scope.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Authorisation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Recording of verification results, approval evidence, policy evaluation, and final decisions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provide</w:t>
            </w:r>
            <w:r>
              <w:rPr>
                <w:rFonts w:ascii="Cambria" w:cs="Cambria" w:eastAsia="Cambria" w:hAnsi="Cambria"/>
                <w:b w:val="false"/>
                <w:bCs w:val="false"/>
                <w:sz w:val="19"/>
                <w:szCs w:val="19"/>
              </w:rPr>
              <w:t xml:space="preserve"> traceability and </w:t>
            </w:r>
            <w:r>
              <w:rPr>
                <w:rFonts w:ascii="Cambria" w:cs="Cambria" w:eastAsia="Cambria" w:hAnsi="Cambria"/>
                <w:b w:val="false"/>
                <w:bCs w:val="false"/>
                <w:color w:val="000000"/>
                <w:sz w:val="19"/>
                <w:szCs w:val="19"/>
              </w:rPr>
              <w:t xml:space="preserve">support</w:t>
            </w:r>
            <w:r>
              <w:rPr>
                <w:rFonts w:ascii="Cambria" w:cs="Cambria" w:eastAsia="Cambria" w:hAnsi="Cambria"/>
                <w:b w:val="false"/>
                <w:bCs w:val="false"/>
                <w:sz w:val="19"/>
                <w:szCs w:val="19"/>
              </w:rPr>
              <w:t xml:space="preserve"> accountability, auditing, and future verification.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Separation of interaction and enforcement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The View submits requests while the Controller independently determines the security decision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user-interface actions from being interpreted directly as trusted authorisation outcomes.</w:t>
            </w:r>
          </w:p>
        </w:tc>
      </w:tr>
    </w:tbl>
    <w:p>
      <w:pPr>
        <w:spacing w:after="180"/>
      </w:pPr>
    </w:p>
    <w:p>
      <w:pPr>
        <w:keepNext/>
        <w:spacing w:after="80" w:before="160"/>
        <w:jc w:val="center"/>
      </w:pPr>
      <w:r>
        <w:rPr>
          <w:rFonts w:ascii="Cambria" w:cs="Cambria" w:eastAsia="Cambria" w:hAnsi="Cambria"/>
          <w:b/>
          <w:bCs/>
          <w:color w:val="000000"/>
          <w:sz w:val="21"/>
          <w:szCs w:val="21"/>
        </w:rPr>
        <w:t xml:space="preserve">Table 13: </w:t>
      </w:r>
      <w:r>
        <w:rPr>
          <w:rFonts w:ascii="Cambria" w:cs="Cambria" w:eastAsia="Cambria" w:hAnsi="Cambria"/>
          <w:color w:val="000000"/>
          <w:sz w:val="21"/>
          <w:szCs w:val="21"/>
        </w:rPr>
        <w:t xml:space="preserve">Mapping Between Research Objectives and MVC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MVC Component</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Core Mechanism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Contribution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Trust-aware consent representation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Transforms consent from a passive permission record into a structured and evaluable authorisation object.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VC verification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trustworthy participants while explicitly separating identity from authorisation authority.</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Verified multi-party threshold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collective trust and prevents unilateral authorisation when multiple approvals are required.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purpose, and data-scope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valid participants and sufficient approvals remain constrained by the authorised purpose and healthcare data scope.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Temporal validity and consent lifecycle enforcement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View,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analysis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Will provide formal assurance (next stage)</w:t>
            </w:r>
            <w:r>
              <w:rPr>
                <w:rFonts w:ascii="Cambria" w:cs="Cambria" w:eastAsia="Cambria" w:hAnsi="Cambria"/>
                <w:b w:val="false"/>
                <w:bCs w:val="false"/>
                <w:sz w:val="19"/>
                <w:szCs w:val="19"/>
              </w:rPr>
              <w:t xml:space="preserve"> of the defined trust and authorisation properties and empirically evaluates whether the implemented framework correctly enforces authorised and unauthorised healthcare data-access decisions.</w:t>
            </w:r>
          </w:p>
        </w:tc>
      </w:tr>
    </w:tbl>
    <w:p>
      <w:pPr>
        <w:spacing w:after="180"/>
      </w:pPr>
    </w:p>
    <w:p>
      <w:pPr>
        <w:spacing w:after="140" w:line="300"/>
        <w:jc w:val="both"/>
      </w:pPr>
      <w:r>
        <w:rPr>
          <w:rFonts w:ascii="Cambria" w:cs="Cambria" w:eastAsia="Cambria" w:hAnsi="Cambria"/>
          <w:sz w:val="24"/>
          <w:szCs w:val="24"/>
        </w:rPr>
        <w:t xml:space="preserve">environment in which these mechanisms can be instantiated and evaluated through representative healthcare data-sharing scenarios. The subsequent </w:t>
      </w:r>
      <w:r>
        <w:rPr>
          <w:rFonts w:ascii="Cambria" w:cs="Cambria" w:eastAsia="Cambria" w:hAnsi="Cambria"/>
          <w:color w:val="E6007E"/>
          <w:sz w:val="24"/>
          <w:szCs w:val="24"/>
        </w:rPr>
        <w:t xml:space="preserve">stage will extend the assurance of the architecture rather than its mechanisms.</w:t>
      </w:r>
      <w:r>
        <w:rPr>
          <w:rFonts w:ascii="Cambria" w:cs="Cambria" w:eastAsia="Cambria" w:hAnsi="Cambria"/>
          <w:sz w:val="24"/>
          <w:szCs w:val="24"/>
        </w:rPr>
        <w:t xml:space="preserve"> </w:t>
      </w:r>
      <w:r>
        <w:rPr>
          <w:rFonts w:ascii="Cambria" w:cs="Cambria" w:eastAsia="Cambria" w:hAnsi="Cambria"/>
          <w:color w:val="E6007E"/>
          <w:sz w:val="24"/>
          <w:szCs w:val="24"/>
        </w:rPr>
        <w:t xml:space="preserve">The consent Model already includes temporal validity, expiration, revocation, and controlled lifecycle transitions, as defined in Section 5.3 and realised in the implemented prototype described in Section 6.8.</w:t>
      </w:r>
      <w:r>
        <w:rPr>
          <w:rFonts w:ascii="Cambria" w:cs="Cambria" w:eastAsia="Cambria" w:hAnsi="Cambria"/>
          <w:sz w:val="24"/>
          <w:szCs w:val="24"/>
        </w:rPr>
        <w:t xml:space="preserve"> </w:t>
      </w:r>
      <w:r>
        <w:rPr>
          <w:rFonts w:ascii="Cambria" w:cs="Cambria" w:eastAsia="Cambria" w:hAnsi="Cambria"/>
          <w:color w:val="E6007E"/>
          <w:sz w:val="24"/>
          <w:szCs w:val="24"/>
        </w:rPr>
        <w:t xml:space="preserve">The Controller therefore already evaluates the corresponding temporal predicate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(C, t) and jurisdictional predicate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within the authorisation decision, as expressed in Eq. (26) and enforced in the prototype.</w:t>
      </w:r>
      <w:r>
        <w:rPr>
          <w:rFonts w:ascii="Cambria" w:cs="Cambria" w:eastAsia="Cambria" w:hAnsi="Cambria"/>
          <w:sz w:val="24"/>
          <w:szCs w:val="24"/>
        </w:rPr>
        <w:t xml:space="preserve"> In addition, the complete decision model will be subjected to formal security analysis and broader empirical validation. Accordingly, the current stage architecture establishes the foundational security core of the research, while </w:t>
      </w:r>
      <w:r>
        <w:rPr>
          <w:rFonts w:ascii="Cambria" w:cs="Cambria" w:eastAsia="Cambria" w:hAnsi="Cambria"/>
          <w:color w:val="000000"/>
          <w:sz w:val="24"/>
          <w:szCs w:val="24"/>
        </w:rPr>
        <w:t xml:space="preserve">the next stage will</w:t>
      </w:r>
      <w:r>
        <w:rPr>
          <w:rFonts w:ascii="Cambria" w:cs="Cambria" w:eastAsia="Cambria" w:hAnsi="Cambria"/>
          <w:sz w:val="24"/>
          <w:szCs w:val="24"/>
        </w:rPr>
        <w:t xml:space="preserve"> investigate whether this core can maintain trust dynamically over time </w:t>
      </w:r>
      <w:r>
        <w:rPr>
          <w:rFonts w:ascii="Cambria" w:cs="Cambria" w:eastAsia="Cambria" w:hAnsi="Cambria"/>
          <w:color w:val="000000"/>
          <w:sz w:val="24"/>
          <w:szCs w:val="24"/>
        </w:rPr>
        <w:t xml:space="preserve">beyond the lifecycle mechanisms already demonstrated in the prototype</w:t>
      </w:r>
      <w:r>
        <w:rPr>
          <w:rFonts w:ascii="Cambria" w:cs="Cambria" w:eastAsia="Cambria" w:hAnsi="Cambria"/>
          <w:sz w:val="24"/>
          <w:szCs w:val="24"/>
        </w:rPr>
        <w:t xml:space="preserve">, satisfy formally defined security properties, and consistently enforce the complete trust-oriented authorisation model under representative and adversarial healthcare data-sharing conditions.</w:t>
      </w:r>
    </w:p>
    <w:p>
      <w:pPr>
        <w:pStyle w:val="Heading1"/>
        <w:pageBreakBefore/>
        <w:spacing w:after="160" w:before="400"/>
      </w:pPr>
      <w:r>
        <w:rPr>
          <w:rFonts w:ascii="Cambria" w:cs="Cambria" w:eastAsia="Cambria" w:hAnsi="Cambria"/>
          <w:sz w:val="24"/>
          <w:szCs w:val="24"/>
        </w:rPr>
        <w:t xml:space="preserve">6  Proposed Solution</w:t>
      </w:r>
    </w:p>
    <w:p>
      <w:pPr>
        <w:spacing w:after="140" w:line="300"/>
        <w:jc w:val="both"/>
      </w:pPr>
      <w:r>
        <w:rPr>
          <w:rFonts w:ascii="Cambria" w:cs="Cambria" w:eastAsia="Cambria" w:hAnsi="Cambria"/>
          <w:color w:val="0000CC"/>
          <w:sz w:val="24"/>
          <w:szCs w:val="24"/>
        </w:rPr>
        <w:t xml:space="preserve">This chapter presents the proposed solution as six mechanisms, one for each research objective. Sections 6.1 to 6.6 define, for each objective, the formal condition, the workflow, the step-wise procedure and the corresponding algorithm, and each section also states which part of the mechanism is exercised by the current prototype and which part is reserved for the next stage. Section 6.7 relates the six algorithms to the research objectives, and Section 6.8 presents the implementation and the live demonstration of the framework on the Ethereum Sepolia testnet. Throughout the chapter, C denotes the consent object, G the guardian set, N the approval threshold, D the authorised doctor, R an access request and t the evaluation time.</w:t>
      </w:r>
    </w:p>
    <w:p>
      <w:pPr>
        <w:pStyle w:val="Heading2"/>
        <w:spacing w:after="160" w:before="280"/>
      </w:pPr>
      <w:r>
        <w:rPr>
          <w:rFonts w:ascii="Cambria" w:cs="Cambria" w:eastAsia="Cambria" w:hAnsi="Cambria"/>
          <w:sz w:val="24"/>
          <w:szCs w:val="24"/>
        </w:rPr>
        <w:t xml:space="preserve">6.1  Trust-Centric Consent Model for RO1</w:t>
      </w:r>
    </w:p>
    <w:p>
      <w:pPr>
        <w:spacing w:after="140" w:line="300"/>
        <w:jc w:val="both"/>
      </w:pPr>
      <w:r>
        <w:rPr>
          <w:rFonts w:ascii="Cambria" w:cs="Cambria" w:eastAsia="Cambria" w:hAnsi="Cambria"/>
          <w:sz w:val="24"/>
          <w:szCs w:val="24"/>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(46)</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w:t>
      </w:r>
    </w:p>
    <w:p>
      <w:pPr>
        <w:spacing w:after="140" w:line="300"/>
        <w:jc w:val="both"/>
      </w:pPr>
      <w:r>
        <w:rPr>
          <w:rFonts w:ascii="Cambria" w:cs="Cambria" w:eastAsia="Cambria" w:hAnsi="Cambria"/>
          <w:color w:val="E6007E"/>
          <w:sz w:val="24"/>
          <w:szCs w:val="24"/>
        </w:rPr>
        <w:t xml:space="preserve">In addition, I represents patient and participant identity information, A represents authorisation requirements, P represents policy constraints, and E represents authorisation evidence. The temporal component defines the interval during which the consent may be exercised, and the jurisdictional component defines the territory in which it may be exercised.</w:t>
      </w:r>
      <w:r>
        <w:rPr>
          <w:rFonts w:ascii="Cambria" w:cs="Cambria" w:eastAsia="Cambria" w:hAnsi="Cambria"/>
          <w:sz w:val="24"/>
          <w:szCs w:val="24"/>
        </w:rPr>
        <w:t xml:space="preserv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3"/>
        <w:spacing w:after="160" w:before="280"/>
      </w:pPr>
      <w:r>
        <w:rPr>
          <w:rFonts w:ascii="Cambria" w:cs="Cambria" w:eastAsia="Cambria" w:hAnsi="Cambria"/>
          <w:sz w:val="24"/>
          <w:szCs w:val="24"/>
        </w:rPr>
        <w:t xml:space="preserve">6.1.1  RO1 Consent Creation Workflow</w:t>
      </w:r>
    </w:p>
    <w:p>
      <w:pPr>
        <w:spacing w:after="140" w:line="300"/>
        <w:jc w:val="both"/>
      </w:pPr>
      <w:r>
        <w:rPr>
          <w:rFonts w:ascii="Cambria" w:cs="Cambria" w:eastAsia="Cambria" w:hAnsi="Cambria"/>
          <w:sz w:val="24"/>
          <w:szCs w:val="24"/>
        </w:rPr>
        <w:t xml:space="preserve">The following workflow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w:t>
      </w:r>
    </w:p>
    <w:p>
      <w:pPr>
        <w:keepNext/>
        <w:spacing w:after="60" w:before="140"/>
        <w:jc w:val="center"/>
      </w:pPr>
      <w:r>
        <w:drawing>
          <wp:inline distT="0" distB="0" distL="0" distR="0">
            <wp:extent cx="3619500" cy="6410325"/>
            <wp:effectExtent t="0" r="0" b="0" l="0"/>
            <wp:docPr id="1" name="gfig7.png" descr="Figure 10: RO1 workflow for trust-centric consent creation" title="Figure 10: 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64103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10: RO1 workflow for trust-centric consent creation</w:t>
      </w:r>
    </w:p>
    <w:p>
      <w:pPr>
        <w:spacing w:after="140" w:line="300"/>
        <w:jc w:val="both"/>
      </w:pPr>
      <w:r>
        <w:rPr>
          <w:rFonts w:ascii="Cambria" w:cs="Cambria" w:eastAsia="Cambria" w:hAnsi="Cambria"/>
          <w:color w:val="000000"/>
          <w:sz w:val="24"/>
          <w:szCs w:val="24"/>
        </w:rPr>
        <w:t xml:space="preserve">Whereas Figure 10 describes the behaviour of consent creation, Figure 11 presents the structure of the resulting consent object. It shows each of the six components of C = (I, A, P, T, L, E), the content that each component holds in the HALAH system, and the party that supplies it. The patient supplies the identity, authority, policy, temporal and jurisdictional components; the threshold N = |G| and the consent identifier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are generated by the system; and the evidence component is accumulated by the audit layer, the guardians' signatures and the blockchain as the consent progresses.</w:t>
      </w:r>
    </w:p>
    <w:p>
      <w:pPr>
        <w:keepNext/>
        <w:spacing w:after="60" w:before="140"/>
        <w:jc w:val="center"/>
      </w:pPr>
      <w:r>
        <w:drawing>
          <wp:inline distT="0" distB="0" distL="0" distR="0">
            <wp:extent cx="5715000" cy="3162300"/>
            <wp:effectExtent t="0" r="0" b="0" l="0"/>
            <wp:docPr id="1" name="gfig_hub.png" descr="Figure 11: Six-component trust-centric consent model C = (I, A, P, T, L, E), showing the content and the supplier of each component, the system-generated consent identifier, and the lifecycle state carried by the consent object." title="Figure 11: Six-component trust-centric consent model C = (I, A, P, T, L, E), showing the content and the supplier of each component, the system-generated consent identifier, and the lifecycle state carried by the consen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11: Six-component trust-centric consent model C = (I, A, P, T, L, E), showing the content and the supplier of each component, the system-generated consent identifier, and the lifecycle state carried by the consent object.</w:t>
      </w:r>
    </w:p>
    <w:p>
      <w:pPr>
        <w:spacing w:after="140" w:line="300"/>
        <w:jc w:val="both"/>
      </w:pPr>
      <w:r>
        <w:rPr>
          <w:rFonts w:ascii="Cambria" w:cs="Cambria" w:eastAsia="Cambria" w:hAnsi="Cambria"/>
          <w:sz w:val="24"/>
          <w:szCs w:val="24"/>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p>
      <w:pPr>
        <w:spacing w:after="140" w:line="300"/>
        <w:jc w:val="both"/>
      </w:pPr>
      <w:r>
        <w:rPr>
          <w:rFonts w:ascii="Cambria" w:cs="Cambria" w:eastAsia="Cambria" w:hAnsi="Cambria"/>
          <w:color w:val="000000"/>
          <w:sz w:val="24"/>
          <w:szCs w:val="24"/>
        </w:rPr>
        <w:t xml:space="preserve">The declared jurisdiction L is validated as a well-formed ISO alpha-2 territory code, AU in the demonstrated transactions, and is bound to the consent object at creation. This is important because the subsequent access decision is evaluated against it. Consequently, the construction sequence becomes I</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D → G → P</w:t>
      </w:r>
      <w:r>
        <w:rPr>
          <w:rFonts w:ascii="Cambria" w:cs="Cambria" w:eastAsia="Cambria" w:hAnsi="Cambria"/>
          <w:color w:val="000000"/>
          <w:sz w:val="24"/>
          <w:szCs w:val="24"/>
          <w:vertAlign w:val="subscript"/>
        </w:rPr>
        <w:t xml:space="preserve">u</w:t>
      </w:r>
      <w:r>
        <w:rPr>
          <w:rFonts w:ascii="Cambria" w:cs="Cambria" w:eastAsia="Cambria" w:hAnsi="Cambria"/>
          <w:color w:val="000000"/>
          <w:sz w:val="24"/>
          <w:szCs w:val="24"/>
        </w:rPr>
        <w:t xml:space="preserve"> → S</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T → L → A →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C → E.</w:t>
      </w:r>
    </w:p>
    <w:p>
      <w:pPr>
        <w:pStyle w:val="Heading3"/>
        <w:spacing w:after="160" w:before="280"/>
      </w:pPr>
      <w:r>
        <w:rPr>
          <w:rFonts w:ascii="Cambria" w:cs="Cambria" w:eastAsia="Cambria" w:hAnsi="Cambria"/>
          <w:sz w:val="24"/>
          <w:szCs w:val="24"/>
        </w:rPr>
        <w:t xml:space="preserve">6.1.2  Procedure for Trust-Aware Consent Creation</w:t>
      </w:r>
    </w:p>
    <w:p>
      <w:pPr>
        <w:spacing w:after="140" w:line="300"/>
        <w:jc w:val="both"/>
      </w:pPr>
      <w:r>
        <w:rPr>
          <w:rFonts w:ascii="Cambria" w:cs="Cambria" w:eastAsia="Cambria" w:hAnsi="Cambria"/>
          <w:sz w:val="24"/>
          <w:szCs w:val="24"/>
        </w:rP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 1. Step 1 – Validate Patient Identity. The system first validates the patient’s identity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The identity is checked against the available identity and credential verification mechanisms to ensure that the consent request originates from a recognised patient entity. If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cannot be successfully validated, the procedure terminates immediately and returns REJECT. 2. Step 2 – Validate the Authorised Doctor. 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 3. Step 3 – Validate Guardian or Proxy Participants. 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 4. Step 4 – Validate the Intended Purpose. The intended data-use purpose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is validated to ensure that the purpose is explicitly specified and conforms to the supported healthcare-use policies. The purpose is subsequently bound to the consent object so that authorisation is not interpreted as unrestricted access to the patient’s healthcare information. 5. Step 5 – Validate the Data Scope. The requested data scope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 6. Step 6 – Validate the Consent Validity Interval. The system validates the temporal validity interval T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where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represents the consent start time and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represents the expiration time. The system verifies that the interval is logically valid by requiring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&gt;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If this condition is not satisfied, the consent request is rejected.</w:t>
      </w:r>
    </w:p>
    <w:p>
      <w:pPr>
        <w:spacing w:after="140" w:line="300"/>
        <w:jc w:val="both"/>
      </w:pPr>
      <w:r>
        <w:rPr>
          <w:rFonts w:ascii="Cambria" w:cs="Cambria" w:eastAsia="Cambria" w:hAnsi="Cambria"/>
          <w:color w:val="E6007E"/>
          <w:sz w:val="24"/>
          <w:szCs w:val="24"/>
        </w:rPr>
        <w:t xml:space="preserve">In the current prototype the identity validation of Steps 1 to 3 is a structural check that each identifier constitutes a well-formed DID.</w:t>
      </w:r>
      <w:r>
        <w:rPr>
          <w:rFonts w:ascii="Cambria" w:cs="Cambria" w:eastAsia="Cambria" w:hAnsi="Cambria"/>
          <w:color w:val="000000"/>
          <w:sz w:val="24"/>
          <w:szCs w:val="24"/>
        </w:rPr>
        <w:t xml:space="preserve"> The doctor is not independently authenticated at this stage, and credential-based verification of the presented identity is deferred to the production design.</w:t>
      </w:r>
    </w:p>
    <w:p>
      <w:pPr>
        <w:spacing w:after="140" w:line="300"/>
        <w:jc w:val="both"/>
      </w:pPr>
      <w:r>
        <w:rPr>
          <w:rFonts w:ascii="Cambria" w:cs="Cambria" w:eastAsia="Cambria" w:hAnsi="Cambria"/>
          <w:color w:val="0000CC"/>
          <w:sz w:val="24"/>
          <w:szCs w:val="24"/>
        </w:rPr>
        <w:t xml:space="preserve">The declared jurisdiction L is then validated as a well-formed ISO alpha-2 territory code and bound to the consent object, as described in Section 6.1.1, so that the subsequent jurisdictional check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can be evaluated against it.</w:t>
      </w:r>
    </w:p>
    <w:p>
      <w:pPr>
        <w:spacing w:after="140" w:line="300"/>
        <w:jc w:val="both"/>
      </w:pPr>
      <w:r>
        <w:rPr>
          <w:rFonts w:ascii="Cambria" w:cs="Cambria" w:eastAsia="Cambria" w:hAnsi="Cambria"/>
          <w:sz w:val="24"/>
          <w:szCs w:val="24"/>
        </w:rPr>
        <w:t xml:space="preserve">7. Step 7 – Define the Authorisation Requirement. 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 8. Step 8 – Generate a Unique Consent Identifier. The system generates a unique consent identifier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t>
      </w:r>
      <w:r>
        <w:rPr>
          <w:rFonts w:ascii="Cambria" w:cs="Cambria" w:eastAsia="Cambria" w:hAnsi="Cambria"/>
          <w:color w:val="000000"/>
          <w:sz w:val="24"/>
          <w:szCs w:val="24"/>
        </w:rPr>
        <w:t xml:space="preserve">The identifier is not supplied by any participant: it is generated by the Consent Service at the moment the patient submits the consent, as a universally unique identifier (UUID). It is then displayed to the patient, who shares it with the designated guardians and the authorised doctor so that they can approve the consent or request access. Possession of the identifier alone grants no access, because every subsequent request is evaluated by the complete decision rule, and the on-chain token identifier is assigned separately by the smart contract only when the consent is activated.</w:t>
      </w:r>
      <w:r>
        <w:rPr>
          <w:rFonts w:ascii="Cambria" w:cs="Cambria" w:eastAsia="Cambria" w:hAnsi="Cambria"/>
          <w:sz w:val="24"/>
          <w:szCs w:val="24"/>
        </w:rPr>
        <w:t xml:space="preserve"> This identifier provides a persistent reference to the consent object and enables subsequent operations, including consent verification, access authorisation, modification, revocation, and audit. 9. Step 9 – Construct the Consent Object. The validated information is combined to construct the consent object </w:t>
      </w:r>
      <w:r>
        <w:rPr>
          <w:rFonts w:ascii="Cambria" w:cs="Cambria" w:eastAsia="Cambria" w:hAnsi="Cambria"/>
          <w:color w:val="000000"/>
          <w:sz w:val="24"/>
          <w:szCs w:val="24"/>
        </w:rPr>
        <w:t xml:space="preserve">C = (I, A, P, T, L, E)</w:t>
      </w:r>
      <w:r>
        <w:rPr>
          <w:rFonts w:ascii="Cambria" w:cs="Cambria" w:eastAsia="Cambria" w:hAnsi="Cambria"/>
          <w:sz w:val="24"/>
          <w:szCs w:val="24"/>
        </w:rPr>
        <w:t xml:space="preserve">, where I represents the verified identity information, A represents the authorisation requirements, P represents the consent purpose and associated permissions, and E represents the evidence associated with the consent decision. The resulting object therefore captures not only the patient’s preference but also the evidence required to support subsequent authorisation decisions. 10. Step 10 – Persist the Consent Object. The constructed consent object C is persisted in the consent-management infrastructure. The persistence mechanism provides a stable representation of the consent state that can subsequently be referenced by the access-control and authorisation components. 11. Step 11 – Record Consent Creation Evidence. 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 12. Step 12 – Return the Consent Result. If all validation and construction operations are completed successfully, the system returns the newly created consent object C. If any mandatory validation fails during the process, the system terminates the procedure and returns REJECT. The overall procedure can therefore be represented as a sequential trust establishment process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 D → G →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w:t>
      </w:r>
      <w:r>
        <w:rPr>
          <w:rFonts w:ascii="Cambria" w:cs="Cambria" w:eastAsia="Cambria" w:hAnsi="Cambria"/>
          <w:color w:val="000000"/>
          <w:sz w:val="24"/>
          <w:szCs w:val="24"/>
        </w:rPr>
        <w:t xml:space="preserve">L → </w:t>
      </w:r>
      <w:r>
        <w:rPr>
          <w:rFonts w:ascii="Cambria" w:cs="Cambria" w:eastAsia="Cambria" w:hAnsi="Cambria"/>
          <w:sz w:val="24"/>
          <w:szCs w:val="24"/>
        </w:rPr>
        <w:t xml:space="preserve">A →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C → E. 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Bdr>
          <w:top w:val="single" w:color="000000" w:sz="12"/>
          <w:bottom w:val="single" w:color="000000" w:sz="6"/>
        </w:pBdr>
        <w:spacing w:after="40" w:before="220"/>
      </w:pPr>
      <w:r>
        <w:rPr>
          <w:rFonts w:ascii="Cambria" w:cs="Cambria" w:eastAsia="Cambria" w:hAnsi="Cambria"/>
          <w:b/>
          <w:bCs/>
          <w:sz w:val="21"/>
          <w:szCs w:val="21"/>
        </w:rPr>
        <w:t xml:space="preserve">Algorithm 1 </w:t>
      </w:r>
      <w:r>
        <w:rPr>
          <w:rFonts w:ascii="Cambria" w:cs="Cambria" w:eastAsia="Cambria" w:hAnsi="Cambria"/>
          <w:sz w:val="21"/>
          <w:szCs w:val="21"/>
        </w:rPr>
        <w:t xml:space="preserve">Trust-Aware Consent Creation</w:t>
      </w:r>
    </w:p>
    <w:p>
      <w:pPr>
        <w:spacing w:after="20"/>
      </w:pPr>
      <w:r>
        <w:rPr>
          <w:rFonts w:ascii="Cambria" w:cs="Cambria" w:eastAsia="Cambria" w:hAnsi="Cambria"/>
          <w:b/>
          <w:bCs/>
          <w:sz w:val="21"/>
          <w:szCs w:val="21"/>
        </w:rPr>
        <w:t xml:space="preserve">Require: </w:t>
      </w:r>
      <w:r>
        <w:rPr>
          <w:rFonts w:ascii="Cambria" w:cs="Cambria" w:eastAsia="Cambria" w:hAnsi="Cambria"/>
          <w:color w:val="E6007E"/>
          <w:sz w:val="21"/>
          <w:szCs w:val="21"/>
        </w:rPr>
        <w:t xml:space="preserve">Patient identity I</w:t>
      </w:r>
      <w:r>
        <w:rPr>
          <w:rFonts w:ascii="Cambria" w:cs="Cambria" w:eastAsia="Cambria" w:hAnsi="Cambria"/>
          <w:color w:val="E6007E"/>
          <w:sz w:val="21"/>
          <w:szCs w:val="21"/>
          <w:vertAlign w:val="subscript"/>
        </w:rPr>
        <w:t xml:space="preserve">p</w:t>
      </w:r>
      <w:r>
        <w:rPr>
          <w:rFonts w:ascii="Cambria" w:cs="Cambria" w:eastAsia="Cambria" w:hAnsi="Cambria"/>
          <w:color w:val="E6007E"/>
          <w:sz w:val="21"/>
          <w:szCs w:val="21"/>
        </w:rPr>
        <w:t xml:space="preserve">, authorised doctor D, guardian set G, purpose P</w:t>
      </w:r>
      <w:r>
        <w:rPr>
          <w:rFonts w:ascii="Cambria" w:cs="Cambria" w:eastAsia="Cambria" w:hAnsi="Cambria"/>
          <w:color w:val="E6007E"/>
          <w:sz w:val="21"/>
          <w:szCs w:val="21"/>
          <w:vertAlign w:val="subscript"/>
        </w:rPr>
        <w:t xml:space="preserve">u</w:t>
      </w:r>
      <w:r>
        <w:rPr>
          <w:rFonts w:ascii="Cambria" w:cs="Cambria" w:eastAsia="Cambria" w:hAnsi="Cambria"/>
          <w:color w:val="E6007E"/>
          <w:sz w:val="21"/>
          <w:szCs w:val="21"/>
        </w:rPr>
        <w:t xml:space="preserve">, data scope S</w:t>
      </w:r>
      <w:r>
        <w:rPr>
          <w:rFonts w:ascii="Cambria" w:cs="Cambria" w:eastAsia="Cambria" w:hAnsi="Cambria"/>
          <w:color w:val="E6007E"/>
          <w:sz w:val="21"/>
          <w:szCs w:val="21"/>
          <w:vertAlign w:val="subscript"/>
        </w:rPr>
        <w:t xml:space="preserve">C</w:t>
      </w:r>
      <w:r>
        <w:rPr>
          <w:rFonts w:ascii="Cambria" w:cs="Cambria" w:eastAsia="Cambria" w:hAnsi="Cambria"/>
          <w:color w:val="E6007E"/>
          <w:sz w:val="21"/>
          <w:szCs w:val="21"/>
        </w:rPr>
        <w:t xml:space="preserve">, validity interval T, jurisdiction L</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Consent object C or rejection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Validate I</w:t>
      </w:r>
      <w:r>
        <w:rPr>
          <w:rFonts w:ascii="Cambria" w:cs="Cambria" w:eastAsia="Cambria" w:hAnsi="Cambria"/>
          <w:sz w:val="21"/>
          <w:szCs w:val="21"/>
          <w:vertAlign w:val="subscript"/>
        </w:rPr>
        <w:t xml:space="preserve">p</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is invalid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Validate authorised doctor D</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Validate guardian set G</w:t>
      </w:r>
    </w:p>
    <w:p>
      <w:pPr>
        <w:spacing w:after="20"/>
        <w:ind w:left="240"/>
      </w:pPr>
      <w:r>
        <w:rPr>
          <w:rFonts w:ascii="Cambria" w:cs="Cambria" w:eastAsia="Cambria" w:hAnsi="Cambria"/>
          <w:color w:val="555555"/>
          <w:sz w:val="18"/>
          <w:szCs w:val="18"/>
        </w:rPr>
        <w:t xml:space="preserve">7:  </w:t>
      </w:r>
      <w:r>
        <w:rPr>
          <w:rFonts w:ascii="Cambria" w:cs="Cambria" w:eastAsia="Cambria" w:hAnsi="Cambria"/>
          <w:sz w:val="21"/>
          <w:szCs w:val="21"/>
        </w:rPr>
        <w:t xml:space="preserve">Validate purpose P</w:t>
      </w:r>
      <w:r>
        <w:rPr>
          <w:rFonts w:ascii="Cambria" w:cs="Cambria" w:eastAsia="Cambria" w:hAnsi="Cambria"/>
          <w:sz w:val="21"/>
          <w:szCs w:val="21"/>
          <w:vertAlign w:val="subscript"/>
        </w:rPr>
        <w:t xml:space="preserve">u</w:t>
      </w:r>
    </w:p>
    <w:p>
      <w:pPr>
        <w:spacing w:after="20"/>
        <w:ind w:left="240"/>
      </w:pPr>
      <w:r>
        <w:rPr>
          <w:rFonts w:ascii="Cambria" w:cs="Cambria" w:eastAsia="Cambria" w:hAnsi="Cambria"/>
          <w:color w:val="555555"/>
          <w:sz w:val="18"/>
          <w:szCs w:val="18"/>
        </w:rPr>
        <w:t xml:space="preserve">8:  </w:t>
      </w:r>
      <w:r>
        <w:rPr>
          <w:rFonts w:ascii="Cambria" w:cs="Cambria" w:eastAsia="Cambria" w:hAnsi="Cambria"/>
          <w:sz w:val="21"/>
          <w:szCs w:val="21"/>
        </w:rPr>
        <w:t xml:space="preserve">Validate data scope S</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Validate validity interval T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color w:val="E6007E"/>
          <w:sz w:val="21"/>
          <w:szCs w:val="21"/>
        </w:rPr>
        <w:t xml:space="preserve">Validate jurisdiction L; define authorisation requirement A</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Generate consent identifier id</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000000"/>
          <w:sz w:val="18"/>
          <w:szCs w:val="18"/>
        </w:rPr>
        <w:t xml:space="preserve">15:  </w:t>
      </w:r>
      <w:r>
        <w:rPr>
          <w:rFonts w:ascii="Cambria" w:cs="Cambria" w:eastAsia="Cambria" w:hAnsi="Cambria"/>
          <w:color w:val="000000"/>
          <w:sz w:val="21"/>
          <w:szCs w:val="21"/>
        </w:rPr>
        <w:t xml:space="preserve">Construct C = (I, A, P, T, L, E)</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Persist C</w:t>
      </w:r>
    </w:p>
    <w:p>
      <w:pPr>
        <w:spacing w:after="20"/>
        <w:ind w:left="240"/>
      </w:pPr>
      <w:r>
        <w:rPr>
          <w:rFonts w:ascii="Cambria" w:cs="Cambria" w:eastAsia="Cambria" w:hAnsi="Cambria"/>
          <w:color w:val="000000"/>
          <w:sz w:val="18"/>
          <w:szCs w:val="18"/>
        </w:rPr>
        <w:t xml:space="preserve">17:  </w:t>
      </w:r>
      <w:r>
        <w:rPr>
          <w:rFonts w:ascii="Cambria" w:cs="Cambria" w:eastAsia="Cambria" w:hAnsi="Cambria"/>
          <w:color w:val="000000"/>
          <w:sz w:val="21"/>
          <w:szCs w:val="21"/>
        </w:rPr>
        <w:t xml:space="preserve">state ← PENDING_SIGNATURE   ▷ nothing is anchored on-chain until all guardians approve</w:t>
      </w:r>
    </w:p>
    <w:p>
      <w:pPr>
        <w:spacing w:after="20"/>
        <w:ind w:left="24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consent creation evidence</w:t>
      </w:r>
    </w:p>
    <w:p>
      <w:pPr>
        <w:spacing w:after="20"/>
        <w:ind w:left="24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C</w:t>
      </w:r>
    </w:p>
    <w:p>
      <w:pPr>
        <w:pBdr>
          <w:bottom w:val="single" w:color="000000" w:sz="12"/>
        </w:pBdr>
        <w:spacing w:after="60"/>
      </w:pPr>
    </w:p>
    <w:p>
      <w:pPr>
        <w:spacing w:after="160"/>
      </w:pPr>
    </w:p>
    <w:p>
      <w:pPr>
        <w:pStyle w:val="Heading3"/>
        <w:spacing w:after="160" w:before="280"/>
      </w:pPr>
      <w:r>
        <w:rPr>
          <w:rFonts w:ascii="Cambria" w:cs="Cambria" w:eastAsia="Cambria" w:hAnsi="Cambria"/>
          <w:sz w:val="24"/>
          <w:szCs w:val="24"/>
        </w:rPr>
        <w:t xml:space="preserve">6.1.3  Algorithm 1: Trust-Aware Consent Creation</w:t>
      </w:r>
    </w:p>
    <w:p>
      <w:pPr>
        <w:spacing w:after="140" w:line="300"/>
        <w:jc w:val="both"/>
      </w:pPr>
      <w:r>
        <w:rPr>
          <w:rFonts w:ascii="Cambria" w:cs="Cambria" w:eastAsia="Cambria" w:hAnsi="Cambria"/>
          <w:sz w:val="24"/>
          <w:szCs w:val="24"/>
        </w:rP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spacing w:after="160" w:before="280"/>
      </w:pPr>
      <w:r>
        <w:rPr>
          <w:rFonts w:ascii="Cambria" w:cs="Cambria" w:eastAsia="Cambria" w:hAnsi="Cambria"/>
          <w:sz w:val="24"/>
          <w:szCs w:val="24"/>
        </w:rPr>
        <w:t xml:space="preserve">6.2  Decentralised Identity and Authority Trust for RO2</w:t>
      </w:r>
    </w:p>
    <w:p>
      <w:pPr>
        <w:spacing w:after="140" w:line="300"/>
        <w:jc w:val="both"/>
      </w:pPr>
      <w:r>
        <w:rPr>
          <w:rFonts w:ascii="Cambria" w:cs="Cambria" w:eastAsia="Cambria" w:hAnsi="Cambria"/>
          <w:sz w:val="24"/>
          <w:szCs w:val="24"/>
        </w:rP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 The central principle of RO2 is</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(47)</w:t>
      </w:r>
    </w:p>
    <w:p>
      <w:pPr>
        <w:spacing w:after="140" w:line="300"/>
        <w:jc w:val="both"/>
      </w:pPr>
      <w:r>
        <w:rPr>
          <w:rFonts w:ascii="Cambria" w:cs="Cambria" w:eastAsia="Cambria" w:hAnsi="Cambria"/>
          <w:color w:val="E6007E"/>
          <w:sz w:val="24"/>
          <w:szCs w:val="24"/>
        </w:rPr>
        <w:t xml:space="preserve">A valid DID provides an identity reference, while a valid VC provides evidence associated with a participant’s role, authority, or other relevant attribute [20].</w:t>
      </w:r>
      <w:r>
        <w:rPr>
          <w:rFonts w:ascii="Cambria" w:cs="Cambria" w:eastAsia="Cambria" w:hAnsi="Cambria"/>
          <w:sz w:val="24"/>
          <w:szCs w:val="24"/>
        </w:rPr>
        <w:t xml:space="preserve"> Neither mechanism should automatically grant access to patient data. Instead, the verified identity and authority information become inputs to the subsequent authorisation process. The identity verification condition can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(48)</w:t>
      </w:r>
    </w:p>
    <w:p>
      <w:pPr>
        <w:spacing w:after="140" w:line="300"/>
        <w:jc w:val="both"/>
      </w:pPr>
      <w:r>
        <w:rPr>
          <w:rFonts w:ascii="Cambria" w:cs="Cambria" w:eastAsia="Cambria" w:hAnsi="Cambria"/>
          <w:sz w:val="24"/>
          <w:szCs w:val="24"/>
        </w:rPr>
        <w:t xml:space="preserve">where u 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p>
      <w:pPr>
        <w:pStyle w:val="Heading3"/>
        <w:spacing w:after="160" w:before="280"/>
      </w:pPr>
      <w:r>
        <w:rPr>
          <w:rFonts w:ascii="Cambria" w:cs="Cambria" w:eastAsia="Cambria" w:hAnsi="Cambria"/>
          <w:sz w:val="24"/>
          <w:szCs w:val="24"/>
        </w:rPr>
        <w:t xml:space="preserve">6.2.1  RO2 Identity and Authority Verification Workflow</w:t>
      </w:r>
    </w:p>
    <w:p>
      <w:pPr>
        <w:spacing w:after="140" w:line="300"/>
        <w:jc w:val="both"/>
      </w:pPr>
      <w:r>
        <w:rPr>
          <w:rFonts w:ascii="Cambria" w:cs="Cambria" w:eastAsia="Cambria" w:hAnsi="Cambria"/>
          <w:sz w:val="24"/>
          <w:szCs w:val="24"/>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The output of RO2 is not an access-grant decision. It is a verified identity and authority result that can be consumed by RO3 and RO4. This separation prevents a participant from obtaining access merely by presenting a valid identity credential.</w:t>
      </w:r>
    </w:p>
    <w:p>
      <w:pPr>
        <w:pStyle w:val="Heading3"/>
        <w:spacing w:after="160" w:before="280"/>
      </w:pPr>
      <w:r>
        <w:rPr>
          <w:rFonts w:ascii="Cambria" w:cs="Cambria" w:eastAsia="Cambria" w:hAnsi="Cambria"/>
          <w:sz w:val="24"/>
          <w:szCs w:val="24"/>
        </w:rPr>
        <w:t xml:space="preserve">6.2.2  Procedure for DID and VC Identity and Authority Verification</w:t>
      </w:r>
    </w:p>
    <w:p>
      <w:pPr>
        <w:spacing w:after="140" w:line="300"/>
        <w:jc w:val="both"/>
      </w:pPr>
      <w:r>
        <w:rPr>
          <w:rFonts w:ascii="Cambria" w:cs="Cambria" w:eastAsia="Cambria" w:hAnsi="Cambria"/>
          <w:sz w:val="24"/>
          <w:szCs w:val="24"/>
        </w:rP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 u, the identity information represented by the DID, the attributes contained in the associated VC, and the authority requirements specified by the consent object C. The procedure consists of the following steps. 1. Step 1 – Resolve the Participant’s DID. The system first resolves the decentralised identifier (DID) associated with participant u. DID resolution retrieves the DID-related information required to establish the participant’s decentralised identity and identify the corresponding DID document. If the DID cannot be successfully resolved, the verification process terminates and returns INVALID. 2. Step 2 – Verify the DID Document. 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 INVALID outcome.</w:t>
      </w:r>
    </w:p>
    <w:p>
      <w:pPr>
        <w:keepNext/>
        <w:spacing w:after="60" w:before="140"/>
        <w:jc w:val="center"/>
      </w:pPr>
      <w:r>
        <w:drawing>
          <wp:inline distT="0" distB="0" distL="0" distR="0">
            <wp:extent cx="4000500" cy="5495925"/>
            <wp:effectExtent t="0" r="0" b="0" l="0"/>
            <wp:docPr id="1" name="gfig8.png" descr="Figure 12: RO2 workflow for decentralised identity and authority verification" title="Figure 12: RO2 workflow for decentralised identity and authority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5495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12: RO2 workflow for decentralised identity and authority verification</w:t>
      </w:r>
    </w:p>
    <w:p>
      <w:pPr>
        <w:spacing w:after="140" w:line="300"/>
        <w:jc w:val="both"/>
      </w:pPr>
      <w:r>
        <w:rPr>
          <w:rFonts w:ascii="Cambria" w:cs="Cambria" w:eastAsia="Cambria" w:hAnsi="Cambria"/>
          <w:sz w:val="24"/>
          <w:szCs w:val="24"/>
        </w:rPr>
        <w:t xml:space="preserve">3. Step 3 – Retrieve the Participant’s Verifiable Credential. The system retrieves the verifiable credential (VC) associated with participant u. The VC provides machine-verifiable claims concerning the participant, such as professional role, organisational affiliation, or delegated authority. If an appropriate VC cannot be retrieved, the participant cannot establish the required authority and the verification process returns INVALID. 4. Step 4 – Verify the Verifiable Credential. </w:t>
      </w:r>
      <w:r>
        <w:rPr>
          <w:rFonts w:ascii="Cambria" w:cs="Cambria" w:eastAsia="Cambria" w:hAnsi="Cambria"/>
          <w:color w:val="000000"/>
          <w:sz w:val="24"/>
          <w:szCs w:val="24"/>
        </w:rPr>
        <w:t xml:space="preserve">In the target design the retrieved VC is cryptographically and semantically validated; the current prototype performs a structural check of the credential reference, and full cryptographic validation is specified as the production behaviour.</w:t>
      </w:r>
      <w:r>
        <w:rPr>
          <w:rFonts w:ascii="Cambria" w:cs="Cambria" w:eastAsia="Cambria" w:hAnsi="Cambria"/>
          <w:sz w:val="24"/>
          <w:szCs w:val="24"/>
        </w:rPr>
        <w:t xml:space="preserve">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 Formally, the credential can be considered valid only when VC</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Sig</w:t>
      </w:r>
      <w:r>
        <w:rPr>
          <w:rFonts w:ascii="Cambria" w:cs="Cambria" w:eastAsia="Cambria" w:hAnsi="Cambria"/>
          <w:sz w:val="24"/>
          <w:szCs w:val="24"/>
          <w:vertAlign w:val="subscript"/>
        </w:rPr>
        <w:t xml:space="preserve">VC</w:t>
      </w:r>
      <w:r>
        <w:rPr>
          <w:rFonts w:ascii="Cambria" w:cs="Cambria" w:eastAsia="Cambria" w:hAnsi="Cambria"/>
          <w:sz w:val="24"/>
          <w:szCs w:val="24"/>
        </w:rPr>
        <w:t xml:space="preserve"> ∧ Issuer</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Subject</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Time</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If any of these conditions fails, the verification process returns INVALID. 5. Step 5 – Extract Role and Authority Claims. Once the VC has been successfully verified, the system extracts the relevant role and authority claims associated with participant u.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 6. Step 6 – Compare Authority Claims with Consent Requirements. The extracted role and authority claims are compared against the authorisation requirements A specified in the consent object C. The purpose of this step is to ensure that possession of a valid identity or credential is not automatically interpreted as permission to access healthcare information. The authority verification condition can therefore be represented as Authority(u, C) = Claims(u) |=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where Claims(u) denotes the verified claims associated with participant u, and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denotes the authority requirements defined by consent object C. If the participant’s claims do not satisfy the required authority conditions, the system returns INVALID. 7. Step 7 – Establish Identity–Authority Binding. 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spacing w:after="140" w:line="300"/>
        <w:jc w:val="both"/>
      </w:pPr>
      <w:r>
        <w:rPr>
          <w:rFonts w:ascii="Cambria" w:cs="Cambria" w:eastAsia="Cambria" w:hAnsi="Cambria"/>
          <w:color w:val="000000"/>
          <w:sz w:val="24"/>
          <w:szCs w:val="24"/>
        </w:rPr>
        <w:t xml:space="preserve">This condition defines the target verification model rather than the behaviour presently exercised. The current prototype implements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(u) as a structural DID-format check and records its outcome in the audit ledger; cryptographic validation of verifiable credentials against the four conditions above is specified here as the production behaviour and is not yet exercised by the demonstration.</w:t>
      </w:r>
    </w:p>
    <w:p>
      <w:pPr>
        <w:spacing w:after="140" w:line="300"/>
        <w:jc w:val="both"/>
      </w:pPr>
      <w:r>
        <w:rPr>
          <w:rFonts w:ascii="Cambria" w:cs="Cambria" w:eastAsia="Cambria" w:hAnsi="Cambria"/>
          <w:sz w:val="24"/>
          <w:szCs w:val="24"/>
        </w:rPr>
        <w:t xml:space="preserve">8. Step 8 – Record Identity and Authority Evidence. 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 9. Step 9 – Return the Verification Result. If DID resolution, DID verification, VC retrieval, VC verification, and authority validation are all successfully completed, the system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Otherwise, the procedure terminates at the first failed mandatory verification condition and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INVALID. The overall verification process can therefore be represented as: DID</w:t>
      </w:r>
      <w:r>
        <w:rPr>
          <w:rFonts w:ascii="Cambria" w:cs="Cambria" w:eastAsia="Cambria" w:hAnsi="Cambria"/>
          <w:sz w:val="24"/>
          <w:szCs w:val="24"/>
          <w:vertAlign w:val="subscript"/>
        </w:rPr>
        <w:t xml:space="preserve">resolve</w:t>
      </w:r>
      <w:r>
        <w:rPr>
          <w:rFonts w:ascii="Cambria" w:cs="Cambria" w:eastAsia="Cambria" w:hAnsi="Cambria"/>
          <w:sz w:val="24"/>
          <w:szCs w:val="24"/>
        </w:rPr>
        <w:t xml:space="preserve"> → DID</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retrieve</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Claims</w:t>
      </w:r>
      <w:r>
        <w:rPr>
          <w:rFonts w:ascii="Cambria" w:cs="Cambria" w:eastAsia="Cambria" w:hAnsi="Cambria"/>
          <w:sz w:val="24"/>
          <w:szCs w:val="24"/>
          <w:vertAlign w:val="subscript"/>
        </w:rPr>
        <w:t xml:space="preserve">extract</w:t>
      </w:r>
      <w:r>
        <w:rPr>
          <w:rFonts w:ascii="Cambria" w:cs="Cambria" w:eastAsia="Cambria" w:hAnsi="Cambria"/>
          <w:sz w:val="24"/>
          <w:szCs w:val="24"/>
        </w:rPr>
        <w:t xml:space="preserve"> → Authority</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Evidence</w:t>
      </w:r>
      <w:r>
        <w:rPr>
          <w:rFonts w:ascii="Cambria" w:cs="Cambria" w:eastAsia="Cambria" w:hAnsi="Cambria"/>
          <w:sz w:val="24"/>
          <w:szCs w:val="24"/>
          <w:vertAlign w:val="subscript"/>
        </w:rPr>
        <w:t xml:space="preserve">record</w:t>
      </w:r>
      <w:r>
        <w:rPr>
          <w:rFonts w:ascii="Cambria" w:cs="Cambria" w:eastAsia="Cambria" w:hAnsi="Cambria"/>
          <w:sz w:val="24"/>
          <w:szCs w:val="24"/>
        </w:rPr>
        <w:t xml:space="preserve">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The procedure establishes an important separation between identity verification and authority verification.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 C. Consequently, the procedure can be interpreted as a two-layer verification mechanism Identity(u) ∧ CredentialValidity(u) ∧ Authority(u, C)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p>
      <w:pPr>
        <w:pStyle w:val="Heading3"/>
        <w:spacing w:after="160" w:before="280"/>
      </w:pPr>
      <w:r>
        <w:rPr>
          <w:rFonts w:ascii="Cambria" w:cs="Cambria" w:eastAsia="Cambria" w:hAnsi="Cambria"/>
          <w:sz w:val="24"/>
          <w:szCs w:val="24"/>
        </w:rPr>
        <w:t xml:space="preserve">6.2.3  Algorithm 2: DID and VC Identity and Authority Verification</w:t>
      </w:r>
    </w:p>
    <w:p>
      <w:pPr>
        <w:spacing w:after="140" w:line="300"/>
        <w:jc w:val="both"/>
      </w:pPr>
      <w:r>
        <w:rPr>
          <w:rFonts w:ascii="Cambria" w:cs="Cambria" w:eastAsia="Cambria" w:hAnsi="Cambria"/>
          <w:sz w:val="24"/>
          <w:szCs w:val="24"/>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contributes to the trust-oriented framework by converting identity and authority claims into verifiable evidence. However, it does not independently establish collective consent or policy compliance. Those conditions are evaluated by RO3 and RO4.</w:t>
      </w:r>
    </w:p>
    <w:p>
      <w:pPr>
        <w:pBdr>
          <w:top w:val="single" w:color="000000" w:sz="12"/>
          <w:bottom w:val="single" w:color="000000" w:sz="6"/>
        </w:pBdr>
        <w:spacing w:after="40" w:before="220"/>
      </w:pPr>
      <w:r>
        <w:rPr>
          <w:rFonts w:ascii="Cambria" w:cs="Cambria" w:eastAsia="Cambria" w:hAnsi="Cambria"/>
          <w:b/>
          <w:bCs/>
          <w:sz w:val="21"/>
          <w:szCs w:val="21"/>
        </w:rPr>
        <w:t xml:space="preserve">Algorithm 2 </w:t>
      </w:r>
      <w:r>
        <w:rPr>
          <w:rFonts w:ascii="Cambria" w:cs="Cambria" w:eastAsia="Cambria" w:hAnsi="Cambria"/>
          <w:sz w:val="21"/>
          <w:szCs w:val="21"/>
        </w:rPr>
        <w:t xml:space="preserve">DID and VC Identity and Authority Verification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Participant u, consent object C</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Verification result V</w:t>
      </w:r>
      <w:r>
        <w:rPr>
          <w:rFonts w:ascii="Cambria" w:cs="Cambria" w:eastAsia="Cambria" w:hAnsi="Cambria"/>
          <w:sz w:val="21"/>
          <w:szCs w:val="21"/>
          <w:vertAlign w:val="subscript"/>
        </w:rPr>
        <w:t xml:space="preserve">I</w:t>
      </w:r>
      <w:r>
        <w:rPr>
          <w:rFonts w:ascii="Cambria" w:cs="Cambria" w:eastAsia="Cambria" w:hAnsi="Cambria"/>
          <w:sz w:val="21"/>
          <w:szCs w:val="21"/>
        </w:rPr>
        <w:t xml:space="preserve">(u)</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Resolve DID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DID resolution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Verify DID document and associated identity information</w:t>
      </w:r>
    </w:p>
    <w:p>
      <w:pPr>
        <w:spacing w:after="20"/>
        <w:ind w:left="24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if</w:t>
      </w:r>
      <w:r>
        <w:rPr>
          <w:rFonts w:ascii="Cambria" w:cs="Cambria" w:eastAsia="Cambria" w:hAnsi="Cambria"/>
          <w:sz w:val="21"/>
          <w:szCs w:val="21"/>
        </w:rPr>
        <w:t xml:space="preserve"> DID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Retrieve VC associated with u</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VC retrieval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Verify VC signature, issuer, subject, and validity</w:t>
      </w:r>
    </w:p>
    <w:p>
      <w:pPr>
        <w:spacing w:after="20"/>
        <w:ind w:left="24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if</w:t>
      </w:r>
      <w:r>
        <w:rPr>
          <w:rFonts w:ascii="Cambria" w:cs="Cambria" w:eastAsia="Cambria" w:hAnsi="Cambria"/>
          <w:sz w:val="21"/>
          <w:szCs w:val="21"/>
        </w:rPr>
        <w:t xml:space="preserve"> VC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16: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Extract role and authority claims from VC</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claims do not satisfy the authority requirements of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identity and authority verification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pStyle w:val="Heading2"/>
        <w:spacing w:after="160" w:before="280"/>
      </w:pPr>
      <w:r>
        <w:rPr>
          <w:rFonts w:ascii="Cambria" w:cs="Cambria" w:eastAsia="Cambria" w:hAnsi="Cambria"/>
          <w:sz w:val="24"/>
          <w:szCs w:val="24"/>
        </w:rPr>
        <w:t xml:space="preserve">6.3  Trustworthy Multi-Party Authorisation for RO3</w:t>
      </w:r>
    </w:p>
    <w:p>
      <w:pPr>
        <w:spacing w:after="140" w:line="300"/>
        <w:jc w:val="both"/>
      </w:pPr>
      <w:r>
        <w:rPr>
          <w:rFonts w:ascii="Cambria" w:cs="Cambria" w:eastAsia="Cambria" w:hAnsi="Cambria"/>
          <w:sz w:val="24"/>
          <w:szCs w:val="24"/>
        </w:rP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valid approvals and let N denote the required authorisation threshold. The threshold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(49)</w:t>
      </w:r>
    </w:p>
    <w:p>
      <w:pPr>
        <w:spacing w:after="140" w:line="300"/>
        <w:jc w:val="both"/>
      </w:pPr>
      <w:r>
        <w:rPr>
          <w:rFonts w:ascii="Cambria" w:cs="Cambria" w:eastAsia="Cambria" w:hAnsi="Cambria"/>
          <w:color w:val="E6007E"/>
          <w:sz w:val="24"/>
          <w:szCs w:val="24"/>
        </w:rPr>
        <w:t xml:space="preserve">The threshold mechanism establishes collective authorisation. It follows the threshold-committee principle used in decentralised identity systems [4, 33], but applies it to consent approval rather than to credential issuance.</w:t>
      </w:r>
      <w:r>
        <w:rPr>
          <w:rFonts w:ascii="Cambria" w:cs="Cambria" w:eastAsia="Cambria" w:hAnsi="Cambria"/>
          <w:sz w:val="24"/>
          <w:szCs w:val="24"/>
        </w:rPr>
        <w:t xml:space="preserve"> For example, a consent may require two valid guardian approvals. In this case, one valid approval is insufficient, whereas two valid approvals satisfy the threshold.</w:t>
      </w:r>
    </w:p>
    <w:p>
      <w:pPr>
        <w:spacing w:after="140" w:line="300"/>
        <w:jc w:val="both"/>
      </w:pPr>
      <w:r>
        <w:rPr>
          <w:rFonts w:ascii="Cambria" w:cs="Cambria" w:eastAsia="Cambria" w:hAnsi="Cambria"/>
          <w:color w:val="000000"/>
          <w:sz w:val="24"/>
          <w:szCs w:val="24"/>
        </w:rPr>
        <w:t xml:space="preserve">In the current implementation the threshold is fixed to the full guardian set, N = |G|, so that every designated guardian must approve before the consent is activated; the demonstrated configuration is therefore 2-of-2. </w:t>
      </w:r>
      <w:r>
        <w:rPr>
          <w:rFonts w:ascii="Cambria" w:cs="Cambria" w:eastAsia="Cambria" w:hAnsi="Cambria"/>
          <w:color w:val="E6007E"/>
          <w:sz w:val="24"/>
          <w:szCs w:val="24"/>
        </w:rPr>
        <w:t xml:space="preserve">The N-of-N configuration was adopted for the prototype because it is the most conservative instantiation of the threshold condition, in which no designated guardian can be bypassed, and because it allows the mechanism to be demonstrated without the quorum-selection and key-management questions that a general k-of-n threshold introduces. A configurable k-of-n threshold, while a direct generalisation of the implemented mechanism, is therefore left to future work.</w:t>
      </w:r>
    </w:p>
    <w:p>
      <w:pPr>
        <w:pStyle w:val="Heading3"/>
        <w:spacing w:after="160" w:before="280"/>
      </w:pPr>
      <w:r>
        <w:rPr>
          <w:rFonts w:ascii="Cambria" w:cs="Cambria" w:eastAsia="Cambria" w:hAnsi="Cambria"/>
          <w:sz w:val="24"/>
          <w:szCs w:val="24"/>
        </w:rPr>
        <w:t xml:space="preserve">6.3.1  RO3 Multi-Party Authorisation Workflow</w:t>
      </w:r>
    </w:p>
    <w:p>
      <w:pPr>
        <w:spacing w:after="140" w:line="300"/>
        <w:jc w:val="both"/>
      </w:pPr>
      <w:r>
        <w:rPr>
          <w:rFonts w:ascii="Cambria" w:cs="Cambria" w:eastAsia="Cambria" w:hAnsi="Cambria"/>
          <w:sz w:val="24"/>
          <w:szCs w:val="24"/>
        </w:rPr>
        <w:t xml:space="preserve">The workflow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 The authorisation becomes active only when the number of valid approvals reaches the required threshold. In the HALAH implementation, the Guardian workflow verifies the guardian VC, appends the guardian DID to the consent signatures, and displays the current approval count relative to the threshold. When the threshold is reached, the implementation assigns an SBT identifier and records the corresponding minting event. 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p>
      <w:pPr>
        <w:spacing w:after="140" w:line="300"/>
        <w:jc w:val="both"/>
      </w:pPr>
      <w:r>
        <w:rPr>
          <w:rFonts w:ascii="Cambria" w:cs="Cambria" w:eastAsia="Cambria" w:hAnsi="Cambria"/>
          <w:color w:val="000000"/>
          <w:sz w:val="24"/>
          <w:szCs w:val="24"/>
        </w:rPr>
        <w:t xml:space="preserve">In the HALAH implementation, the guardian's authority is evidenced by an EIP-712 typed-data signature bound to the consent identifier, the guardian DID and the Sepolia chain identifier, and verified through off-chain signer recovery. The VC verification that precedes it is presently a DID-format check, and the signing keys are derived deterministically from the guardian DIDs in place of wallet-held keys, a substitution acknowledged as a prototype limitation.</w:t>
      </w:r>
    </w:p>
    <w:p>
      <w:pPr>
        <w:pStyle w:val="Heading3"/>
        <w:spacing w:after="160" w:before="280"/>
      </w:pPr>
      <w:r>
        <w:rPr>
          <w:rFonts w:ascii="Cambria" w:cs="Cambria" w:eastAsia="Cambria" w:hAnsi="Cambria"/>
          <w:sz w:val="24"/>
          <w:szCs w:val="24"/>
        </w:rPr>
        <w:t xml:space="preserve">6.3.2  Procedure for Threshold-Based Multi-Party Authorisation</w:t>
      </w:r>
    </w:p>
    <w:p>
      <w:pPr>
        <w:spacing w:after="140" w:line="300"/>
        <w:jc w:val="both"/>
      </w:pPr>
      <w:r>
        <w:rPr>
          <w:rFonts w:ascii="Cambria" w:cs="Cambria" w:eastAsia="Cambria" w:hAnsi="Cambria"/>
          <w:sz w:val="24"/>
          <w:szCs w:val="24"/>
        </w:rP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 1. Step 1 – Retrieve the Required Participant Set. The system first retrieves the required participant set G associated with the consent object C. The set G defines which participants are eligible to contribute an approval to the authorisation process. Depending on the consent configuration, G may contain healthcare professionals, guardians, institutional representatives, or other authorised parties.</w:t>
      </w:r>
    </w:p>
    <w:p>
      <w:pPr>
        <w:keepNext/>
        <w:spacing w:after="60" w:before="140"/>
        <w:jc w:val="center"/>
      </w:pPr>
      <w:r>
        <w:drawing>
          <wp:inline distT="0" distB="0" distL="0" distR="0">
            <wp:extent cx="4191000" cy="5981700"/>
            <wp:effectExtent t="0" r="0" b="0" l="0"/>
            <wp:docPr id="1" name="gfig9.png" descr="Figure 13: RO3 workflow for threshold-based multi-party authorisation" title="Figure 13: 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598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13: RO3 workflow for threshold-based multi-party authorisation</w:t>
      </w:r>
    </w:p>
    <w:p>
      <w:pPr>
        <w:spacing w:after="140" w:line="300"/>
        <w:jc w:val="both"/>
      </w:pPr>
      <w:r>
        <w:rPr>
          <w:rFonts w:ascii="Cambria" w:cs="Cambria" w:eastAsia="Cambria" w:hAnsi="Cambria"/>
          <w:sz w:val="24"/>
          <w:szCs w:val="24"/>
        </w:rPr>
        <w:t xml:space="preserve">2. Step 2 – Define the Authorisation Threshold.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3. Step 3 – Receive a Participant Approval. A participant submits an approval a associated with consent object C. The approval is treated as a candidate authorisation contribution and is not considered valid until the identity and authority of the submitting participant have been verified. 4. Step 4 – Verify the Identity and Authority of the Approving Participant. The system verifies the identity and authority of the participant submitting a. The verification process may invoke the DID and VC verification procedure described in Algorithm 2. The system therefore determines whether the participant possesses a valid identity and whether the associated authority claims satisfy the requirements of consent object C. If the verification fails, the approval is classified as invalid. The system records the invalid approval event and returns DENY for that approval attempt. 5. Step 5 – Verify Participant Eligibility. If the participant’s identity and authority are successfully verified, the system determines whether the participant belongs to the required participant set G. Formally, u ∈ G. If the participant is not a member of G, the approval cannot contribute to the threshold. The system records the event as an unauthorised approval attempt and returns DENY. 6. Step 6 – Check for Duplicate Approval. The system checks whether the participant has already approved consent object C. This prevents a single participant from submitting multiple approvals and artificially satisfying the threshold. </w:t>
      </w:r>
      <w:r>
        <w:rPr>
          <w:rFonts w:ascii="Cambria" w:cs="Cambria" w:eastAsia="Cambria" w:hAnsi="Cambria"/>
          <w:color w:val="E6007E"/>
          <w:sz w:val="24"/>
          <w:szCs w:val="24"/>
        </w:rPr>
        <w:t xml:space="preserve">Formally, no approval already contained in the valid approval set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may originate from participant u.</w:t>
      </w:r>
      <w:r>
        <w:rPr>
          <w:rFonts w:ascii="Cambria" w:cs="Cambria" w:eastAsia="Cambria" w:hAnsi="Cambria"/>
          <w:sz w:val="24"/>
          <w:szCs w:val="24"/>
        </w:rPr>
        <w:t xml:space="preserve"> If the participant has already submitted a valid approval, the system records a duplicate approval event and rejects the additional approval. 7. Step 7 – Record the Valid Approval. If the participant is both authorised and eligible, and no previous approval from that participant exists, the system records the approval a as valid. The corresponding participant is added to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The approval set is therefore updated according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 Each valid approval becomes an independent piece of authorisation evidence associated with consent object C. 8. Step 8 – Evaluate the Approval Threshold. The system evaluates the number of valid approvals currently associated with the consent: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This comparison determines whether the minimum number of required participants has been reached. Importantly, only approvals that have passed identity, authority, membership, and duplicate checks are included in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9. Step 9 – Activate the Authorisation if the Threshold Is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required threshold has been satisfied. The system activates the authorisation associated with consent object C. The activation indicates that the consent has obtained sufficient valid multi-party approval to proceed to the subsequent access-control or data-access stage. 10. Step 10 – Generate Activation Evidence. Following successful threshold satisfaction, the system generates activation or token evidence associated with the authorisation decision. The evidence may include the consent identifier, threshold value N, identities of the approving participants, approval timestamps, and the resulting authorisation state. This evidence provides a verifiable representation of how the authorisation was activated and which participants contributed to the decision. 11. Step 11 – Record the Threshold-Satisfied Event. The system records a threshold-satisfied event in the audit infrastructure. This event provides an immutable or otherwise tamper-evident record of the transition from a pending consent state to an active authorisation state. 12. Step 12 – Maintain Pending State if the Threshold Is Not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the consent does not yet satisfy the required multi-party authorisation condition. The system therefore maintains the consent in a PENDING state rather than activating access. The system records a threshold-pending event so that the current authorisation state and the remaining approval requirement can be reconstructed during subsequent verification or audit.</w:t>
      </w:r>
    </w:p>
    <w:p>
      <w:pPr>
        <w:spacing w:after="140" w:line="300"/>
        <w:jc w:val="both"/>
      </w:pPr>
      <w:r>
        <w:rPr>
          <w:rFonts w:ascii="Cambria" w:cs="Cambria" w:eastAsia="Cambria" w:hAnsi="Cambria"/>
          <w:sz w:val="24"/>
          <w:szCs w:val="24"/>
        </w:rPr>
        <w:t xml:space="preserve">13. Step 13 – Return the Authorisation Result. The final result is determined according to the threshold condition: </w:t>
      </w:r>
      <w:r>
        <w:rPr>
          <w:rFonts w:ascii="Cambria" w:cs="Cambria" w:eastAsia="Cambria" w:hAnsi="Cambria"/>
          <w:color w:val="E6007E"/>
          <w:sz w:val="24"/>
          <w:szCs w:val="24"/>
        </w:rPr>
        <w:t xml:space="preserve">Authorisation(C) = { ACTIVATED,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 N; PENDING,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&lt; N }</w:t>
      </w:r>
      <w:r>
        <w:rPr>
          <w:rFonts w:ascii="Cambria" w:cs="Cambria" w:eastAsia="Cambria" w:hAnsi="Cambria"/>
          <w:sz w:val="24"/>
          <w:szCs w:val="24"/>
        </w:rPr>
        <w:t xml:space="preserve">. Invalid, unauthorised, or duplicate approval attempts are rejected and do not contribute to the valid approval count. The overall procedure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G → N → a → Identity/Authority → Eligibility → Duplicate Check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w:t>
      </w:r>
      <w:r>
        <w:rPr>
          <w:rFonts w:ascii="Cambria Math" w:cs="Cambria Math" w:eastAsia="Cambria Math" w:hAnsi="Cambria Math"/>
          <w:i/>
          <w:iCs/>
          <w:color w:val="E6007E"/>
          <w:sz w:val="22"/>
          <w:szCs w:val="22"/>
        </w:rPr>
        <w:t xml:space="preserve">|A</w:t>
      </w:r>
      <w:r>
        <w:rPr>
          <w:rFonts w:ascii="Cambria Math" w:cs="Cambria Math" w:eastAsia="Cambria Math" w:hAnsi="Cambria Math"/>
          <w:i/>
          <w:iCs/>
          <w:color w:val="E6007E"/>
          <w:sz w:val="22"/>
          <w:szCs w:val="22"/>
          <w:vertAlign w:val="subscript"/>
        </w:rPr>
        <w:t xml:space="preserve">v</w:t>
      </w:r>
      <w:r>
        <w:rPr>
          <w:rFonts w:ascii="Cambria Math" w:cs="Cambria Math" w:eastAsia="Cambria Math" w:hAnsi="Cambria Math"/>
          <w:i/>
          <w:iCs/>
          <w:color w:val="E6007E"/>
          <w:sz w:val="22"/>
          <w:szCs w:val="22"/>
        </w:rPr>
        <w:t xml:space="preserve">| ≥ N → { ACTIVATED; PENDING }</w:t>
      </w:r>
      <w:r>
        <w:rPr>
          <w:rFonts w:ascii="Cambria" w:cs="Cambria" w:eastAsia="Cambria" w:hAnsi="Cambria"/>
          <w:sz w:val="22"/>
          <w:szCs w:val="22"/>
        </w:rPr>
        <w:t xml:space="preserve">	(50)</w:t>
      </w:r>
    </w:p>
    <w:p>
      <w:pPr>
        <w:spacing w:after="140" w:line="300"/>
        <w:jc w:val="both"/>
      </w:pPr>
      <w:r>
        <w:rPr>
          <w:rFonts w:ascii="Cambria" w:cs="Cambria" w:eastAsia="Cambria" w:hAnsi="Cambria"/>
          <w:sz w:val="24"/>
          <w:szCs w:val="24"/>
        </w:rPr>
        <w:t xml:space="preserve">The threshold condition can be expressed more explicitly as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Identity(u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Authority(u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C) ∧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G)] ∧ </w:t>
      </w:r>
      <w:r>
        <w:rPr>
          <w:rFonts w:ascii="Cambria" w:cs="Cambria" w:eastAsia="Cambria" w:hAnsi="Cambria"/>
          <w:color w:val="E6007E"/>
          <w:sz w:val="24"/>
          <w:szCs w:val="24"/>
        </w:rPr>
        <w:t xml:space="preserve">|A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 N ⇒ Authorisation(C) = ACTIVATED.</w:t>
      </w:r>
      <w:r>
        <w:rPr>
          <w:rFonts w:ascii="Cambria" w:cs="Cambria" w:eastAsia="Cambria" w:hAnsi="Cambria"/>
          <w:sz w:val="24"/>
          <w:szCs w:val="24"/>
        </w:rPr>
        <w:t xml:space="preserve"> This formulation is important because the threshold is not calculated from the number of submitted approvals alone. Instead, only valid, authorised, eligible, and non-duplicate approvals contribute to the threshold. Consequently, the procedure prevents a participant from satisfying the authorisation requirement merely by submitting multiple approvals or by presenting a valid identity without possessing the required authority. The procedure also introduces a clear distinction between approval and authorisation.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 From a trust perspective, the procedure can therefore be interpreted as</w:t>
      </w:r>
    </w:p>
    <w:p>
      <w:pPr>
        <w:tabs>
          <w:tab w:val="right" w:pos="9360"/>
        </w:tabs>
        <w:spacing w:after="160" w:before="60"/>
        <w:jc w:val="center"/>
      </w:pPr>
      <w:r>
        <w:rPr>
          <w:rFonts w:ascii="Cambria Math" w:cs="Cambria Math" w:eastAsia="Cambria Math" w:hAnsi="Cambria Math"/>
          <w:i/>
          <w:iCs/>
          <w:sz w:val="22"/>
          <w:szCs w:val="22"/>
        </w:rPr>
        <w:t xml:space="preserve">Individual Trust Evidence → Collective Approval Evidence → Threshold Satisfaction → Authorisation Activation</w:t>
      </w:r>
      <w:r>
        <w:rPr>
          <w:rFonts w:ascii="Cambria" w:cs="Cambria" w:eastAsia="Cambria" w:hAnsi="Cambria"/>
          <w:sz w:val="22"/>
          <w:szCs w:val="22"/>
        </w:rPr>
        <w:t xml:space="preserve">	(51)</w:t>
      </w:r>
    </w:p>
    <w:p>
      <w:pPr>
        <w:pStyle w:val="Heading3"/>
        <w:spacing w:after="160" w:before="280"/>
      </w:pPr>
      <w:r>
        <w:rPr>
          <w:rFonts w:ascii="Cambria" w:cs="Cambria" w:eastAsia="Cambria" w:hAnsi="Cambria"/>
          <w:sz w:val="24"/>
          <w:szCs w:val="24"/>
        </w:rPr>
        <w:t xml:space="preserve">6.3.3  Algorithm 3: Threshold-Based Multi-Party Authorisation</w:t>
      </w:r>
    </w:p>
    <w:p>
      <w:pPr>
        <w:spacing w:after="140" w:line="300"/>
        <w:jc w:val="both"/>
      </w:pPr>
      <w:r>
        <w:rPr>
          <w:rFonts w:ascii="Cambria" w:cs="Cambria" w:eastAsia="Cambria" w:hAnsi="Cambria"/>
          <w:sz w:val="24"/>
          <w:szCs w:val="24"/>
        </w:rPr>
        <w:t xml:space="preserve">Algorithm 3 explicitly distinguishes between invalid, duplicate, and valid approvals. This distinction is important because simply counting submitted signatures could incorrectly treat unauthorised or repeated approvals as independent evidence. 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Bdr>
          <w:top w:val="single" w:color="000000" w:sz="12"/>
          <w:bottom w:val="single" w:color="000000" w:sz="6"/>
        </w:pBdr>
        <w:spacing w:after="40" w:before="220"/>
      </w:pPr>
      <w:r>
        <w:rPr>
          <w:rFonts w:ascii="Cambria" w:cs="Cambria" w:eastAsia="Cambria" w:hAnsi="Cambria"/>
          <w:b/>
          <w:bCs/>
          <w:sz w:val="21"/>
          <w:szCs w:val="21"/>
        </w:rPr>
        <w:t xml:space="preserve">Algorithm 3 </w:t>
      </w:r>
      <w:r>
        <w:rPr>
          <w:rFonts w:ascii="Cambria" w:cs="Cambria" w:eastAsia="Cambria" w:hAnsi="Cambria"/>
          <w:sz w:val="21"/>
          <w:szCs w:val="21"/>
        </w:rPr>
        <w:t xml:space="preserve">Threshold-Based Multi-Party Authorisation</w:t>
      </w:r>
    </w:p>
    <w:p>
      <w:pPr>
        <w:spacing w:after="20"/>
      </w:pPr>
      <w:r>
        <w:rPr>
          <w:rFonts w:ascii="Cambria" w:cs="Cambria" w:eastAsia="Cambria" w:hAnsi="Cambria"/>
          <w:b/>
          <w:bCs/>
          <w:color w:val="000000"/>
          <w:sz w:val="21"/>
          <w:szCs w:val="21"/>
        </w:rPr>
        <w:t xml:space="preserve">Require: </w:t>
      </w:r>
      <w:r>
        <w:rPr>
          <w:rFonts w:ascii="Cambria" w:cs="Cambria" w:eastAsia="Cambria" w:hAnsi="Cambria"/>
          <w:color w:val="000000"/>
          <w:sz w:val="21"/>
          <w:szCs w:val="21"/>
        </w:rPr>
        <w:t xml:space="preserve">Consent object C, participant approval a</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Authorisation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required participant set G</w:t>
      </w:r>
    </w:p>
    <w:p>
      <w:pPr>
        <w:spacing w:after="20"/>
        <w:ind w:left="240"/>
      </w:pPr>
      <w:r>
        <w:rPr>
          <w:rFonts w:ascii="Cambria" w:cs="Cambria" w:eastAsia="Cambria" w:hAnsi="Cambria"/>
          <w:color w:val="000000"/>
          <w:sz w:val="18"/>
          <w:szCs w:val="18"/>
        </w:rPr>
        <w:t xml:space="preserve">2:  </w:t>
      </w:r>
      <w:r>
        <w:rPr>
          <w:rFonts w:ascii="Cambria" w:cs="Cambria" w:eastAsia="Cambria" w:hAnsi="Cambria"/>
          <w:color w:val="000000"/>
          <w:sz w:val="21"/>
          <w:szCs w:val="21"/>
        </w:rPr>
        <w:t xml:space="preserve">N ← |G|</w:t>
      </w:r>
    </w:p>
    <w:p>
      <w:pPr>
        <w:spacing w:after="20"/>
        <w:ind w:left="240"/>
      </w:pPr>
      <w:r>
        <w:rPr>
          <w:rFonts w:ascii="Cambria" w:cs="Cambria" w:eastAsia="Cambria" w:hAnsi="Cambria"/>
          <w:color w:val="000000"/>
          <w:sz w:val="18"/>
          <w:szCs w:val="18"/>
        </w:rPr>
        <w:t xml:space="preserve">3:  </w:t>
      </w:r>
      <w:r>
        <w:rPr>
          <w:rFonts w:ascii="Cambria" w:cs="Cambria" w:eastAsia="Cambria" w:hAnsi="Cambria"/>
          <w:color w:val="000000"/>
          <w:sz w:val="21"/>
          <w:szCs w:val="21"/>
        </w:rPr>
        <w:t xml:space="preserve">signer ← RecoverEIP712(domain, {id</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g, APPROVE},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   ▷ off-chain recovery</w:t>
      </w:r>
    </w:p>
    <w:p>
      <w:pPr>
        <w:spacing w:after="20"/>
        <w:ind w:left="240"/>
      </w:pPr>
      <w:r>
        <w:rPr>
          <w:rFonts w:ascii="Cambria" w:cs="Cambria" w:eastAsia="Cambria" w:hAnsi="Cambria"/>
          <w:color w:val="000000"/>
          <w:sz w:val="18"/>
          <w:szCs w:val="18"/>
        </w:rPr>
        <w:t xml:space="preserve">4: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signer ≠ Addr(g), or the signature binds a different consent, guardian, or chain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5:  </w:t>
      </w:r>
      <w:r>
        <w:rPr>
          <w:rFonts w:ascii="Cambria" w:cs="Cambria" w:eastAsia="Cambria" w:hAnsi="Cambria"/>
          <w:sz w:val="21"/>
          <w:szCs w:val="21"/>
        </w:rPr>
        <w:t xml:space="preserve">Record invalid approval</w:t>
      </w:r>
    </w:p>
    <w:p>
      <w:pPr>
        <w:spacing w:after="20"/>
        <w:ind w:left="60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if</w:t>
      </w:r>
      <w:r>
        <w:rPr>
          <w:rFonts w:ascii="Cambria" w:cs="Cambria" w:eastAsia="Cambria" w:hAnsi="Cambria"/>
          <w:sz w:val="21"/>
          <w:szCs w:val="21"/>
        </w:rPr>
        <w:t xml:space="preserve"> participant is not in G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Record unauthorised approval attempt</w:t>
      </w:r>
    </w:p>
    <w:p>
      <w:pPr>
        <w:spacing w:after="20"/>
        <w:ind w:left="60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participant has already approved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duplicate approval</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16:  </w:t>
      </w:r>
      <w:r>
        <w:rPr>
          <w:rFonts w:ascii="Cambria" w:cs="Cambria" w:eastAsia="Cambria" w:hAnsi="Cambria"/>
          <w:color w:val="000000"/>
          <w:sz w:val="21"/>
          <w:szCs w:val="21"/>
        </w:rPr>
        <w:t xml:space="preserve">Record signature_data[g] ← (signer,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Update valid approval set A</w:t>
      </w:r>
      <w:r>
        <w:rPr>
          <w:rFonts w:ascii="Cambria" w:cs="Cambria" w:eastAsia="Cambria" w:hAnsi="Cambria"/>
          <w:sz w:val="21"/>
          <w:szCs w:val="21"/>
          <w:vertAlign w:val="subscript"/>
        </w:rPr>
        <w:t xml:space="preserve">v</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|A</w:t>
      </w:r>
      <w:r>
        <w:rPr>
          <w:rFonts w:ascii="Cambria" w:cs="Cambria" w:eastAsia="Cambria" w:hAnsi="Cambria"/>
          <w:sz w:val="21"/>
          <w:szCs w:val="21"/>
          <w:vertAlign w:val="subscript"/>
        </w:rPr>
        <w:t xml:space="preserve">v</w:t>
      </w:r>
      <w:r>
        <w:rPr>
          <w:rFonts w:ascii="Cambria" w:cs="Cambria" w:eastAsia="Cambria" w:hAnsi="Cambria"/>
          <w:sz w:val="21"/>
          <w:szCs w:val="21"/>
        </w:rPr>
        <w:t xml:space="preserve">| ≥ 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sz w:val="21"/>
          <w:szCs w:val="21"/>
        </w:rPr>
        <w:t xml:space="preserve">Activate authorisation</w:t>
      </w:r>
    </w:p>
    <w:p>
      <w:pPr>
        <w:spacing w:after="20"/>
        <w:ind w:left="600"/>
      </w:pPr>
      <w:r>
        <w:rPr>
          <w:rFonts w:ascii="Cambria" w:cs="Cambria" w:eastAsia="Cambria" w:hAnsi="Cambria"/>
          <w:color w:val="000000"/>
          <w:sz w:val="18"/>
          <w:szCs w:val="18"/>
        </w:rPr>
        <w:t xml:space="preserve">20:  </w:t>
      </w:r>
      <w:r>
        <w:rPr>
          <w:rFonts w:ascii="Cambria" w:cs="Cambria" w:eastAsia="Cambria" w:hAnsi="Cambria"/>
          <w:color w:val="000000"/>
          <w:sz w:val="21"/>
          <w:szCs w:val="21"/>
        </w:rPr>
        <w:t xml:space="preserve">state ← PENDING_TOKEN</w:t>
      </w:r>
    </w:p>
    <w:p>
      <w:pPr>
        <w:spacing w:after="20"/>
        <w:ind w:left="600"/>
      </w:pPr>
      <w:r>
        <w:rPr>
          <w:rFonts w:ascii="Cambria" w:cs="Cambria" w:eastAsia="Cambria" w:hAnsi="Cambria"/>
          <w:color w:val="000000"/>
          <w:sz w:val="18"/>
          <w:szCs w:val="18"/>
        </w:rPr>
        <w:t xml:space="preserve">21:  </w:t>
      </w:r>
      <w:r>
        <w:rPr>
          <w:rFonts w:ascii="Cambria" w:cs="Cambria" w:eastAsia="Cambria" w:hAnsi="Cambria"/>
          <w:color w:val="000000"/>
          <w:sz w:val="21"/>
          <w:szCs w:val="21"/>
        </w:rPr>
        <w:t xml:space="preserve">submit mintConsentV3(addr</w:t>
      </w:r>
      <w:r>
        <w:rPr>
          <w:rFonts w:ascii="Cambria" w:cs="Cambria" w:eastAsia="Cambria" w:hAnsi="Cambria"/>
          <w:color w:val="000000"/>
          <w:sz w:val="21"/>
          <w:szCs w:val="21"/>
          <w:vertAlign w:val="subscript"/>
        </w:rPr>
        <w:t xml:space="preserve">p</w:t>
      </w:r>
      <w:r>
        <w:rPr>
          <w:rFonts w:ascii="Cambria" w:cs="Cambria" w:eastAsia="Cambria" w:hAnsi="Cambria"/>
          <w:color w:val="000000"/>
          <w:sz w:val="21"/>
          <w:szCs w:val="21"/>
        </w:rPr>
        <w:t xml:space="preserve">, addr</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keccak(P</w:t>
      </w:r>
      <w:r>
        <w:rPr>
          <w:rFonts w:ascii="Cambria" w:cs="Cambria" w:eastAsia="Cambria" w:hAnsi="Cambria"/>
          <w:color w:val="000000"/>
          <w:sz w:val="21"/>
          <w:szCs w:val="21"/>
          <w:vertAlign w:val="subscript"/>
        </w:rPr>
        <w:t xml:space="preserve">u</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L, burnAuth) via the owner account   ▷ background job; reconciled on next lookup</w:t>
      </w:r>
    </w:p>
    <w:p>
      <w:pPr>
        <w:spacing w:after="20"/>
        <w:ind w:left="600"/>
      </w:pPr>
      <w:r>
        <w:rPr>
          <w:rFonts w:ascii="Cambria" w:cs="Cambria" w:eastAsia="Cambria" w:hAnsi="Cambria"/>
          <w:color w:val="000000"/>
          <w:sz w:val="18"/>
          <w:szCs w:val="18"/>
        </w:rPr>
        <w:t xml:space="preserve">22:  </w:t>
      </w:r>
      <w:r>
        <w:rPr>
          <w:rFonts w:ascii="Cambria" w:cs="Cambria" w:eastAsia="Cambria" w:hAnsi="Cambria"/>
          <w:color w:val="000000"/>
          <w:sz w:val="21"/>
          <w:szCs w:val="21"/>
        </w:rPr>
        <w:t xml:space="preserve">on confirmation: state ← ACTIVE; record the token identifier</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threshold-satisfied event</w:t>
      </w:r>
    </w:p>
    <w:p>
      <w:pPr>
        <w:spacing w:after="20"/>
        <w:ind w:left="600"/>
      </w:pPr>
      <w:r>
        <w:rPr>
          <w:rFonts w:ascii="Cambria" w:cs="Cambria" w:eastAsia="Cambria" w:hAnsi="Cambria"/>
          <w:color w:val="000000"/>
          <w:sz w:val="18"/>
          <w:szCs w:val="18"/>
        </w:rPr>
        <w:t xml:space="preserve">24: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ACTIVATED   ▷ activation is distinct from the access decision</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else</w:t>
      </w:r>
    </w:p>
    <w:p>
      <w:pPr>
        <w:spacing w:after="20"/>
        <w:ind w:left="600"/>
      </w:pPr>
      <w:r>
        <w:rPr>
          <w:rFonts w:ascii="Cambria" w:cs="Cambria" w:eastAsia="Cambria" w:hAnsi="Cambria"/>
          <w:color w:val="555555"/>
          <w:sz w:val="18"/>
          <w:szCs w:val="18"/>
        </w:rPr>
        <w:t xml:space="preserve">26:  </w:t>
      </w:r>
      <w:r>
        <w:rPr>
          <w:rFonts w:ascii="Cambria" w:cs="Cambria" w:eastAsia="Cambria" w:hAnsi="Cambria"/>
          <w:sz w:val="21"/>
          <w:szCs w:val="21"/>
        </w:rPr>
        <w:t xml:space="preserve">Keep consent in pending state</w:t>
      </w:r>
    </w:p>
    <w:p>
      <w:pPr>
        <w:spacing w:after="20"/>
        <w:ind w:left="600"/>
      </w:pPr>
      <w:r>
        <w:rPr>
          <w:rFonts w:ascii="Cambria" w:cs="Cambria" w:eastAsia="Cambria" w:hAnsi="Cambria"/>
          <w:color w:val="555555"/>
          <w:sz w:val="18"/>
          <w:szCs w:val="18"/>
        </w:rPr>
        <w:t xml:space="preserve">27:  </w:t>
      </w:r>
      <w:r>
        <w:rPr>
          <w:rFonts w:ascii="Cambria" w:cs="Cambria" w:eastAsia="Cambria" w:hAnsi="Cambria"/>
          <w:sz w:val="21"/>
          <w:szCs w:val="21"/>
        </w:rPr>
        <w:t xml:space="preserve">Record threshold-pending event</w:t>
      </w:r>
    </w:p>
    <w:p>
      <w:pPr>
        <w:spacing w:after="20"/>
        <w:ind w:left="600"/>
      </w:pPr>
      <w:r>
        <w:rPr>
          <w:rFonts w:ascii="Cambria" w:cs="Cambria" w:eastAsia="Cambria" w:hAnsi="Cambria"/>
          <w:color w:val="555555"/>
          <w:sz w:val="18"/>
          <w:szCs w:val="18"/>
        </w:rPr>
        <w:t xml:space="preserve">28:  </w:t>
      </w:r>
      <w:r>
        <w:rPr>
          <w:rFonts w:ascii="Cambria" w:cs="Cambria" w:eastAsia="Cambria" w:hAnsi="Cambria"/>
          <w:b/>
          <w:bCs/>
          <w:sz w:val="21"/>
          <w:szCs w:val="21"/>
        </w:rPr>
        <w:t xml:space="preserve">return</w:t>
      </w:r>
      <w:r>
        <w:rPr>
          <w:rFonts w:ascii="Cambria" w:cs="Cambria" w:eastAsia="Cambria" w:hAnsi="Cambria"/>
          <w:sz w:val="21"/>
          <w:szCs w:val="21"/>
        </w:rPr>
        <w:t xml:space="preserve"> PENDING</w:t>
      </w:r>
    </w:p>
    <w:p>
      <w:pPr>
        <w:spacing w:after="20"/>
        <w:ind w:left="240"/>
      </w:pPr>
      <w:r>
        <w:rPr>
          <w:rFonts w:ascii="Cambria" w:cs="Cambria" w:eastAsia="Cambria" w:hAnsi="Cambria"/>
          <w:color w:val="555555"/>
          <w:sz w:val="18"/>
          <w:szCs w:val="18"/>
        </w:rPr>
        <w:t xml:space="preserve">29:  </w:t>
      </w:r>
      <w:r>
        <w:rPr>
          <w:rFonts w:ascii="Cambria" w:cs="Cambria" w:eastAsia="Cambria" w:hAnsi="Cambria"/>
          <w:b/>
          <w:bCs/>
          <w:sz w:val="21"/>
          <w:szCs w:val="21"/>
        </w:rPr>
        <w:t xml:space="preserve">end if</w:t>
      </w:r>
    </w:p>
    <w:p>
      <w:pPr>
        <w:pBdr>
          <w:bottom w:val="single" w:color="000000" w:sz="12"/>
        </w:pBdr>
        <w:spacing w:after="60"/>
      </w:pPr>
    </w:p>
    <w:p>
      <w:pPr>
        <w:spacing w:after="160"/>
      </w:pPr>
    </w:p>
    <w:p>
      <w:pPr>
        <w:pStyle w:val="Heading2"/>
        <w:spacing w:after="160" w:before="280"/>
      </w:pPr>
      <w:r>
        <w:rPr>
          <w:rFonts w:ascii="Cambria" w:cs="Cambria" w:eastAsia="Cambria" w:hAnsi="Cambria"/>
          <w:sz w:val="24"/>
          <w:szCs w:val="24"/>
        </w:rPr>
        <w:t xml:space="preserve">6.4  Policy- and Context-Aware Access Control for RO4</w:t>
      </w:r>
    </w:p>
    <w:p>
      <w:pPr>
        <w:spacing w:after="140" w:line="300"/>
        <w:jc w:val="both"/>
      </w:pPr>
      <w:r>
        <w:rPr>
          <w:rFonts w:ascii="Cambria" w:cs="Cambria" w:eastAsia="Cambria" w:hAnsi="Cambria"/>
          <w:sz w:val="24"/>
          <w:szCs w:val="24"/>
        </w:rPr>
        <w:t xml:space="preserve">RO4 addresses RQ4 by developing a policy-aware authorisation mechanism that evaluates the purpose and data scope of a requested operation against the constraints defined by the consent.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Let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 the data scope authorised by the consent and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denote the data scope requested by the participant. The scope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 = 1 ⟺ 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(52)</w:t>
      </w:r>
    </w:p>
    <w:p>
      <w:pPr>
        <w:spacing w:after="140" w:line="300"/>
        <w:jc w:val="both"/>
      </w:pPr>
      <w:r>
        <w:rPr>
          <w:rFonts w:ascii="Cambria" w:cs="Cambria" w:eastAsia="Cambria" w:hAnsi="Cambria"/>
          <w:sz w:val="24"/>
          <w:szCs w:val="24"/>
        </w:rPr>
        <w:t xml:space="preserve">The policy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U</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(53)</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U</w:t>
      </w:r>
      <w:r>
        <w:rPr>
          <w:rFonts w:ascii="Cambria" w:cs="Cambria" w:eastAsia="Cambria" w:hAnsi="Cambria"/>
          <w:sz w:val="24"/>
          <w:szCs w:val="24"/>
        </w:rPr>
        <w:t xml:space="preserve">(C, R) represents purpose compatibility and V</w:t>
      </w:r>
      <w:r>
        <w:rPr>
          <w:rFonts w:ascii="Cambria" w:cs="Cambria" w:eastAsia="Cambria" w:hAnsi="Cambria"/>
          <w:sz w:val="24"/>
          <w:szCs w:val="24"/>
          <w:vertAlign w:val="subscript"/>
        </w:rPr>
        <w:t xml:space="preserve">S</w:t>
      </w:r>
      <w:r>
        <w:rPr>
          <w:rFonts w:ascii="Cambria" w:cs="Cambria" w:eastAsia="Cambria" w:hAnsi="Cambria"/>
          <w:sz w:val="24"/>
          <w:szCs w:val="24"/>
        </w:rPr>
        <w:t xml:space="preserve">(C, R) represents data-scope compatibility. </w:t>
      </w:r>
      <w:r>
        <w:rPr>
          <w:rFonts w:ascii="Cambria" w:cs="Cambria" w:eastAsia="Cambria" w:hAnsi="Cambria"/>
          <w:color w:val="E6007E"/>
          <w:sz w:val="24"/>
          <w:szCs w:val="24"/>
        </w:rPr>
        <w:t xml:space="preserve">The complete authorisation decision enforced by the implemented system is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w:cs="Cambria" w:eastAsia="Cambria" w:hAnsi="Cambria"/>
          <w:color w:val="000000"/>
          <w:sz w:val="22"/>
          <w:szCs w:val="22"/>
        </w:rPr>
        <w:t xml:space="preserve">	(54)</w:t>
      </w:r>
    </w:p>
    <w:p>
      <w:pPr>
        <w:spacing w:after="140" w:line="300"/>
        <w:jc w:val="both"/>
      </w:pPr>
      <w:r>
        <w:rPr>
          <w:rFonts w:ascii="Cambria" w:cs="Cambria" w:eastAsia="Cambria" w:hAnsi="Cambria"/>
          <w:color w:val="000000"/>
          <w:sz w:val="24"/>
          <w:szCs w:val="24"/>
        </w:rPr>
        <w:t xml:space="preserve">where the five verification functions are evaluated at every access request, and the resulting decision matrix is recorded in the audit ledger together with each GRANTED or DENIED outcome.</w:t>
      </w:r>
    </w:p>
    <w:p>
      <w:pPr>
        <w:pStyle w:val="Heading3"/>
        <w:spacing w:after="160" w:before="280"/>
      </w:pPr>
      <w:r>
        <w:rPr>
          <w:rFonts w:ascii="Cambria" w:cs="Cambria" w:eastAsia="Cambria" w:hAnsi="Cambria"/>
          <w:sz w:val="24"/>
          <w:szCs w:val="24"/>
        </w:rPr>
        <w:t xml:space="preserve">6.4.1  RO4 Policy-Aware Access Workflow</w:t>
      </w:r>
    </w:p>
    <w:p>
      <w:pPr>
        <w:spacing w:after="140" w:line="300"/>
        <w:jc w:val="both"/>
      </w:pPr>
      <w:r>
        <w:rPr>
          <w:rFonts w:ascii="Cambria" w:cs="Cambria" w:eastAsia="Cambria" w:hAnsi="Cambria"/>
          <w:sz w:val="24"/>
          <w:szCs w:val="24"/>
        </w:rPr>
        <w:t xml:space="preserve">The workflow begins when a doctor submits a request for patient data. The system retrieves the relevant consent object and verifies the requesting participant. It then checks whether the required multi-party authorisation has been established. After the identity and authorisation conditions are satisfied, the system evaluates the requested purpose and data scope. A request is permitted only when the purpose is compatible with the consent and the requested data scope is contained within the authorised scope. 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For example, if</w:t>
      </w:r>
    </w:p>
    <w:p>
      <w:pPr>
        <w:tabs>
          <w:tab w:val="right" w:pos="9360"/>
        </w:tabs>
        <w:spacing w:after="160" w:before="60"/>
        <w:jc w:val="center"/>
      </w:pPr>
      <w:r>
        <w:rPr>
          <w:rFonts w:ascii="Cambria Math" w:cs="Cambria Math" w:eastAsia="Cambria Math" w:hAnsi="Cambria Math"/>
          <w:i/>
          <w:iCs/>
          <w:color w:val="E6007E"/>
          <w:sz w:val="22"/>
          <w:szCs w:val="22"/>
        </w:rPr>
        <w:t xml:space="preserve">S</w:t>
      </w:r>
      <w:r>
        <w:rPr>
          <w:rFonts w:ascii="Cambria Math" w:cs="Cambria Math" w:eastAsia="Cambria Math" w:hAnsi="Cambria Math"/>
          <w:i/>
          <w:iCs/>
          <w:color w:val="E6007E"/>
          <w:sz w:val="22"/>
          <w:szCs w:val="22"/>
          <w:vertAlign w:val="subscript"/>
        </w:rPr>
        <w:t xml:space="preserve">C</w:t>
      </w:r>
      <w:r>
        <w:rPr>
          <w:rFonts w:ascii="Cambria Math" w:cs="Cambria Math" w:eastAsia="Cambria Math" w:hAnsi="Cambria Math"/>
          <w:i/>
          <w:iCs/>
          <w:color w:val="E6007E"/>
          <w:sz w:val="22"/>
          <w:szCs w:val="22"/>
        </w:rPr>
        <w:t xml:space="preserve"> = {Observation, Medication},</w:t>
      </w:r>
      <w:r>
        <w:rPr>
          <w:rFonts w:ascii="Cambria" w:cs="Cambria" w:eastAsia="Cambria" w:hAnsi="Cambria"/>
          <w:sz w:val="22"/>
          <w:szCs w:val="22"/>
        </w:rPr>
        <w:t xml:space="preserve">	(55)</w:t>
      </w:r>
    </w:p>
    <w:p>
      <w:pPr>
        <w:spacing w:after="140" w:line="300"/>
        <w:jc w:val="both"/>
      </w:pPr>
      <w:r>
        <w:rPr>
          <w:rFonts w:ascii="Cambria" w:cs="Cambria" w:eastAsia="Cambria" w:hAnsi="Cambria"/>
          <w:sz w:val="24"/>
          <w:szCs w:val="24"/>
        </w:rPr>
        <w:t xml:space="preserve">and</w:t>
      </w:r>
    </w:p>
    <w:p>
      <w:pPr>
        <w:tabs>
          <w:tab w:val="right" w:pos="9360"/>
        </w:tabs>
        <w:spacing w:after="160" w:before="60"/>
        <w:jc w:val="center"/>
      </w:pPr>
      <w:r>
        <w:rPr>
          <w:rFonts w:ascii="Cambria Math" w:cs="Cambria Math" w:eastAsia="Cambria Math" w:hAnsi="Cambria Math"/>
          <w:i/>
          <w:iCs/>
          <w:color w:val="E6007E"/>
          <w:sz w:val="22"/>
          <w:szCs w:val="22"/>
        </w:rPr>
        <w:t xml:space="preserve">S</w:t>
      </w:r>
      <w:r>
        <w:rPr>
          <w:rFonts w:ascii="Cambria Math" w:cs="Cambria Math" w:eastAsia="Cambria Math" w:hAnsi="Cambria Math"/>
          <w:i/>
          <w:iCs/>
          <w:color w:val="E6007E"/>
          <w:sz w:val="22"/>
          <w:szCs w:val="22"/>
          <w:vertAlign w:val="subscript"/>
        </w:rPr>
        <w:t xml:space="preserve">R</w:t>
      </w:r>
      <w:r>
        <w:rPr>
          <w:rFonts w:ascii="Cambria Math" w:cs="Cambria Math" w:eastAsia="Cambria Math" w:hAnsi="Cambria Math"/>
          <w:i/>
          <w:iCs/>
          <w:color w:val="E6007E"/>
          <w:sz w:val="22"/>
          <w:szCs w:val="22"/>
        </w:rPr>
        <w:t xml:space="preserve"> = {Observation, Medication, Procedure},</w:t>
      </w:r>
      <w:r>
        <w:rPr>
          <w:rFonts w:ascii="Cambria" w:cs="Cambria" w:eastAsia="Cambria" w:hAnsi="Cambria"/>
          <w:sz w:val="22"/>
          <w:szCs w:val="22"/>
        </w:rPr>
        <w:t xml:space="preserve">	(56)</w:t>
      </w:r>
    </w:p>
    <w:p>
      <w:pPr>
        <w:spacing w:after="140" w:line="300"/>
        <w:jc w:val="both"/>
      </w:pPr>
      <w:r>
        <w:rPr>
          <w:rFonts w:ascii="Cambria" w:cs="Cambria" w:eastAsia="Cambria" w:hAnsi="Cambria"/>
          <w:sz w:val="24"/>
          <w:szCs w:val="24"/>
        </w:rPr>
        <w:t xml:space="preserve">then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(57)</w:t>
      </w:r>
    </w:p>
    <w:p>
      <w:pPr>
        <w:spacing w:after="140" w:line="300"/>
        <w:jc w:val="both"/>
      </w:pPr>
      <w:r>
        <w:rPr>
          <w:rFonts w:ascii="Cambria" w:cs="Cambria" w:eastAsia="Cambria" w:hAnsi="Cambria"/>
          <w:sz w:val="24"/>
          <w:szCs w:val="24"/>
        </w:rPr>
        <w:t xml:space="preserve">and the request must be denied. This rule prevents a legitimate participant from obtaining data outside the patient’s authorised scope.</w:t>
      </w:r>
    </w:p>
    <w:p>
      <w:pPr>
        <w:keepNext/>
        <w:spacing w:after="60" w:before="140"/>
        <w:jc w:val="center"/>
      </w:pPr>
      <w:r>
        <w:drawing>
          <wp:inline distT="0" distB="0" distL="0" distR="0">
            <wp:extent cx="3810000" cy="6943725"/>
            <wp:effectExtent t="0" r="0" b="0" l="0"/>
            <wp:docPr id="1" name="gfig10.png" descr="Figure 14: RO4 workflow for policy- and context-aware access control" title="Figure 14: RO4 workflow for policy- and context-aware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694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14: RO4 workflow for policy- and context-aware access control</w:t>
      </w:r>
    </w:p>
    <w:p>
      <w:pPr>
        <w:pStyle w:val="Heading3"/>
        <w:spacing w:after="160" w:before="280"/>
      </w:pPr>
      <w:r>
        <w:rPr>
          <w:rFonts w:ascii="Cambria" w:cs="Cambria" w:eastAsia="Cambria" w:hAnsi="Cambria"/>
          <w:sz w:val="24"/>
          <w:szCs w:val="24"/>
        </w:rPr>
        <w:t xml:space="preserve">6.4.2  Algorithm 4: Policy-Aware Access Decision</w:t>
      </w:r>
    </w:p>
    <w:p>
      <w:pPr>
        <w:pBdr>
          <w:top w:val="single" w:color="000000" w:sz="12"/>
          <w:bottom w:val="single" w:color="000000" w:sz="6"/>
        </w:pBdr>
        <w:spacing w:after="40" w:before="220"/>
      </w:pPr>
      <w:r>
        <w:rPr>
          <w:rFonts w:ascii="Cambria" w:cs="Cambria" w:eastAsia="Cambria" w:hAnsi="Cambria"/>
          <w:b/>
          <w:bCs/>
          <w:sz w:val="21"/>
          <w:szCs w:val="21"/>
        </w:rPr>
        <w:t xml:space="preserve">Algorithm 4 </w:t>
      </w:r>
      <w:r>
        <w:rPr>
          <w:rFonts w:ascii="Cambria" w:cs="Cambria" w:eastAsia="Cambria" w:hAnsi="Cambria"/>
          <w:sz w:val="21"/>
          <w:szCs w:val="21"/>
        </w:rPr>
        <w:t xml:space="preserve">Policy-Aware Access Decision</w:t>
      </w:r>
    </w:p>
    <w:p>
      <w:pPr>
        <w:spacing w:after="20"/>
      </w:pPr>
      <w:r>
        <w:rPr>
          <w:rFonts w:ascii="Cambria" w:cs="Cambria" w:eastAsia="Cambria" w:hAnsi="Cambria"/>
          <w:b/>
          <w:bCs/>
          <w:sz w:val="21"/>
          <w:szCs w:val="21"/>
        </w:rPr>
        <w:t xml:space="preserve">Require: </w:t>
      </w:r>
      <w:r>
        <w:rPr>
          <w:rFonts w:ascii="Cambria" w:cs="Cambria" w:eastAsia="Cambria" w:hAnsi="Cambria"/>
          <w:color w:val="E6007E"/>
          <w:sz w:val="21"/>
          <w:szCs w:val="21"/>
        </w:rPr>
        <w:t xml:space="preserve">Consent object C, access request R = (u, P</w:t>
      </w:r>
      <w:r>
        <w:rPr>
          <w:rFonts w:ascii="Cambria" w:cs="Cambria" w:eastAsia="Cambria" w:hAnsi="Cambria"/>
          <w:color w:val="E6007E"/>
          <w:sz w:val="21"/>
          <w:szCs w:val="21"/>
          <w:vertAlign w:val="subscript"/>
        </w:rPr>
        <w:t xml:space="preserve">R</w:t>
      </w:r>
      <w:r>
        <w:rPr>
          <w:rFonts w:ascii="Cambria" w:cs="Cambria" w:eastAsia="Cambria" w:hAnsi="Cambria"/>
          <w:color w:val="E6007E"/>
          <w:sz w:val="21"/>
          <w:szCs w:val="21"/>
        </w:rPr>
        <w:t xml:space="preserve">, S</w:t>
      </w:r>
      <w:r>
        <w:rPr>
          <w:rFonts w:ascii="Cambria" w:cs="Cambria" w:eastAsia="Cambria" w:hAnsi="Cambria"/>
          <w:color w:val="E6007E"/>
          <w:sz w:val="21"/>
          <w:szCs w:val="21"/>
          <w:vertAlign w:val="subscript"/>
        </w:rPr>
        <w:t xml:space="preserve">R</w:t>
      </w:r>
      <w:r>
        <w:rPr>
          <w:rFonts w:ascii="Cambria" w:cs="Cambria" w:eastAsia="Cambria" w:hAnsi="Cambria"/>
          <w:color w:val="E6007E"/>
          <w:sz w:val="21"/>
          <w:szCs w:val="21"/>
        </w:rPr>
        <w:t xml:space="preserve">, Jur(R)), requesting participant u, current time t</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Access decision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Verify DID and VC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identity or authority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Evaluate consent state</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consent is not active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Verify multi-party authorisation</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threshold is not satisfied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requested purpose</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purpose is incompatible with consent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Evaluate requested data scope</w:t>
      </w:r>
    </w:p>
    <w:p>
      <w:pPr>
        <w:spacing w:after="20"/>
        <w:ind w:left="240"/>
      </w:pPr>
      <w:r>
        <w:rPr>
          <w:rFonts w:ascii="Cambria" w:cs="Cambria" w:eastAsia="Cambria" w:hAnsi="Cambria"/>
          <w:color w:val="000000"/>
          <w:sz w:val="18"/>
          <w:szCs w:val="18"/>
        </w:rPr>
        <w:t xml:space="preserve">22: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 or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S</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24: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26: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t &lt;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or t &gt;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27: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Jur(R) ≠ Jur(C)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28:  </w:t>
      </w:r>
      <w:r>
        <w:rPr>
          <w:rFonts w:ascii="Cambria" w:cs="Cambria" w:eastAsia="Cambria" w:hAnsi="Cambria"/>
          <w:color w:val="000000"/>
          <w:sz w:val="21"/>
          <w:szCs w:val="21"/>
        </w:rPr>
        <w:t xml:space="preserve">Generate and verify a Groth16 proof that Poseidon(secret, expiry) equals the public commitment and that t ≤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record proof_mode = groth16</w:t>
      </w:r>
    </w:p>
    <w:p>
      <w:pPr>
        <w:spacing w:after="20"/>
        <w:ind w:left="240"/>
      </w:pPr>
      <w:r>
        <w:rPr>
          <w:rFonts w:ascii="Cambria" w:cs="Cambria" w:eastAsia="Cambria" w:hAnsi="Cambria"/>
          <w:color w:val="555555"/>
          <w:sz w:val="18"/>
          <w:szCs w:val="18"/>
        </w:rPr>
        <w:t xml:space="preserve">29:  </w:t>
      </w:r>
      <w:r>
        <w:rPr>
          <w:rFonts w:ascii="Cambria" w:cs="Cambria" w:eastAsia="Cambria" w:hAnsi="Cambria"/>
          <w:sz w:val="21"/>
          <w:szCs w:val="21"/>
        </w:rPr>
        <w:t xml:space="preserve">Retrieve authorised healthcare data</w:t>
      </w:r>
    </w:p>
    <w:p>
      <w:pPr>
        <w:spacing w:after="20"/>
        <w:ind w:left="240"/>
      </w:pPr>
      <w:r>
        <w:rPr>
          <w:rFonts w:ascii="Cambria" w:cs="Cambria" w:eastAsia="Cambria" w:hAnsi="Cambria"/>
          <w:color w:val="555555"/>
          <w:sz w:val="18"/>
          <w:szCs w:val="18"/>
        </w:rPr>
        <w:t xml:space="preserve">30:  </w:t>
      </w:r>
      <w:r>
        <w:rPr>
          <w:rFonts w:ascii="Cambria" w:cs="Cambria" w:eastAsia="Cambria" w:hAnsi="Cambria"/>
          <w:sz w:val="21"/>
          <w:szCs w:val="21"/>
        </w:rPr>
        <w:t xml:space="preserve">Record granted decision</w:t>
      </w:r>
    </w:p>
    <w:p>
      <w:pPr>
        <w:spacing w:after="20"/>
        <w:ind w:left="240"/>
      </w:pPr>
      <w:r>
        <w:rPr>
          <w:rFonts w:ascii="Cambria" w:cs="Cambria" w:eastAsia="Cambria" w:hAnsi="Cambria"/>
          <w:color w:val="555555"/>
          <w:sz w:val="18"/>
          <w:szCs w:val="18"/>
        </w:rPr>
        <w:t xml:space="preserve">31:  </w:t>
      </w:r>
      <w:r>
        <w:rPr>
          <w:rFonts w:ascii="Cambria" w:cs="Cambria" w:eastAsia="Cambria" w:hAnsi="Cambria"/>
          <w:b/>
          <w:bCs/>
          <w:sz w:val="21"/>
          <w:szCs w:val="21"/>
        </w:rPr>
        <w:t xml:space="preserve">return</w:t>
      </w:r>
      <w:r>
        <w:rPr>
          <w:rFonts w:ascii="Cambria" w:cs="Cambria" w:eastAsia="Cambria" w:hAnsi="Cambria"/>
          <w:sz w:val="21"/>
          <w:szCs w:val="21"/>
        </w:rPr>
        <w:t xml:space="preserve"> ALLOW</w:t>
      </w:r>
    </w:p>
    <w:p>
      <w:pPr>
        <w:pBdr>
          <w:bottom w:val="single" w:color="000000" w:sz="12"/>
        </w:pBdr>
        <w:spacing w:after="60"/>
      </w:pPr>
    </w:p>
    <w:p>
      <w:pPr>
        <w:spacing w:after="160"/>
      </w:pPr>
    </w:p>
    <w:p>
      <w:pPr>
        <w:spacing w:after="140" w:line="300"/>
        <w:jc w:val="both"/>
      </w:pPr>
      <w:r>
        <w:rPr>
          <w:rFonts w:ascii="Cambria" w:cs="Cambria" w:eastAsia="Cambria" w:hAnsi="Cambria"/>
          <w:sz w:val="24"/>
          <w:szCs w:val="24"/>
        </w:rP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spacing w:after="140" w:line="300"/>
        <w:jc w:val="both"/>
      </w:pPr>
      <w:r>
        <w:rPr>
          <w:rFonts w:ascii="Cambria" w:cs="Cambria" w:eastAsia="Cambria" w:hAnsi="Cambria"/>
          <w:sz w:val="24"/>
          <w:szCs w:val="24"/>
        </w:rP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p>
      <w:pPr>
        <w:pStyle w:val="Heading3"/>
        <w:spacing w:after="160" w:before="280"/>
      </w:pPr>
      <w:r>
        <w:rPr>
          <w:rFonts w:ascii="Cambria" w:cs="Cambria" w:eastAsia="Cambria" w:hAnsi="Cambria"/>
          <w:sz w:val="24"/>
          <w:szCs w:val="24"/>
        </w:rPr>
        <w:t xml:space="preserve">6.4.3  Procedure for Policy-Aware Access Decision</w:t>
      </w:r>
    </w:p>
    <w:p>
      <w:pPr>
        <w:spacing w:after="140" w:line="300"/>
        <w:jc w:val="both"/>
      </w:pPr>
      <w:r>
        <w:rPr>
          <w:rFonts w:ascii="Cambria" w:cs="Cambria" w:eastAsia="Cambria" w:hAnsi="Cambria"/>
          <w:sz w:val="24"/>
          <w:szCs w:val="24"/>
        </w:rP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 1. Step 1 – Receive and Parse the Access Request. The system receives an access request R from requesting participant u. The request specifies the healthcare resources requested by the participant and the intended purpose of access. The requested data scope is denoted by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while the purpose associated with the request is denoted by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access request can therefore be </w:t>
      </w:r>
      <w:r>
        <w:rPr>
          <w:rFonts w:ascii="Cambria" w:cs="Cambria" w:eastAsia="Cambria" w:hAnsi="Cambria"/>
          <w:color w:val="E6007E"/>
          <w:sz w:val="24"/>
          <w:szCs w:val="24"/>
        </w:rPr>
        <w:t xml:space="preserve">represented as R = (u, P</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S</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Jur(R)), where Jur(R) is the jurisdiction declared by the requester</w:t>
      </w:r>
      <w:r>
        <w:rPr>
          <w:rFonts w:ascii="Cambria" w:cs="Cambria" w:eastAsia="Cambria" w:hAnsi="Cambria"/>
          <w:sz w:val="24"/>
          <w:szCs w:val="24"/>
        </w:rPr>
        <w:t xml:space="preserve">. The system associates R with the relevant consent object C before continuing with the authorisation process. 2. Step 2 – Verify the Requesting Participant’s DID and VC. The system verifies the DID and VC associated with participant u. This step invokes the identity and authority verification procedure defined in Algorithm 2. 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 Formally,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must hold before the request can proceed to the subsequent authorisation stages. 3. Step 3 – Evaluate the Current Consent State. After successful identity verification, the system evaluates the current state of consent object C. The system determines whether the consent is active and whether it remains within its defined validity period. In particular, the system verifies that the consent has not expired, been revoked, or otherwise transitioned into an inactive state. If State(C) ≠ ACTIVE, the access request is denied and the decision is recorded.</w:t>
      </w:r>
    </w:p>
    <w:p>
      <w:pPr>
        <w:spacing w:after="140" w:line="300"/>
        <w:jc w:val="both"/>
      </w:pPr>
      <w:r>
        <w:rPr>
          <w:rFonts w:ascii="Cambria" w:cs="Cambria" w:eastAsia="Cambria" w:hAnsi="Cambria"/>
          <w:sz w:val="24"/>
          <w:szCs w:val="24"/>
        </w:rPr>
        <w:t xml:space="preserve">4. Step 4 – Verify Multi-Party Authorisation. The system verifies whether the multi-party authorisation requirement associated with consent object C has been satisfied.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is evaluated against the required threshold N. The authorisation condition is expressed as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If the threshold has not been satisfied, the consent cannot be used to authorise the requested access. The system therefore records a denied decision and returns DENY. 5. Step 5 – Evaluate the Requested Purpose. The system compares the purpose specified in the access request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with the purpose permitted by the consent object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purpose compatibility condition can be represented as </w:t>
      </w:r>
      <w:r>
        <w:rPr>
          <w:rFonts w:ascii="Cambria" w:cs="Cambria" w:eastAsia="Cambria" w:hAnsi="Cambria"/>
          <w:color w:val="E6007E"/>
          <w:sz w:val="24"/>
          <w:szCs w:val="24"/>
        </w:rPr>
        <w:t xml:space="preserve">P</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 P</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which means the requested</w:t>
      </w:r>
      <w:r>
        <w:rPr>
          <w:rFonts w:ascii="Cambria" w:cs="Cambria" w:eastAsia="Cambria" w:hAnsi="Cambria"/>
          <w:color w:val="000000"/>
          <w:sz w:val="24"/>
          <w:szCs w:val="24"/>
        </w:rPr>
        <w:t xml:space="preserve"> purpose is required to satisfy the privacy constraint P</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before access can proceed.</w:t>
      </w:r>
      <w:r>
        <w:rPr>
          <w:rFonts w:ascii="Cambria" w:cs="Cambria" w:eastAsia="Cambria" w:hAnsi="Cambria"/>
          <w:sz w:val="24"/>
          <w:szCs w:val="24"/>
        </w:rPr>
        <w:t xml:space="preserve"> </w:t>
      </w:r>
      <w:r>
        <w:rPr>
          <w:rFonts w:ascii="Cambria" w:cs="Cambria" w:eastAsia="Cambria" w:hAnsi="Cambria"/>
          <w:color w:val="000000"/>
          <w:sz w:val="24"/>
          <w:szCs w:val="24"/>
        </w:rPr>
        <w:t xml:space="preserve">The evaluation pipeline is designed so that a request violating the privacy constraint is refused before any data is released; a formal proof of this property forms part of the next stage security analysis.</w:t>
      </w:r>
      <w:r>
        <w:rPr>
          <w:rFonts w:ascii="Cambria" w:cs="Cambria" w:eastAsia="Cambria" w:hAnsi="Cambria"/>
          <w:sz w:val="24"/>
          <w:szCs w:val="24"/>
        </w:rPr>
        <w:t xml:space="preserve"> If the requested purpose is incompatible with the patient’s consent, the request is denied. This step prevents a participant from using otherwise valid credentials and consent to access healthcare information for a purpose that was not authorised by the patient. 6. Step 6 – Evaluate the Requested Data Scope. The system evaluates whether the requested data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is contained within the data scope authorised by the consent, denoted by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required containment relationship is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If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requested access exceeds the patient’s authorised data scope. The system records a denied decision and returns DENY. This step is particularly important for fine-grained healthcare data access because authorisation to access one category of healthcare information does not imply authorisation to access all categories of the patient’s record. 7. Step 7 – Evaluate the Complete Authorisation Policy. After the individual conditions have been successfully evaluated, the system performs the final policy evaluation. The decision is </w:t>
      </w:r>
      <w:r>
        <w:rPr>
          <w:rFonts w:ascii="Cambria" w:cs="Cambria" w:eastAsia="Cambria" w:hAnsi="Cambria"/>
          <w:color w:val="E6007E"/>
          <w:sz w:val="24"/>
          <w:szCs w:val="24"/>
        </w:rPr>
        <w:t xml:space="preserve">based on the conjunction of identity validity, active consent, sufficient multi-party approval, purpose compatibility, scope containment, temporal validity and jurisdictional match.</w:t>
      </w:r>
      <w:r>
        <w:rPr>
          <w:rFonts w:ascii="Cambria" w:cs="Cambria" w:eastAsia="Cambria" w:hAnsi="Cambria"/>
          <w:sz w:val="24"/>
          <w:szCs w:val="24"/>
        </w:rPr>
        <w:t xml:space="preserve"> The overall authorisation condition can be represented as Authorised(R, C, u)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Active(C)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w:t>
      </w:r>
      <w:r>
        <w:rPr>
          <w:rFonts w:ascii="Cambria" w:cs="Cambria" w:eastAsia="Cambria" w:hAnsi="Cambria"/>
          <w:color w:val="E6007E"/>
          <w:sz w:val="24"/>
          <w:szCs w:val="24"/>
        </w:rPr>
        <w:t xml:space="preserve">PurposeMatch(P</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P</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 ScopeMatch(S</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S</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 (t</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 t ≤ t</w:t>
      </w:r>
      <w:r>
        <w:rPr>
          <w:rFonts w:ascii="Cambria" w:cs="Cambria" w:eastAsia="Cambria" w:hAnsi="Cambria"/>
          <w:color w:val="E6007E"/>
          <w:sz w:val="24"/>
          <w:szCs w:val="24"/>
          <w:vertAlign w:val="subscript"/>
        </w:rPr>
        <w:t xml:space="preserve">e</w:t>
      </w:r>
      <w:r>
        <w:rPr>
          <w:rFonts w:ascii="Cambria" w:cs="Cambria" w:eastAsia="Cambria" w:hAnsi="Cambria"/>
          <w:color w:val="E6007E"/>
          <w:sz w:val="24"/>
          <w:szCs w:val="24"/>
        </w:rPr>
        <w:t xml:space="preserve">) ∧ (Jur(R) = Jur(C))</w:t>
      </w:r>
      <w:r>
        <w:rPr>
          <w:rFonts w:ascii="Cambria" w:cs="Cambria" w:eastAsia="Cambria" w:hAnsi="Cambria"/>
          <w:sz w:val="24"/>
          <w:szCs w:val="24"/>
        </w:rPr>
        <w:t xml:space="preserve">. Access can proceed only when all required conditions evaluate to true. 8. Step 8 – Generate or Verify Access Evidence. 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 This evidence provides an auditable relationship between the access request and the conditions that justified the resulting authorisation. 9. Step 9 – Retrieve the Authorised Healthcare Data. Once the request has been successfully authorised, the system retrieves only the healthcare data satisfying the authorised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retrieval operation must enforce the same scope constraints that were evaluated during the policy decision. Thus, Data</w:t>
      </w:r>
      <w:r>
        <w:rPr>
          <w:rFonts w:ascii="Cambria" w:cs="Cambria" w:eastAsia="Cambria" w:hAnsi="Cambria"/>
          <w:sz w:val="24"/>
          <w:szCs w:val="24"/>
          <w:vertAlign w:val="subscript"/>
        </w:rPr>
        <w:t xml:space="preserve">returned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This prevents a mismatch between the policy decision and the actual data returned to the requester. 10. Step 10 – Record the Granted Decision. The system records the successful access-authorisation event. The recorded evidence may include the request identifier, consent identifier, requester identity, authorised purpose, authorised data scope, authorisation result, and relevant timestamp. The resulting event provides an auditable record of why and under which conditions access was granted. 11. Step 11 – Return the Final Access Decision. If all mandatory conditions have been satisfied, the system returns AccessDecision = ALLOW. If any mandatory condition fails during the evaluation process, the system records the corresponding denial evidence and returns AccessDecision = DENY. The overall decision process can therefore be represented as R → DID/VC → Consent State → Threshold → Purpose → Scope → Policy Eval. → Evidence → Data Retr. → { ALLOW; DENY }</w:t>
      </w:r>
    </w:p>
    <w:p>
      <w:pPr>
        <w:spacing w:after="140" w:line="300"/>
        <w:jc w:val="both"/>
      </w:pPr>
      <w:r>
        <w:rPr>
          <w:rFonts w:ascii="Cambria" w:cs="Cambria" w:eastAsia="Cambria" w:hAnsi="Cambria"/>
          <w:color w:val="000000"/>
          <w:sz w:val="24"/>
          <w:szCs w:val="24"/>
        </w:rPr>
        <w:t xml:space="preserve">In the implemented system the approval threshold is N-of-N: N = |G|, so that every designated guardian must sign, and the evaluated configuration is accordingly 2-of-2. Consequently, a configurable k-of-n threshold remains an item of future work rather than a property of the demonstrated prototype.</w:t>
      </w:r>
    </w:p>
    <w:p>
      <w:pPr>
        <w:spacing w:after="140" w:line="300"/>
        <w:jc w:val="both"/>
      </w:pPr>
      <w:r>
        <w:rPr>
          <w:rFonts w:ascii="Cambria" w:cs="Cambria" w:eastAsia="Cambria" w:hAnsi="Cambria"/>
          <w:color w:val="000000"/>
          <w:sz w:val="24"/>
          <w:szCs w:val="24"/>
        </w:rPr>
        <w:t xml:space="preserve">In the demonstrated prototype, purpose compatibility is evaluated as an exact match against the consent purpose, which is stored on-chain as keccak256(purpose). </w:t>
      </w:r>
      <w:r>
        <w:rPr>
          <w:rFonts w:ascii="Cambria" w:cs="Cambria" w:eastAsia="Cambria" w:hAnsi="Cambria"/>
          <w:color w:val="E6007E"/>
          <w:sz w:val="24"/>
          <w:szCs w:val="24"/>
        </w:rPr>
        <w:t xml:space="preserve">A formal proof that no execution path can violate the privacy policy is, however, deliberately left to future work.</w:t>
      </w:r>
    </w:p>
    <w:p>
      <w:pPr>
        <w:spacing w:after="140" w:line="300"/>
        <w:jc w:val="both"/>
      </w:pPr>
      <w:r>
        <w:rPr>
          <w:rFonts w:ascii="Cambria" w:cs="Cambria" w:eastAsia="Cambria" w:hAnsi="Cambria"/>
          <w:color w:val="0000CC"/>
          <w:sz w:val="24"/>
          <w:szCs w:val="24"/>
        </w:rPr>
        <w:t xml:space="preserve">In the HALAH implementation, this step is realised by generating and verifying a Groth16 zero-knowledge proof that the requester holds the consent secret committed on-chain through a Poseidon hash and that the consent has not expired at time t; the proof mode is recorded with the decision in the audit ledger. Therefore, the proof constitutes the access evidence required by Algorithm 4 (line 28) before any data are retrieved.</w:t>
      </w:r>
    </w:p>
    <w:p>
      <w:pPr>
        <w:spacing w:after="140" w:line="300"/>
        <w:jc w:val="both"/>
      </w:pPr>
      <w:r>
        <w:rPr>
          <w:rFonts w:ascii="Cambria" w:cs="Cambria" w:eastAsia="Cambria" w:hAnsi="Cambria"/>
          <w:sz w:val="24"/>
          <w:szCs w:val="24"/>
        </w:rPr>
        <w:t xml:space="preserve">The final access decision can be formally expressed as </w:t>
      </w:r>
      <w:r>
        <w:rPr>
          <w:rFonts w:ascii="Cambria" w:cs="Cambria" w:eastAsia="Cambria" w:hAnsi="Cambria"/>
          <w:color w:val="E6007E"/>
          <w:sz w:val="24"/>
          <w:szCs w:val="24"/>
        </w:rPr>
        <w:t xml:space="preserve">ALLOW ⟺ Identity ∧ Consent ∧ Authority ∧ Threshold ∧ Purpose ∧ Scope ∧ Time ∧ Jurisdiction ∧ Evidence</w:t>
      </w:r>
      <w:r>
        <w:rPr>
          <w:rFonts w:ascii="Cambria" w:cs="Cambria" w:eastAsia="Cambria" w:hAnsi="Cambria"/>
          <w:sz w:val="24"/>
          <w:szCs w:val="24"/>
        </w:rPr>
        <w:t xml:space="preserve"> where the individual conditions represent verified participant identity, active consent, sufficient authority, satisfied multi-party approval, </w:t>
      </w:r>
      <w:r>
        <w:rPr>
          <w:rFonts w:ascii="Cambria" w:cs="Cambria" w:eastAsia="Cambria" w:hAnsi="Cambria"/>
          <w:color w:val="E6007E"/>
          <w:sz w:val="24"/>
          <w:szCs w:val="24"/>
        </w:rPr>
        <w:t xml:space="preserve">compatible purpose, authorised data scope, temporal validity, jurisdictional match, and sufficient decision evidence, respectively.</w:t>
      </w:r>
      <w:r>
        <w:rPr>
          <w:rFonts w:ascii="Cambria" w:cs="Cambria" w:eastAsia="Cambria" w:hAnsi="Cambria"/>
          <w:sz w:val="24"/>
          <w:szCs w:val="24"/>
        </w:rPr>
        <w:t xml:space="preserve"> This procedure establishes an important distinction between authentication, consent, and authorisation.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 The procedure also implements the principle of least privilege through the explicit scope-containment condition that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 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The resulting end-to-end authorisation lifecycle can be summarised as</w:t>
      </w:r>
    </w:p>
    <w:p>
      <w:pPr>
        <w:tabs>
          <w:tab w:val="right" w:pos="9360"/>
        </w:tabs>
        <w:spacing w:after="160" w:before="60"/>
        <w:jc w:val="center"/>
      </w:pPr>
      <w:r>
        <w:rPr>
          <w:rFonts w:ascii="Cambria Math" w:cs="Cambria Math" w:eastAsia="Cambria Math" w:hAnsi="Cambria Math"/>
          <w:i/>
          <w:iCs/>
          <w:sz w:val="22"/>
          <w:szCs w:val="22"/>
        </w:rPr>
        <w:t xml:space="preserve">Consent Creation ⟶ Identity Verification ⟶ Multi-Party Auth ⟶ Policy Decision</w:t>
      </w:r>
    </w:p>
    <w:p>
      <w:pPr>
        <w:spacing w:after="140" w:line="300"/>
        <w:jc w:val="both"/>
      </w:pPr>
      <w:r>
        <w:rPr>
          <w:rFonts w:ascii="Cambria" w:cs="Cambria" w:eastAsia="Cambria" w:hAnsi="Cambria"/>
          <w:sz w:val="24"/>
          <w:szCs w:val="24"/>
        </w:rP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p>
      <w:pPr>
        <w:pStyle w:val="Heading2"/>
        <w:spacing w:after="160" w:before="280"/>
      </w:pPr>
      <w:r>
        <w:rPr>
          <w:rFonts w:ascii="Cambria" w:cs="Cambria" w:eastAsia="Cambria" w:hAnsi="Cambria"/>
          <w:sz w:val="24"/>
          <w:szCs w:val="24"/>
        </w:rPr>
        <w:t xml:space="preserve">6.5  Temporal and Lifecycle Trust for RO5</w:t>
      </w:r>
    </w:p>
    <w:p>
      <w:pPr>
        <w:spacing w:after="140" w:line="300"/>
        <w:jc w:val="both"/>
      </w:pPr>
      <w:r>
        <w:rPr>
          <w:rFonts w:ascii="Cambria" w:cs="Cambria" w:eastAsia="Cambria" w:hAnsi="Cambria"/>
          <w:sz w:val="24"/>
          <w:szCs w:val="24"/>
        </w:rPr>
        <w:t xml:space="preserve">RO5 addresses RQ5 and extends the foundational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authorisation model with temporal validity and consent lifecycle controls. </w:t>
      </w:r>
      <w:r>
        <w:rPr>
          <w:rFonts w:ascii="Cambria" w:cs="Cambria" w:eastAsia="Cambria" w:hAnsi="Cambria"/>
          <w:color w:val="E6007E"/>
          <w:sz w:val="24"/>
          <w:szCs w:val="24"/>
        </w:rPr>
        <w:t xml:space="preserve">Although this objective was originally planned for the next stage (CA3), it has been realised in the current prototype; it investigates how an authorisation remains trustworthy as time passes and as the consent state changes.</w:t>
      </w:r>
      <w:r>
        <w:rPr>
          <w:rFonts w:ascii="Cambria" w:cs="Cambria" w:eastAsia="Cambria" w:hAnsi="Cambria"/>
          <w:sz w:val="24"/>
          <w:szCs w:val="24"/>
        </w:rPr>
        <w:t xml:space="preserve"> The current stage model evaluates identity, collective authorisation, and policy compliance. </w:t>
      </w:r>
      <w:r>
        <w:rPr>
          <w:rFonts w:ascii="Cambria" w:cs="Cambria" w:eastAsia="Cambria" w:hAnsi="Cambria"/>
          <w:color w:val="E6007E"/>
          <w:sz w:val="24"/>
          <w:szCs w:val="24"/>
        </w:rPr>
        <w:t xml:space="preserve">RO5 extends this model by introducing temporal and lifecycle conditions. The temporal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1,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0, otherwise.</w:t>
      </w:r>
      <w:r>
        <w:rPr>
          <w:rFonts w:ascii="Cambria" w:cs="Cambria" w:eastAsia="Cambria" w:hAnsi="Cambria"/>
          <w:sz w:val="22"/>
          <w:szCs w:val="22"/>
        </w:rPr>
        <w:t xml:space="preserve">	(58)</w:t>
      </w:r>
    </w:p>
    <w:p>
      <w:pPr>
        <w:spacing w:after="140" w:line="300"/>
        <w:jc w:val="both"/>
      </w:pPr>
      <w:r>
        <w:rPr>
          <w:rFonts w:ascii="Cambria" w:cs="Cambria" w:eastAsia="Cambria" w:hAnsi="Cambria"/>
          <w:color w:val="E6007E"/>
          <w:sz w:val="24"/>
          <w:szCs w:val="24"/>
        </w:rPr>
        <w:t xml:space="preserve">The jurisdictional condition, written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R) here and abbreviated to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in the decision rules that follow because the request R is understood, can be expressed as</w:t>
      </w:r>
    </w:p>
    <w:p>
      <w:pPr>
        <w:tabs>
          <w:tab w:val="right" w:pos="9360"/>
        </w:tabs>
        <w:spacing w:after="160" w:before="60"/>
        <w:jc w:val="center"/>
      </w:pPr>
      <w:r>
        <w:rPr>
          <w:rFonts w:ascii="Cambria Math" w:cs="Cambria Math" w:eastAsia="Cambria Math" w:hAnsi="Cambria Math"/>
          <w:i/>
          <w:iCs/>
          <w:color w:val="000000"/>
          <w:sz w:val="22"/>
          <w:szCs w:val="22"/>
        </w:rPr>
        <w:t xml:space="preserve">V</w:t>
      </w:r>
      <w:r>
        <w:rPr>
          <w:rFonts w:ascii="Cambria Math" w:cs="Cambria Math" w:eastAsia="Cambria Math" w:hAnsi="Cambria Math"/>
          <w:i/>
          <w:iCs/>
          <w:color w:val="000000"/>
          <w:sz w:val="22"/>
          <w:szCs w:val="22"/>
          <w:vertAlign w:val="subscript"/>
        </w:rPr>
        <w:t xml:space="preserve">L</w:t>
      </w:r>
      <w:r>
        <w:rPr>
          <w:rFonts w:ascii="Cambria Math" w:cs="Cambria Math" w:eastAsia="Cambria Math" w:hAnsi="Cambria Math"/>
          <w:i/>
          <w:iCs/>
          <w:color w:val="000000"/>
          <w:sz w:val="22"/>
          <w:szCs w:val="22"/>
        </w:rPr>
        <w:t xml:space="preserve">(C, R) = 1 ⟺ Jur(R) = Jur(C) ∨ Jur(C) = ∅</w:t>
      </w:r>
      <w:r>
        <w:rPr>
          <w:rFonts w:ascii="Cambria" w:cs="Cambria" w:eastAsia="Cambria" w:hAnsi="Cambria"/>
          <w:color w:val="000000"/>
          <w:sz w:val="22"/>
          <w:szCs w:val="22"/>
        </w:rPr>
        <w:t xml:space="preserve">	(59)</w:t>
      </w:r>
    </w:p>
    <w:p>
      <w:pPr>
        <w:spacing w:after="140" w:line="300"/>
        <w:jc w:val="both"/>
      </w:pPr>
      <w:r>
        <w:rPr>
          <w:rFonts w:ascii="Cambria" w:cs="Cambria" w:eastAsia="Cambria" w:hAnsi="Cambria"/>
          <w:color w:val="000000"/>
          <w:sz w:val="24"/>
          <w:szCs w:val="24"/>
        </w:rPr>
        <w:t xml:space="preserve">where Jur(·) denotes the jurisdiction attribute, recorded on-chain as a two-letter ISO code, and where lifecycle state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rather than within this predicate. This is important because it is precisely this check that produced the demonstrated denial in which a request declaring jurisdiction SA was refused against a consent issued for AU. </w:t>
      </w:r>
      <w:r>
        <w:rPr>
          <w:rFonts w:ascii="Cambria" w:cs="Cambria" w:eastAsia="Cambria" w:hAnsi="Cambria"/>
          <w:color w:val="0000CC"/>
          <w:sz w:val="24"/>
          <w:szCs w:val="24"/>
        </w:rPr>
        <w:t xml:space="preserve">It should be noted that, because the jurisdiction L is validated and bound at consent creation (Section 6.1.1), the disjunct Jur(C) = ∅ is not reached for any consent created through the current interface, so that in the demonstrated system the predicate reduces to strict equality, as Section 6.8.5 confirms.</w:t>
      </w:r>
    </w:p>
    <w:p>
      <w:pPr>
        <w:spacing w:after="140" w:line="300"/>
        <w:jc w:val="both"/>
      </w:pPr>
      <w:r>
        <w:rPr>
          <w:rFonts w:ascii="Cambria" w:cs="Cambria" w:eastAsia="Cambria" w:hAnsi="Cambria"/>
          <w:sz w:val="24"/>
          <w:szCs w:val="24"/>
        </w:rPr>
        <w:t xml:space="preserve">The extended authorisation decision is therefore</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(60)</w:t>
      </w:r>
    </w:p>
    <w:p>
      <w:pPr>
        <w:spacing w:after="140" w:line="300"/>
        <w:jc w:val="both"/>
      </w:pPr>
      <w:r>
        <w:rPr>
          <w:rFonts w:ascii="Cambria" w:cs="Cambria" w:eastAsia="Cambria" w:hAnsi="Cambria"/>
          <w:sz w:val="24"/>
          <w:szCs w:val="24"/>
        </w:rP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p>
      <w:pPr>
        <w:pStyle w:val="Heading3"/>
        <w:spacing w:after="160" w:before="280"/>
      </w:pPr>
      <w:r>
        <w:rPr>
          <w:rFonts w:ascii="Cambria" w:cs="Cambria" w:eastAsia="Cambria" w:hAnsi="Cambria"/>
          <w:sz w:val="24"/>
          <w:szCs w:val="24"/>
        </w:rPr>
        <w:t xml:space="preserve">6.5.1  RO5 Temporal and Lifecycle Workflow</w:t>
      </w:r>
    </w:p>
    <w:p>
      <w:pPr>
        <w:spacing w:after="140" w:line="300"/>
        <w:jc w:val="both"/>
      </w:pPr>
      <w:r>
        <w:rPr>
          <w:rFonts w:ascii="Cambria" w:cs="Cambria" w:eastAsia="Cambria" w:hAnsi="Cambria"/>
          <w:color w:val="000000"/>
          <w:sz w:val="24"/>
          <w:szCs w:val="24"/>
        </w:rPr>
        <w:t xml:space="preserve">Temporal and lifecycle enforcement is implemented in the demonstrated prototype. In particular, the Consent Engine evaluates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 t ≤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at every access request, the deployed contract stores the notBefore and expiry fields and exposes the checkValid and checkValidAt functions, and revocation is executed both in the application state and as an on-chain revoke transaction confirmed in block 11,771,307.</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implemented</w:t>
      </w:r>
      <w:r>
        <w:rPr>
          <w:rFonts w:ascii="Cambria" w:cs="Cambria" w:eastAsia="Cambria" w:hAnsi="Cambria"/>
          <w:sz w:val="24"/>
          <w:szCs w:val="24"/>
        </w:rPr>
        <w:t xml:space="preserve"> workflow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Heading3"/>
        <w:spacing w:after="160" w:before="280"/>
      </w:pPr>
      <w:r>
        <w:rPr>
          <w:rFonts w:ascii="Cambria" w:cs="Cambria" w:eastAsia="Cambria" w:hAnsi="Cambria"/>
          <w:sz w:val="24"/>
          <w:szCs w:val="24"/>
        </w:rPr>
        <w:t xml:space="preserve">6.5.2  Procedure for Temporal and Lifecycle Validation</w:t>
      </w:r>
    </w:p>
    <w:p>
      <w:pPr>
        <w:spacing w:after="140" w:line="300"/>
        <w:jc w:val="both"/>
      </w:pPr>
      <w:r>
        <w:rPr>
          <w:rFonts w:ascii="Cambria" w:cs="Cambria" w:eastAsia="Cambria" w:hAnsi="Cambria"/>
          <w:sz w:val="24"/>
          <w:szCs w:val="24"/>
        </w:rP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 1. Step 1 – Retrieve the Consent Validity Interval. The system retrieves the start time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and expiry time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associated with consent object C. These temporal attributes define the period during which the consent is potentially valid. The consent validity interval is represented as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system uses the current time t to determine whether the consent is currently within its defined validity period. 2. Step 2 – Validate the Current Time. The system compares the current time t with the consent validity interval. Temporal validity requires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If t &lt;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or t &gt;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consent is considered temporally invalid. The system records the temporal invalidity evidence and returns INVALID. This step prevents a consent from being used before its effective start time or after its expiration time. 3. Step 3 – Retrieve the Current Lifecycle State. If the temporal condition is satisfied, the system retrieves the current lifecycle state of consent object C. Typical lifecycle states may include CREATED, PENDING, ACTIVE, SUSPENDED, REVOKED, and EXPIRED, depending on the system configuration. The current state is used to determine whether the requested operation can legally and logically be performed. 4. Step 4 – Validate State-Dependent Operations. The system evaluates whether the current lifecycle state permits the requested operation q. Different operations may be permitted only in specific lifecycle states. For example, activation may require a consent to be in a pending state, while data access may require the consent to be active.</w:t>
      </w:r>
    </w:p>
    <w:p>
      <w:pPr>
        <w:spacing w:after="140" w:line="300"/>
        <w:jc w:val="both"/>
      </w:pPr>
      <w:r>
        <w:rPr>
          <w:rFonts w:ascii="Cambria" w:cs="Cambria" w:eastAsia="Cambria" w:hAnsi="Cambria"/>
          <w:color w:val="000000"/>
          <w:sz w:val="24"/>
          <w:szCs w:val="24"/>
        </w:rPr>
        <w:t xml:space="preserve">The implemented lifecycle states are PENDING_SIGNATURE, PENDING_TOKEN, NOT_STARTED, ACTIVE, EXPIRED and REVOKED.</w:t>
      </w:r>
    </w:p>
    <w:p>
      <w:pPr>
        <w:spacing w:after="140" w:line="300"/>
        <w:jc w:val="both"/>
      </w:pPr>
      <w:r>
        <w:rPr>
          <w:rFonts w:ascii="Cambria" w:cs="Cambria" w:eastAsia="Cambria" w:hAnsi="Cambria"/>
          <w:sz w:val="24"/>
          <w:szCs w:val="24"/>
        </w:rPr>
        <w:t xml:space="preserve">The state transition condition can be represented as State(C) |= q. If the current state does not permit operation q, the system records an invalid lifecycle-state event and returns INVALID. 5. Step 5 – Check Revocation Status. The system explicitly checks whether consent object C has been revoked. Revocation represents a deliberate termination of the previously granted consent and must therefore override an otherwise valid temporal interval. Formally, Revoked(C) = false must hold for the consent to remain usable. If Revoked(C) = true, the system records revocation-based invalidity and returns INVALID. 6. Step 6 – Validate the Requested Lifecycle Transition. If the consent is temporally valid, in an appropriate lifecycle state, and has not been revoked, the system validates the requested transition q. The transition is evaluated against the predefined lifecycle-transition policy: State(C) →</w:t>
      </w:r>
      <w:r>
        <w:rPr>
          <w:rFonts w:ascii="Cambria" w:cs="Cambria" w:eastAsia="Cambria" w:hAnsi="Cambria"/>
          <w:sz w:val="24"/>
          <w:szCs w:val="24"/>
          <w:vertAlign w:val="superscript"/>
        </w:rPr>
        <w:t xml:space="preserve">q</w:t>
      </w:r>
      <w:r>
        <w:rPr>
          <w:rFonts w:ascii="Cambria" w:cs="Cambria" w:eastAsia="Cambria" w:hAnsi="Cambria"/>
          <w:sz w:val="24"/>
          <w:szCs w:val="24"/>
        </w:rPr>
        <w:t xml:space="preserve"> State′(C). The transition is valid only when q is explicitly permitted from the current state. If the transition is not permitted, the system records an unauthorised state-transition event and returns INVALID. 7. Step 7 – Establish Temporal and Lifecycle Consistency. After all individual checks have succeeded, the system establishes that the consent is simultaneously valid in terms of time, lifecycle state, revocation status, and requested transition. The overall lifecycle-validity condition can therefore be expressed as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TimeValid(C, t) ∧ StateValid(C, q) ∧ ¬Revoked(C) ∧ TransitionValid(C, q). Only when all four conditions are satisfied can the consent proceed to the subsequent operation. 8. Step 8 – Record Temporal and Lifecycle Evidence. The system records evidence associated with the successful validation. The evidence may include the consent identifier, current timestamp, validity interval, current lifecycle state, revocation status, requested transition, and validation result. This evidence establishes an auditable relationship between the consent’s lifecycle state and the operation performed at a particular point in time. </w:t>
      </w:r>
      <w:r>
        <w:rPr>
          <w:rFonts w:ascii="Cambria" w:cs="Cambria" w:eastAsia="Cambria" w:hAnsi="Cambria"/>
          <w:color w:val="E6007E"/>
          <w:sz w:val="24"/>
          <w:szCs w:val="24"/>
        </w:rPr>
        <w:t xml:space="preserve">It should be noted that the symbol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in this section denotes the lifecycle predicate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of Eq. (13), extended here with the temporal condition of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which the implementation evaluates within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and that it must not be confused with the data-scope predicate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R) of Eq. (52); for this reason the lifecycle predicate is always written with three arguments,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t, q), in this section. It is evaluated by this procedure</w:t>
      </w:r>
      <w:r>
        <w:rPr>
          <w:rFonts w:ascii="Cambria" w:cs="Cambria" w:eastAsia="Cambria" w:hAnsi="Cambria"/>
          <w:color w:val="000000"/>
          <w:sz w:val="24"/>
          <w:szCs w:val="24"/>
        </w:rPr>
        <w:t xml:space="preserve">; it is distinct from the jurisdictional predicate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of the decision rule, which is evaluated separately.</w:t>
      </w:r>
    </w:p>
    <w:p>
      <w:pPr>
        <w:spacing w:after="140" w:line="300"/>
        <w:jc w:val="both"/>
      </w:pPr>
      <w:r>
        <w:rPr>
          <w:rFonts w:ascii="Cambria" w:cs="Cambria" w:eastAsia="Cambria" w:hAnsi="Cambria"/>
          <w:sz w:val="24"/>
          <w:szCs w:val="24"/>
        </w:rPr>
        <w:t xml:space="preserve">9. Step 9 – Return the Lifecycle Validation Result. If all temporal and lifecycle conditions are satisfied, the system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VALID. If any mandatory condition fails, the procedure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INVALID. The overall validation process can therefore be represented as C →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State(C) → Revocation → q → Lifecycle Validation → Evidence → { VALID; INVALID }. The complete lifecycle-validity condition can be summarised as VALID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 State(C) |= q ∧ ¬Revoked(C) ∧ TransitionPermitted(q) This procedure establishes that consent validity is not a static property. Instead, the validity of consent is a function of both time and lifecycle state that Validity(C) = f(t, State(C), Revocation(C)). Consequently, a consent that was valid at time t</w:t>
      </w:r>
      <w:r>
        <w:rPr>
          <w:rFonts w:ascii="Cambria" w:cs="Cambria" w:eastAsia="Cambria" w:hAnsi="Cambria"/>
          <w:sz w:val="24"/>
          <w:szCs w:val="24"/>
          <w:vertAlign w:val="subscript"/>
        </w:rPr>
        <w:t xml:space="preserve">1</w:t>
      </w:r>
      <w:r>
        <w:rPr>
          <w:rFonts w:ascii="Cambria" w:cs="Cambria" w:eastAsia="Cambria" w:hAnsi="Cambria"/>
          <w:sz w:val="24"/>
          <w:szCs w:val="24"/>
        </w:rPr>
        <w:t xml:space="preserve"> may become invalid at a later time t</w:t>
      </w:r>
      <w:r>
        <w:rPr>
          <w:rFonts w:ascii="Cambria" w:cs="Cambria" w:eastAsia="Cambria" w:hAnsi="Cambria"/>
          <w:sz w:val="24"/>
          <w:szCs w:val="24"/>
          <w:vertAlign w:val="subscript"/>
        </w:rPr>
        <w:t xml:space="preserve">2</w:t>
      </w:r>
      <w:r>
        <w:rPr>
          <w:rFonts w:ascii="Cambria" w:cs="Cambria" w:eastAsia="Cambria" w:hAnsi="Cambria"/>
          <w:sz w:val="24"/>
          <w:szCs w:val="24"/>
        </w:rPr>
        <w:t xml:space="preserve"> because it has expired, been revoked, suspended, or otherwise transitioned into a state that does not permit the requested operation. The explicit lifecycle validation also introduces an important distinction between consent existence and consent usability.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 ConsentExists(C) ⇏ ConsentUsable(C, t). Instead, ConsentUsable(C, t) ⇒ TimeValid(C, t) ∧ StateValid(C) ∧ ¬Revoked(C). 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overall flow can therefore be summarised as Consent → Identity → Authority → Policy → Temporal/Lifecycle Validation → Access</w:t>
      </w:r>
    </w:p>
    <w:p>
      <w:pPr>
        <w:spacing w:after="140" w:line="300"/>
        <w:jc w:val="both"/>
      </w:pPr>
      <w:r>
        <w:rPr>
          <w:rFonts w:ascii="Cambria" w:cs="Cambria" w:eastAsia="Cambria" w:hAnsi="Cambria"/>
          <w:color w:val="E6007E"/>
          <w:sz w:val="24"/>
          <w:szCs w:val="24"/>
        </w:rPr>
        <w:t xml:space="preserve">The lifecycle validation mechanism can therefore be interpreted as a per- request validity layer</w:t>
      </w:r>
      <w:r>
        <w:rPr>
          <w:rFonts w:ascii="Cambria" w:cs="Cambria" w:eastAsia="Cambria" w:hAnsi="Cambria"/>
          <w:color w:val="000000"/>
          <w:sz w:val="24"/>
          <w:szCs w:val="24"/>
        </w:rPr>
        <w:t xml:space="preserve">: validity is re-established at each evaluated access request and recorded as a STATE_CHECK event in the audit ledger, rather than being assumed to persist between requests.</w:t>
      </w:r>
    </w:p>
    <w:p>
      <w:pPr>
        <w:spacing w:after="140" w:line="300"/>
        <w:jc w:val="both"/>
      </w:pPr>
      <w:r>
        <w:rPr>
          <w:rFonts w:ascii="Cambria" w:cs="Cambria" w:eastAsia="Cambria" w:hAnsi="Cambria"/>
          <w:sz w:val="24"/>
          <w:szCs w:val="24"/>
        </w:rPr>
        <w:t xml:space="preserve">Rather than treating authorisation as a one-time event, this approach enables the system to determine whether authorisation remains valid at the precise time an operation is requested. This is particularly important </w:t>
      </w:r>
      <w:r>
        <w:rPr>
          <w:rFonts w:ascii="Cambria" w:cs="Cambria" w:eastAsia="Cambria" w:hAnsi="Cambria"/>
          <w:color w:val="E6007E"/>
          <w:sz w:val="24"/>
          <w:szCs w:val="24"/>
        </w:rPr>
        <w:t xml:space="preserve">for dynamic consent environments [13, 24] in which permissions may expire, be revoked, suspended, renewed, or otherwise modified</w:t>
      </w:r>
      <w:r>
        <w:rPr>
          <w:rFonts w:ascii="Cambria" w:cs="Cambria" w:eastAsia="Cambria" w:hAnsi="Cambria"/>
          <w:sz w:val="24"/>
          <w:szCs w:val="24"/>
        </w:rPr>
        <w:t xml:space="preserve"> during the lifecycle of a healthcare data-sharing relationship.</w:t>
      </w:r>
    </w:p>
    <w:p>
      <w:pPr>
        <w:pStyle w:val="Heading3"/>
        <w:spacing w:after="160" w:before="280"/>
      </w:pPr>
      <w:r>
        <w:rPr>
          <w:rFonts w:ascii="Cambria" w:cs="Cambria" w:eastAsia="Cambria" w:hAnsi="Cambria"/>
          <w:sz w:val="24"/>
          <w:szCs w:val="24"/>
        </w:rPr>
        <w:t xml:space="preserve">6.5.3  Algorithm 5: Temporal and Lifecycle Validation</w:t>
      </w:r>
    </w:p>
    <w:p>
      <w:pPr>
        <w:pBdr>
          <w:top w:val="single" w:color="000000" w:sz="12"/>
          <w:bottom w:val="single" w:color="000000" w:sz="6"/>
        </w:pBdr>
        <w:spacing w:after="40" w:before="220"/>
      </w:pPr>
      <w:r>
        <w:rPr>
          <w:rFonts w:ascii="Cambria" w:cs="Cambria" w:eastAsia="Cambria" w:hAnsi="Cambria"/>
          <w:b/>
          <w:bCs/>
          <w:sz w:val="21"/>
          <w:szCs w:val="21"/>
        </w:rPr>
        <w:t xml:space="preserve">Algorithm 5 </w:t>
      </w:r>
      <w:r>
        <w:rPr>
          <w:rFonts w:ascii="Cambria" w:cs="Cambria" w:eastAsia="Cambria" w:hAnsi="Cambria"/>
          <w:sz w:val="21"/>
          <w:szCs w:val="21"/>
        </w:rPr>
        <w:t xml:space="preserve">Temporal and Lifecycle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current time t, requested transition q</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Lifecycle validity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consent start time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and expiry time t</w:t>
      </w:r>
      <w:r>
        <w:rPr>
          <w:rFonts w:ascii="Cambria" w:cs="Cambria" w:eastAsia="Cambria" w:hAnsi="Cambria"/>
          <w:sz w:val="21"/>
          <w:szCs w:val="21"/>
          <w:vertAlign w:val="subscript"/>
        </w:rPr>
        <w:t xml:space="preserve">e</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t &lt;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or t &gt;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temporal invalidity</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Retrieve current lifecycle state of C</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current state does not permit the requested operation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invalid lifecycle state</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Check whether C has been revoked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C is revoked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revocation-based invalidity</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Validate requested transition q</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transition q is not permitted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unauthorised state transition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valid temporal and lifecycle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spacing w:after="140" w:line="300"/>
        <w:jc w:val="both"/>
      </w:pPr>
      <w:r>
        <w:rPr>
          <w:rFonts w:ascii="Cambria" w:cs="Cambria" w:eastAsia="Cambria" w:hAnsi="Cambria"/>
          <w:color w:val="000000"/>
          <w:sz w:val="24"/>
          <w:szCs w:val="24"/>
        </w:rPr>
        <w:t xml:space="preserve">Algorithm 5 is implemented in the current prototype. Its checks are executed at every access request and recorded as STATE_CHECK events in the audit ledger, so that expiration, revocation and controlled state transitions already condition the demonstrated access decisions rather than awaiting a later implementation stage.</w:t>
      </w:r>
    </w:p>
    <w:p>
      <w:pPr>
        <w:keepNext/>
        <w:spacing w:after="60" w:before="140"/>
        <w:jc w:val="center"/>
      </w:pPr>
      <w:r>
        <w:drawing>
          <wp:inline distT="0" distB="0" distL="0" distR="0">
            <wp:extent cx="4095750" cy="5876925"/>
            <wp:effectExtent t="0" r="0" b="0" l="0"/>
            <wp:docPr id="1" name="gfig11.png" descr="Figure 15: RO5 workflow for temporal and consent lifecycle trust" title="Figure 15: RO5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5876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15: RO5 workflow for temporal and consent lifecycle trust</w:t>
      </w:r>
    </w:p>
    <w:p>
      <w:pPr>
        <w:spacing w:after="140" w:line="300"/>
        <w:jc w:val="both"/>
      </w:pPr>
      <w:r>
        <w:rPr>
          <w:rFonts w:ascii="Cambria" w:cs="Cambria" w:eastAsia="Cambria" w:hAnsi="Cambria"/>
          <w:sz w:val="24"/>
          <w:szCs w:val="24"/>
        </w:rPr>
        <w:t xml:space="preserve">Algorithm 5 extends the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decision process by ensuring that consent validity is dynamic rather than permanent.</w:t>
      </w:r>
    </w:p>
    <w:p>
      <w:pPr>
        <w:pStyle w:val="Heading2"/>
        <w:spacing w:after="160" w:before="280"/>
      </w:pPr>
      <w:r>
        <w:rPr>
          <w:rFonts w:ascii="Cambria" w:cs="Cambria" w:eastAsia="Cambria" w:hAnsi="Cambria"/>
          <w:sz w:val="24"/>
          <w:szCs w:val="24"/>
        </w:rPr>
        <w:t xml:space="preserve">6.6  Formal Security Assurance and Empirical Validation for RO6</w:t>
      </w:r>
    </w:p>
    <w:p>
      <w:pPr>
        <w:spacing w:after="140" w:line="300"/>
        <w:jc w:val="both"/>
      </w:pPr>
      <w:r>
        <w:rPr>
          <w:rFonts w:ascii="Cambria" w:cs="Cambria" w:eastAsia="Cambria" w:hAnsi="Cambria"/>
          <w:sz w:val="24"/>
          <w:szCs w:val="24"/>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 </w:t>
      </w:r>
      <w:r>
        <w:rPr>
          <w:rFonts w:ascii="Cambria" w:cs="Cambria" w:eastAsia="Cambria" w:hAnsi="Cambria"/>
          <w:color w:val="E6007E"/>
          <w:sz w:val="24"/>
          <w:szCs w:val="24"/>
        </w:rPr>
        <w:t xml:space="preserve">The formal decision model is expressed in Equation (61) below.</w:t>
      </w:r>
    </w:p>
    <w:p>
      <w:pPr>
        <w:spacing w:after="140" w:line="300"/>
        <w:jc w:val="both"/>
      </w:pPr>
      <w:r>
        <w:rPr>
          <w:rFonts w:ascii="Cambria" w:cs="Cambria" w:eastAsia="Cambria" w:hAnsi="Cambria"/>
          <w:color w:val="000000"/>
          <w:sz w:val="24"/>
          <w:szCs w:val="24"/>
        </w:rPr>
        <w:t xml:space="preserve">The empirical half of this objective has been carried out on the demonstrated prototype, whereas formal proofs and model checking of the authorisation properties remain future work. Figure 16 accordingly presents the RO6 workflow for security assurance, in which the empirical branch has been executed and the formal branch remains planned. </w:t>
      </w:r>
      <w:r>
        <w:rPr>
          <w:rFonts w:ascii="Cambria" w:cs="Cambria" w:eastAsia="Cambria" w:hAnsi="Cambria"/>
          <w:color w:val="0000CC"/>
          <w:sz w:val="24"/>
          <w:szCs w:val="24"/>
        </w:rPr>
        <w:t xml:space="preserve">The empirical evidence comprises the 23 automated tests that exercise per-dimension failures of the decision matrix, invalid EIP-712 guardian signatures and tampered or expired proofs, the live jurisdiction-based denial and the revocation followed by refusal on Sepolia, and the independent re-verification of every recorded transaction against the chain, all of which are presented in Section 6.8.</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(61)</w:t>
      </w:r>
    </w:p>
    <w:p>
      <w:pPr>
        <w:spacing w:after="140" w:line="300"/>
        <w:jc w:val="both"/>
      </w:pPr>
      <w:r>
        <w:rPr>
          <w:rFonts w:ascii="Cambria" w:cs="Cambria" w:eastAsia="Cambria" w:hAnsi="Cambria"/>
          <w:color w:val="E6007E"/>
          <w:sz w:val="24"/>
          <w:szCs w:val="24"/>
        </w:rPr>
        <w:t xml:space="preserve">The soundness property actually validated is Decision(C, R, t) = ALLOW ⇒ V</w:t>
      </w:r>
      <w:r>
        <w:rPr>
          <w:rFonts w:ascii="Cambria" w:cs="Cambria" w:eastAsia="Cambria" w:hAnsi="Cambria"/>
          <w:color w:val="E6007E"/>
          <w:sz w:val="24"/>
          <w:szCs w:val="24"/>
          <w:vertAlign w:val="subscript"/>
        </w:rPr>
        <w:t xml:space="preserve">I</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of which Equations (62) and (63) give the foundational three-predicate form; and each conjunct of the five-predicate rule is exercised by a dedicated per-dimension failure test</w:t>
      </w:r>
      <w:r>
        <w:rPr>
          <w:rFonts w:ascii="Cambria" w:cs="Cambria" w:eastAsia="Cambria" w:hAnsi="Cambria"/>
          <w:color w:val="000000"/>
          <w:sz w:val="24"/>
          <w:szCs w:val="24"/>
        </w:rPr>
        <w:t xml:space="preserve"> that confirms access is denied when that predicate alone fails.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(62)</w:t>
      </w:r>
    </w:p>
    <w:p>
      <w:pPr>
        <w:spacing w:after="140" w:line="300"/>
        <w:jc w:val="both"/>
      </w:pPr>
      <w:r>
        <w:rPr>
          <w:rFonts w:ascii="Cambria" w:cs="Cambria" w:eastAsia="Cambria" w:hAnsi="Cambria"/>
          <w:sz w:val="24"/>
          <w:szCs w:val="24"/>
        </w:rPr>
        <w:t xml:space="preserve">This implication expresses the soundness requirement that every granted request must satisfy the identity, authorisation, and policy conditions. Conversely, if any mandatory condition is violated, the request must be denied:</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Decision(C, R) = DENY.</w:t>
      </w:r>
      <w:r>
        <w:rPr>
          <w:rFonts w:ascii="Cambria" w:cs="Cambria" w:eastAsia="Cambria" w:hAnsi="Cambria"/>
          <w:sz w:val="22"/>
          <w:szCs w:val="22"/>
        </w:rPr>
        <w:t xml:space="preserve">	(63)</w:t>
      </w:r>
    </w:p>
    <w:p>
      <w:pPr>
        <w:pStyle w:val="Heading3"/>
        <w:spacing w:after="160" w:before="280"/>
      </w:pPr>
      <w:r>
        <w:rPr>
          <w:rFonts w:ascii="Cambria" w:cs="Cambria" w:eastAsia="Cambria" w:hAnsi="Cambria"/>
          <w:sz w:val="24"/>
          <w:szCs w:val="24"/>
        </w:rPr>
        <w:t xml:space="preserve">6.6.1  RO6 Assurance and Validation Workflow</w:t>
      </w:r>
    </w:p>
    <w:p>
      <w:pPr>
        <w:spacing w:after="140" w:line="300"/>
        <w:jc w:val="both"/>
      </w:pPr>
      <w:r>
        <w:rPr>
          <w:rFonts w:ascii="Cambria" w:cs="Cambria" w:eastAsia="Cambria" w:hAnsi="Cambria"/>
          <w:sz w:val="24"/>
          <w:szCs w:val="24"/>
        </w:rPr>
        <w:t xml:space="preserve">The validation process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 The HALAH prototype provides the implementation basis for this evaluation. The current system includes separate patient, guardian, doctor, and auditor interfaces. It also records consent creation, guardian approval, token minting, state checks, and data-access events.</w:t>
      </w:r>
    </w:p>
    <w:p>
      <w:pPr>
        <w:pStyle w:val="Heading3"/>
        <w:spacing w:after="160" w:before="280"/>
      </w:pPr>
      <w:r>
        <w:rPr>
          <w:rFonts w:ascii="Cambria" w:cs="Cambria" w:eastAsia="Cambria" w:hAnsi="Cambria"/>
          <w:sz w:val="24"/>
          <w:szCs w:val="24"/>
        </w:rPr>
        <w:t xml:space="preserve">6.6.2  Procedure for Formal and Empirical Authorisation Validation</w:t>
      </w:r>
    </w:p>
    <w:p>
      <w:pPr>
        <w:spacing w:after="140" w:line="300"/>
        <w:jc w:val="both"/>
      </w:pPr>
      <w:r>
        <w:rPr>
          <w:rFonts w:ascii="Cambria" w:cs="Cambria" w:eastAsia="Cambria" w:hAnsi="Cambria"/>
          <w:sz w:val="24"/>
          <w:szCs w:val="24"/>
        </w:rPr>
        <w:t xml:space="preserve">The Formal and Empirical Authorisation Validation procedure evaluates whether the proposed framework F correctly implements the intended authorisation model under normal, invalid, and adversarial conditions. Rather than validating the framework only through successful</w:t>
      </w:r>
    </w:p>
    <w:p>
      <w:pPr>
        <w:keepNext/>
        <w:spacing w:after="60" w:before="140"/>
        <w:jc w:val="center"/>
      </w:pPr>
      <w:r>
        <w:drawing>
          <wp:inline distT="0" distB="0" distL="0" distR="0">
            <wp:extent cx="4762500" cy="5343525"/>
            <wp:effectExtent t="0" r="0" b="0" l="0"/>
            <wp:docPr id="1" name="gfig12.png" descr="Figure 16: RO6 workflow for formal security assurance and empirical validation" title="Figure 16: RO6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5343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16: RO6 workflow for formal security assurance and empirical validation</w:t>
      </w:r>
    </w:p>
    <w:p>
      <w:pPr>
        <w:spacing w:after="140" w:line="300"/>
        <w:jc w:val="both"/>
      </w:pPr>
      <w:r>
        <w:rPr>
          <w:rFonts w:ascii="Cambria" w:cs="Cambria" w:eastAsia="Cambria" w:hAnsi="Cambria"/>
          <w:sz w:val="24"/>
          <w:szCs w:val="24"/>
        </w:rPr>
        <w:t xml:space="preserve">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 1. Step 1 – Define the Expected Authorisation Properties. The first step is to define the security and authorisation properties P that the framework is expected to satisfy. These properties provide the formal evaluation criteria against which the observed system behaviour will subsequently be compared. The properties may include authorisation soundness, correct denial of unauthorised requests, threshold correctness, policy compliance, scope enforcement, temporal consistency, and audit consistency. Formally, P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2. Step 2 – Define Valid Scenarios. The system defines a set of valid scenarios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representing legitimate healthcare data-access workflows. These scenarios should contain valid patient identities, valid credentials, active consent, sufficient authority, satisfied multi-party approval, compatible purposes, and authorised data scopes. The purpose of these scenarios is to verify that legitimate requests are successfully authorised and that the framework does not incorrectly reject valid operations. 3. Step 3 – Define Negative Scenarios. The system defines a set of negative scenarios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 4. Step 4 – Define Adversarial Scenarios. The system defines adversarial scenarios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 representing attempts to circumvent or manipulate the authorisation process. Such scenarios may include replayed approvals, duplicate approvals, unauthorised participants attempting to satisfy a threshold, invalid or forged credentials, attempts to access data outside the authorised scope, and attempts to use a revoked or expired consent object. The adversarial test set is particularly important because a framework should not only demonstrate that legitimate requests succeed, but also demonstrate resilience against foreseeable attempts to bypass its security controls. 5. Step 5 – Construct the Complete Validation Scenario Set. The three scenario classes are combined into the complete validation set: S =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Each scenario s ∈ S is associated with an expected authorisation outcome and the security properties that it is intended to evaluate. 6. Step 6 – Execute Each Scenario Using the Framework. The system executes each scenario s using the implemented framework F. During execution, the framework performs the corresponding consent, identity, authority, threshold, policy, scope, and lifecycle checks. The execution process is treated as an empirical observation of the implemented authorisation model that F(s)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where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denotes the observed authorisation decision. 7. Step 7 – Collect the Observed Authorisation Decision. After each scenario has been executed, the system records the resulting authorisation decision. Depending on the operation, the observed result may be ALLOW, DENY, PENDING, or another explicitly defined lifecycle state. The observed decision is stored together with the corresponding scenario identifier to enable subsequent comparison with the expected outcome. 8. Step 8 – Collect Supporting Authorisation Evidence. 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 The collected evidence can therefore be represented as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{E</w:t>
      </w:r>
      <w:r>
        <w:rPr>
          <w:rFonts w:ascii="Cambria" w:cs="Cambria" w:eastAsia="Cambria" w:hAnsi="Cambria"/>
          <w:sz w:val="24"/>
          <w:szCs w:val="24"/>
          <w:vertAlign w:val="subscript"/>
        </w:rPr>
        <w:t xml:space="preserve">I</w:t>
      </w:r>
      <w:r>
        <w:rPr>
          <w:rFonts w:ascii="Cambria" w:cs="Cambria" w:eastAsia="Cambria" w:hAnsi="Cambria"/>
          <w:sz w:val="24"/>
          <w:szCs w:val="24"/>
        </w:rPr>
        <w:t xml:space="preserve">, E</w:t>
      </w:r>
      <w:r>
        <w:rPr>
          <w:rFonts w:ascii="Cambria" w:cs="Cambria" w:eastAsia="Cambria" w:hAnsi="Cambria"/>
          <w:sz w:val="24"/>
          <w:szCs w:val="24"/>
          <w:vertAlign w:val="subscript"/>
        </w:rPr>
        <w:t xml:space="preserve">A</w:t>
      </w:r>
      <w:r>
        <w:rPr>
          <w:rFonts w:ascii="Cambria" w:cs="Cambria" w:eastAsia="Cambria" w:hAnsi="Cambria"/>
          <w:sz w:val="24"/>
          <w:szCs w:val="24"/>
        </w:rPr>
        <w:t xml:space="preserve">, E</w:t>
      </w:r>
      <w:r>
        <w:rPr>
          <w:rFonts w:ascii="Cambria" w:cs="Cambria" w:eastAsia="Cambria" w:hAnsi="Cambria"/>
          <w:sz w:val="24"/>
          <w:szCs w:val="24"/>
          <w:vertAlign w:val="subscript"/>
        </w:rPr>
        <w:t xml:space="preserve">C</w:t>
      </w:r>
      <w:r>
        <w:rPr>
          <w:rFonts w:ascii="Cambria" w:cs="Cambria" w:eastAsia="Cambria" w:hAnsi="Cambria"/>
          <w:sz w:val="24"/>
          <w:szCs w:val="24"/>
        </w:rPr>
        <w:t xml:space="preserve">, E</w:t>
      </w:r>
      <w:r>
        <w:rPr>
          <w:rFonts w:ascii="Cambria" w:cs="Cambria" w:eastAsia="Cambria" w:hAnsi="Cambria"/>
          <w:sz w:val="24"/>
          <w:szCs w:val="24"/>
          <w:vertAlign w:val="subscript"/>
        </w:rPr>
        <w:t xml:space="preserve">T</w:t>
      </w:r>
      <w:r>
        <w:rPr>
          <w:rFonts w:ascii="Cambria" w:cs="Cambria" w:eastAsia="Cambria" w:hAnsi="Cambria"/>
          <w:sz w:val="24"/>
          <w:szCs w:val="24"/>
        </w:rPr>
        <w:t xml:space="preserve">, E</w:t>
      </w:r>
      <w:r>
        <w:rPr>
          <w:rFonts w:ascii="Cambria" w:cs="Cambria" w:eastAsia="Cambria" w:hAnsi="Cambria"/>
          <w:sz w:val="24"/>
          <w:szCs w:val="24"/>
          <w:vertAlign w:val="subscript"/>
        </w:rPr>
        <w:t xml:space="preserve">P</w:t>
      </w:r>
      <w:r>
        <w:rPr>
          <w:rFonts w:ascii="Cambria" w:cs="Cambria" w:eastAsia="Cambria" w:hAnsi="Cambria"/>
          <w:sz w:val="24"/>
          <w:szCs w:val="24"/>
        </w:rPr>
        <w:t xml:space="preserve">,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E</w:t>
      </w:r>
      <w:r>
        <w:rPr>
          <w:rFonts w:ascii="Cambria" w:cs="Cambria" w:eastAsia="Cambria" w:hAnsi="Cambria"/>
          <w:sz w:val="24"/>
          <w:szCs w:val="24"/>
          <w:vertAlign w:val="subscript"/>
        </w:rPr>
        <w:t xml:space="preserve">L</w:t>
      </w:r>
      <w:r>
        <w:rPr>
          <w:rFonts w:ascii="Cambria" w:cs="Cambria" w:eastAsia="Cambria" w:hAnsi="Cambria"/>
          <w:sz w:val="24"/>
          <w:szCs w:val="24"/>
        </w:rPr>
        <w:t xml:space="preserve">}, where the individual components represent identity, authority, consent, threshold, policy, scope, and lifecycle evidence. 9. Step 9 – Compare Observed and Expected Decisions. The observed decision is compared with the expected decision defined for scenario s. Let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denote the expected decision and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denote the observed decision. The scenario passes when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Otherwise, the scenario is classified as a validation failure.</w:t>
      </w:r>
    </w:p>
    <w:p>
      <w:pPr>
        <w:spacing w:after="140" w:line="300"/>
        <w:jc w:val="both"/>
      </w:pPr>
      <w:r>
        <w:rPr>
          <w:rFonts w:ascii="Cambria" w:cs="Cambria" w:eastAsia="Cambria" w:hAnsi="Cambria"/>
          <w:sz w:val="24"/>
          <w:szCs w:val="24"/>
        </w:rPr>
        <w:t xml:space="preserve">10. Step 10 – Record the Scenario Result. The system records whether each scenario has passed or failed. For each failure, the corresponding condition, observed behaviour, expected behaviour, and supporting evidence are retained for subsequent analysis. This enables validation results to be traced from the final decision back to the individual authorisation conditions that produced that decision. 11. Step 11 – Evaluate Authorisation Soundness. The system evaluates the soundness property to determine whether every granted request satisfies the required authorisation conditions. Formally,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Authorised(s) = TRUE. A sound framework should not grant access when one or more mandatory authorisation conditions are violated. 12. Step 12 – Evaluate Denial Correctness. The system evaluates whether invalid or unauthorised requests are correctly denied. The denial property can be represented as Authorised(s) = FALSE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This evaluation is particularly important for negative and adversarial scenarios because successful operation under valid conditions alone cannot demonstrate that unauthorised access is reliably prevented. 13. Step 13 – Evaluate Threshold Correctness. The system evaluates whether multi-party authorisation is activated only when the required threshold condition is satisfied. </w:t>
      </w:r>
      <w:r>
        <w:rPr>
          <w:rFonts w:ascii="Cambria" w:cs="Cambria" w:eastAsia="Cambria" w:hAnsi="Cambria"/>
          <w:color w:val="E6007E"/>
          <w:sz w:val="24"/>
          <w:szCs w:val="24"/>
        </w:rPr>
        <w:t xml:space="preserve">The expected threshold property is Authorisation(C) = ACTIVATED ⇒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 N.</w:t>
      </w:r>
      <w:r>
        <w:rPr>
          <w:rFonts w:ascii="Cambria" w:cs="Cambria" w:eastAsia="Cambria" w:hAnsi="Cambria"/>
          <w:sz w:val="24"/>
          <w:szCs w:val="24"/>
        </w:rPr>
        <w:t xml:space="preserve"> The evaluation should also verify that invalid, duplicate, or unauthorised approvals do not contribute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This ensures that the threshold cannot be artificially satisfied by repeated or illegitimate approval submissions. 14. Step 14 – Evaluate Policy and Scope Enforcement. The system evaluates whether every granted request satisfies the consent-defined policy and data-scope constraints. In particular, the scope enforcement property is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 evaluation should verify that a participant cannot obtain healthcare resources outside the scope authorised by the patient’s consent, even when the participant possesses a valid identity and authority credential. Purpose compatibility is evaluated similarly: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15. Step 15 – Evaluate Audit Consistency. The system evaluates whether the recorded audit evidence is consistent with the actual authorisation decision and the underlying verification events. For an access event e, the audit record should provide sufficient evidence to establish a relationship between the request, requester, consent, policy evaluation, authorisation result, and timestamp. Therefore, Audit(e) ⊨ Decision(e). An audit inconsistency occurs when the recorded evidence does not correspond to the actual system decision or when critical authorisation evidence is missing. 16. Step 16 – Analyse Failures and Limitations. Any failed scenario is analysed to determine the source and significance of the failure. The analysis distinguishes between implementation defects, policy-definition errors, integration problems, incomplete security controls, and limitations of the experimental environment. The purpose of this step is not to conceal unsuccessful cases but to determine whether observed failures represent violations of the intended security properties or limitations that should be addressed in future work. 17. Step 17 – Consolidate the Validation Results. Finally, the individual scenario results and property-level evaluations are consolidated into an overall validation result. The resulting evidence includes: V = {R</w:t>
      </w:r>
      <w:r>
        <w:rPr>
          <w:rFonts w:ascii="Cambria" w:cs="Cambria" w:eastAsia="Cambria" w:hAnsi="Cambria"/>
          <w:sz w:val="24"/>
          <w:szCs w:val="24"/>
          <w:vertAlign w:val="subscript"/>
        </w:rPr>
        <w:t xml:space="preserve">scenario</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R</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The framework is considered empirically consistent with the specified authorisation model when the observed decisions satisfy the expected outcomes across the defined validation scenarios and no critical security property is violated. The overall validation process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P → S</w:t>
      </w:r>
      <w:r>
        <w:rPr>
          <w:rFonts w:ascii="Cambria Math" w:cs="Cambria Math" w:eastAsia="Cambria Math" w:hAnsi="Cambria Math"/>
          <w:i/>
          <w:iCs/>
          <w:sz w:val="22"/>
          <w:szCs w:val="22"/>
          <w:vertAlign w:val="subscript"/>
        </w:rPr>
        <w:t xml:space="preserve">valid</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negative</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adv</w:t>
      </w:r>
      <w:r>
        <w:rPr>
          <w:rFonts w:ascii="Cambria Math" w:cs="Cambria Math" w:eastAsia="Cambria Math" w:hAnsi="Cambria Math"/>
          <w:i/>
          <w:iCs/>
          <w:sz w:val="22"/>
          <w:szCs w:val="22"/>
        </w:rPr>
        <w:t xml:space="preserve"> → F(s)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E</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exp</w:t>
      </w:r>
      <w:r>
        <w:rPr>
          <w:rFonts w:ascii="Cambria Math" w:cs="Cambria Math" w:eastAsia="Cambria Math" w:hAnsi="Cambria Math"/>
          <w:i/>
          <w:iCs/>
          <w:sz w:val="22"/>
          <w:szCs w:val="22"/>
        </w:rPr>
        <w:t xml:space="preserve"> → Property Evaluation → Failure Analysis → Validation Evidence</w:t>
      </w:r>
    </w:p>
    <w:p>
      <w:pPr>
        <w:spacing w:after="140" w:line="300"/>
        <w:jc w:val="both"/>
      </w:pPr>
      <w:r>
        <w:rPr>
          <w:rFonts w:ascii="Cambria" w:cs="Cambria" w:eastAsia="Cambria" w:hAnsi="Cambria"/>
          <w:sz w:val="24"/>
          <w:szCs w:val="24"/>
        </w:rPr>
        <w:t xml:space="preserve">The fundamental scenario-level validation criterion is Pass(s)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while the framework-level validation can be expressed as: Valid(F)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This procedure establishes a distinction between functional correctness and security correctness.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 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 positive security property of granting legitimate access and the negative security property of preventing illegitimate access. The validation procedure also provides traceability between the final access decision and its supporting evidence. For each scenario, the decision can be interpreted as: Decision(s) = f(Identity, Authority, Consent, Threshold, Purpose, Scope, Lifecycle, Evidence). Consequently, validation does not merely determine whether the final output is ALLOW or DENY ; it also determines whether the underlying evidence is consistent with the decision. This is particularly important for a trust-aware framework because a correct decision without sufficient supporting evidence cannot provide strong assurance regarding how the decision was reached. The relationship between the six algorithms can therefore be represented as Algorithm 1 : Create Consent Algorithm 2 : Verify Identity and Authority Algorithm 3 : Establish Multi-Party Authorisation Algorithm 4 : Evaluate Access Request Algorithm 5 : Validate Temporal and Lifecycle State Algorithm 6 : Validate the Complete Framework 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 Design → Implementation → Execution → Observation → Verification → Validation The resulting validation methodology provides empirical evidence that the proposed authorisation model is not merely conceptually defined but is operationally enforceable and testable under legitimate, invalid, and adversarial conditions.</w:t>
      </w:r>
    </w:p>
    <w:p>
      <w:pPr>
        <w:pBdr>
          <w:top w:val="single" w:color="000000" w:sz="12"/>
          <w:bottom w:val="single" w:color="000000" w:sz="6"/>
        </w:pBdr>
        <w:spacing w:after="40" w:before="220"/>
      </w:pPr>
      <w:r>
        <w:rPr>
          <w:rFonts w:ascii="Cambria" w:cs="Cambria" w:eastAsia="Cambria" w:hAnsi="Cambria"/>
          <w:b/>
          <w:bCs/>
          <w:sz w:val="21"/>
          <w:szCs w:val="21"/>
        </w:rPr>
        <w:t xml:space="preserve">Algorithm 6 </w:t>
      </w:r>
      <w:r>
        <w:rPr>
          <w:rFonts w:ascii="Cambria" w:cs="Cambria" w:eastAsia="Cambria" w:hAnsi="Cambria"/>
          <w:sz w:val="21"/>
          <w:szCs w:val="21"/>
        </w:rPr>
        <w:t xml:space="preserve">Formal and Empirical Authorisation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Framework implementation F, validation scenarios S, security properties P</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Validation evidence and evaluation results</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Define expected authorisation properties P</w:t>
      </w:r>
    </w:p>
    <w:p>
      <w:pPr>
        <w:spacing w:after="20"/>
        <w:ind w:left="240"/>
      </w:pPr>
      <w:r>
        <w:rPr>
          <w:rFonts w:ascii="Cambria" w:cs="Cambria" w:eastAsia="Cambria" w:hAnsi="Cambria"/>
          <w:color w:val="555555"/>
          <w:sz w:val="18"/>
          <w:szCs w:val="18"/>
        </w:rPr>
        <w:t xml:space="preserve">2:  </w:t>
      </w:r>
      <w:r>
        <w:rPr>
          <w:rFonts w:ascii="Cambria" w:cs="Cambria" w:eastAsia="Cambria" w:hAnsi="Cambria"/>
          <w:sz w:val="21"/>
          <w:szCs w:val="21"/>
        </w:rPr>
        <w:t xml:space="preserve">Define valid scenarios S ∗ valid</w:t>
      </w:r>
    </w:p>
    <w:p>
      <w:pPr>
        <w:spacing w:after="20"/>
        <w:ind w:left="240"/>
      </w:pPr>
      <w:r>
        <w:rPr>
          <w:rFonts w:ascii="Cambria" w:cs="Cambria" w:eastAsia="Cambria" w:hAnsi="Cambria"/>
          <w:color w:val="555555"/>
          <w:sz w:val="18"/>
          <w:szCs w:val="18"/>
        </w:rPr>
        <w:t xml:space="preserve">3:  </w:t>
      </w:r>
      <w:r>
        <w:rPr>
          <w:rFonts w:ascii="Cambria" w:cs="Cambria" w:eastAsia="Cambria" w:hAnsi="Cambria"/>
          <w:sz w:val="21"/>
          <w:szCs w:val="21"/>
        </w:rPr>
        <w:t xml:space="preserve">Define negative scenarios S ∗ negative</w:t>
      </w:r>
    </w:p>
    <w:p>
      <w:pPr>
        <w:spacing w:after="20"/>
        <w:ind w:left="240"/>
      </w:pPr>
      <w:r>
        <w:rPr>
          <w:rFonts w:ascii="Cambria" w:cs="Cambria" w:eastAsia="Cambria" w:hAnsi="Cambria"/>
          <w:color w:val="555555"/>
          <w:sz w:val="18"/>
          <w:szCs w:val="18"/>
        </w:rPr>
        <w:t xml:space="preserve">4:  </w:t>
      </w:r>
      <w:r>
        <w:rPr>
          <w:rFonts w:ascii="Cambria" w:cs="Cambria" w:eastAsia="Cambria" w:hAnsi="Cambria"/>
          <w:sz w:val="21"/>
          <w:szCs w:val="21"/>
        </w:rPr>
        <w:t xml:space="preserve">Define adversarial scenarios S ∗ adv</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for</w:t>
      </w:r>
      <w:r>
        <w:rPr>
          <w:rFonts w:ascii="Cambria" w:cs="Cambria" w:eastAsia="Cambria" w:hAnsi="Cambria"/>
          <w:sz w:val="21"/>
          <w:szCs w:val="21"/>
        </w:rPr>
        <w:t xml:space="preserve"> each scenario s in S ∗ valid ∪ S ∗ negative ∪ S ∗ adv </w:t>
      </w:r>
      <w:r>
        <w:rPr>
          <w:rFonts w:ascii="Cambria" w:cs="Cambria" w:eastAsia="Cambria" w:hAnsi="Cambria"/>
          <w:b/>
          <w:bCs/>
          <w:sz w:val="21"/>
          <w:szCs w:val="21"/>
        </w:rPr>
        <w:t xml:space="preserve">do</w:t>
      </w:r>
    </w:p>
    <w:p>
      <w:pPr>
        <w:spacing w:after="20"/>
        <w:ind w:left="600"/>
      </w:pPr>
      <w:r>
        <w:rPr>
          <w:rFonts w:ascii="Cambria" w:cs="Cambria" w:eastAsia="Cambria" w:hAnsi="Cambria"/>
          <w:color w:val="555555"/>
          <w:sz w:val="18"/>
          <w:szCs w:val="18"/>
        </w:rPr>
        <w:t xml:space="preserve">6:  </w:t>
      </w:r>
      <w:r>
        <w:rPr>
          <w:rFonts w:ascii="Cambria" w:cs="Cambria" w:eastAsia="Cambria" w:hAnsi="Cambria"/>
          <w:sz w:val="21"/>
          <w:szCs w:val="21"/>
        </w:rPr>
        <w:t xml:space="preserve">Execute s using framework F</w:t>
      </w:r>
    </w:p>
    <w:p>
      <w:pPr>
        <w:spacing w:after="20"/>
        <w:ind w:left="600"/>
      </w:pPr>
      <w:r>
        <w:rPr>
          <w:rFonts w:ascii="Cambria" w:cs="Cambria" w:eastAsia="Cambria" w:hAnsi="Cambria"/>
          <w:color w:val="555555"/>
          <w:sz w:val="18"/>
          <w:szCs w:val="18"/>
        </w:rPr>
        <w:t xml:space="preserve">7:  </w:t>
      </w:r>
      <w:r>
        <w:rPr>
          <w:rFonts w:ascii="Cambria" w:cs="Cambria" w:eastAsia="Cambria" w:hAnsi="Cambria"/>
          <w:sz w:val="21"/>
          <w:szCs w:val="21"/>
        </w:rPr>
        <w:t xml:space="preserve">Collect authorisation decision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Collect identity, approval, policy, and audit evidence</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Compare observed decision with expected decision</w:t>
      </w:r>
    </w:p>
    <w:p>
      <w:pPr>
        <w:spacing w:after="20"/>
        <w:ind w:left="600"/>
      </w:pPr>
      <w:r>
        <w:rPr>
          <w:rFonts w:ascii="Cambria" w:cs="Cambria" w:eastAsia="Cambria" w:hAnsi="Cambria"/>
          <w:color w:val="555555"/>
          <w:sz w:val="18"/>
          <w:szCs w:val="18"/>
        </w:rPr>
        <w:t xml:space="preserve">10:  </w:t>
      </w:r>
      <w:r>
        <w:rPr>
          <w:rFonts w:ascii="Cambria" w:cs="Cambria" w:eastAsia="Cambria" w:hAnsi="Cambria"/>
          <w:sz w:val="21"/>
          <w:szCs w:val="21"/>
        </w:rPr>
        <w:t xml:space="preserve">Record pass or failure result</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for</w:t>
      </w:r>
    </w:p>
    <w:p>
      <w:pPr>
        <w:spacing w:after="20"/>
        <w:ind w:left="240"/>
      </w:pPr>
      <w:r>
        <w:rPr>
          <w:rFonts w:ascii="Cambria" w:cs="Cambria" w:eastAsia="Cambria" w:hAnsi="Cambria"/>
          <w:color w:val="555555"/>
          <w:sz w:val="18"/>
          <w:szCs w:val="18"/>
        </w:rPr>
        <w:t xml:space="preserve">12:  </w:t>
      </w:r>
      <w:r>
        <w:rPr>
          <w:rFonts w:ascii="Cambria" w:cs="Cambria" w:eastAsia="Cambria" w:hAnsi="Cambria"/>
          <w:sz w:val="21"/>
          <w:szCs w:val="21"/>
        </w:rPr>
        <w:t xml:space="preserve">Evaluate soundness property</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Evaluate denial property</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Evaluate threshold correctness</w:t>
      </w:r>
    </w:p>
    <w:p>
      <w:pPr>
        <w:spacing w:after="20"/>
        <w:ind w:left="240"/>
      </w:pPr>
      <w:r>
        <w:rPr>
          <w:rFonts w:ascii="Cambria" w:cs="Cambria" w:eastAsia="Cambria" w:hAnsi="Cambria"/>
          <w:color w:val="555555"/>
          <w:sz w:val="18"/>
          <w:szCs w:val="18"/>
        </w:rPr>
        <w:t xml:space="preserve">15:  </w:t>
      </w:r>
      <w:r>
        <w:rPr>
          <w:rFonts w:ascii="Cambria" w:cs="Cambria" w:eastAsia="Cambria" w:hAnsi="Cambria"/>
          <w:sz w:val="21"/>
          <w:szCs w:val="21"/>
        </w:rPr>
        <w:t xml:space="preserve">Evaluate policy-scope enforcement</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audit consistency</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Analyse failures and limitations</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return</w:t>
      </w:r>
      <w:r>
        <w:rPr>
          <w:rFonts w:ascii="Cambria" w:cs="Cambria" w:eastAsia="Cambria" w:hAnsi="Cambria"/>
          <w:sz w:val="21"/>
          <w:szCs w:val="21"/>
        </w:rPr>
        <w:t xml:space="preserve"> Validation results</w:t>
      </w:r>
    </w:p>
    <w:p>
      <w:pPr>
        <w:pBdr>
          <w:bottom w:val="single" w:color="000000" w:sz="12"/>
        </w:pBdr>
        <w:spacing w:after="60"/>
      </w:pPr>
    </w:p>
    <w:p>
      <w:pPr>
        <w:spacing w:after="160"/>
      </w:pPr>
    </w:p>
    <w:p>
      <w:pPr>
        <w:pStyle w:val="Heading3"/>
        <w:spacing w:after="160" w:before="280"/>
      </w:pPr>
      <w:r>
        <w:rPr>
          <w:rFonts w:ascii="Cambria" w:cs="Cambria" w:eastAsia="Cambria" w:hAnsi="Cambria"/>
          <w:sz w:val="24"/>
          <w:szCs w:val="24"/>
        </w:rPr>
        <w:t xml:space="preserve">6.6.3  Algorithm 6: Formal and Empirical Authorisation Validation</w:t>
      </w:r>
    </w:p>
    <w:p>
      <w:pPr>
        <w:spacing w:after="140" w:line="300"/>
        <w:jc w:val="both"/>
      </w:pPr>
      <w:r>
        <w:rPr>
          <w:rFonts w:ascii="Cambria" w:cs="Cambria" w:eastAsia="Cambria" w:hAnsi="Cambria"/>
          <w:sz w:val="24"/>
          <w:szCs w:val="24"/>
        </w:rP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 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p>
      <w:pPr>
        <w:pStyle w:val="Heading2"/>
        <w:spacing w:after="160" w:before="280"/>
      </w:pPr>
      <w:r>
        <w:rPr>
          <w:rFonts w:ascii="Cambria" w:cs="Cambria" w:eastAsia="Cambria" w:hAnsi="Cambria"/>
          <w:sz w:val="24"/>
          <w:szCs w:val="24"/>
        </w:rPr>
        <w:t xml:space="preserve">6.7  Algorithms and the Research Objectives</w:t>
      </w:r>
    </w:p>
    <w:p>
      <w:pPr>
        <w:spacing w:after="140" w:line="300"/>
        <w:jc w:val="both"/>
      </w:pPr>
      <w:r>
        <w:rPr>
          <w:rFonts w:ascii="Cambria" w:cs="Cambria" w:eastAsia="Cambria" w:hAnsi="Cambria"/>
          <w:sz w:val="24"/>
          <w:szCs w:val="24"/>
        </w:rP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 The final two algorithms extend this foundational mechanism. Algorithm 5 introduces temporal and lifecycle validity, while Algorithm 6 provides formal and empirical assurance of the complete framework. This structure reflects the staged research design in which </w:t>
      </w:r>
      <w:r>
        <w:rPr>
          <w:rFonts w:ascii="Cambria" w:cs="Cambria" w:eastAsia="Cambria" w:hAnsi="Cambria"/>
          <w:color w:val="E6007E"/>
          <w:sz w:val="24"/>
          <w:szCs w:val="24"/>
        </w:rPr>
        <w:t xml:space="preserve">the current stage establishes the foundational authorisation mechanisms together with their dynamic validity, and CA3 completes their formal</w:t>
      </w:r>
    </w:p>
    <w:p>
      <w:pPr>
        <w:spacing w:after="140" w:line="300"/>
        <w:jc w:val="both"/>
      </w:pPr>
      <w:r>
        <w:rPr>
          <w:rFonts w:ascii="Cambria" w:cs="Cambria" w:eastAsia="Cambria" w:hAnsi="Cambria"/>
          <w:color w:val="E6007E"/>
          <w:sz w:val="24"/>
          <w:szCs w:val="24"/>
        </w:rPr>
        <w:t xml:space="preserve">security assurance and comprehensive practical evaluation.</w:t>
      </w:r>
      <w:r>
        <w:rPr>
          <w:rFonts w:ascii="Cambria" w:cs="Cambria" w:eastAsia="Cambria" w:hAnsi="Cambria"/>
          <w:sz w:val="24"/>
          <w:szCs w:val="24"/>
        </w:rPr>
        <w:t xml:space="preserve"> The overall trust-oriented authorisation process can therefore be summarised as Trustworthy Access with </w:t>
      </w:r>
      <w:r>
        <w:rPr>
          <w:rFonts w:ascii="Cambria" w:cs="Cambria" w:eastAsia="Cambria" w:hAnsi="Cambria"/>
          <w:color w:val="000000"/>
          <w:sz w:val="24"/>
          <w:szCs w:val="24"/>
        </w:rPr>
        <w:t xml:space="preserve">1) Identity Trust,</w:t>
      </w:r>
      <w:r>
        <w:rPr>
          <w:rFonts w:ascii="Cambria" w:cs="Cambria" w:eastAsia="Cambria" w:hAnsi="Cambria"/>
          <w:sz w:val="24"/>
          <w:szCs w:val="24"/>
        </w:rPr>
        <w:t xml:space="preserve"> </w:t>
      </w:r>
      <w:r>
        <w:rPr>
          <w:rFonts w:ascii="Cambria" w:cs="Cambria" w:eastAsia="Cambria" w:hAnsi="Cambria"/>
          <w:color w:val="000000"/>
          <w:sz w:val="24"/>
          <w:szCs w:val="24"/>
        </w:rPr>
        <w:t xml:space="preserve">2)</w:t>
      </w:r>
      <w:r>
        <w:rPr>
          <w:rFonts w:ascii="Cambria" w:cs="Cambria" w:eastAsia="Cambria" w:hAnsi="Cambria"/>
          <w:sz w:val="24"/>
          <w:szCs w:val="24"/>
        </w:rPr>
        <w:t xml:space="preserve"> Authority Trust, </w:t>
      </w:r>
      <w:r>
        <w:rPr>
          <w:rFonts w:ascii="Cambria" w:cs="Cambria" w:eastAsia="Cambria" w:hAnsi="Cambria"/>
          <w:color w:val="000000"/>
          <w:sz w:val="24"/>
          <w:szCs w:val="24"/>
        </w:rPr>
        <w:t xml:space="preserve">3)</w:t>
      </w:r>
      <w:r>
        <w:rPr>
          <w:rFonts w:ascii="Cambria" w:cs="Cambria" w:eastAsia="Cambria" w:hAnsi="Cambria"/>
          <w:sz w:val="24"/>
          <w:szCs w:val="24"/>
        </w:rPr>
        <w:t xml:space="preserve"> Collective Authorisation, </w:t>
      </w:r>
      <w:r>
        <w:rPr>
          <w:rFonts w:ascii="Cambria" w:cs="Cambria" w:eastAsia="Cambria" w:hAnsi="Cambria"/>
          <w:color w:val="E6007E"/>
          <w:sz w:val="24"/>
          <w:szCs w:val="24"/>
        </w:rPr>
        <w:t xml:space="preserve">4) Policy Compliance, 5) Temporal, Jurisdictional and Lifecycle Trust, and 6) Formal and Empirical Assurance of the complete decision.</w:t>
      </w:r>
      <w:r>
        <w:rPr>
          <w:rFonts w:ascii="Cambria" w:cs="Cambria" w:eastAsia="Cambria" w:hAnsi="Cambria"/>
          <w:sz w:val="24"/>
          <w:szCs w:val="24"/>
        </w:rPr>
        <w:t xml:space="preserve"> </w:t>
      </w:r>
      <w:r>
        <w:rPr>
          <w:rFonts w:ascii="Cambria" w:cs="Cambria" w:eastAsia="Cambria" w:hAnsi="Cambria"/>
          <w:color w:val="E6007E"/>
          <w:sz w:val="24"/>
          <w:szCs w:val="24"/>
        </w:rPr>
        <w:t xml:space="preserve">For the current stage implementation, the operational decision was originally based on the three-predicate rule of Equation (64), which the five-predicate rule of Equation (65) now supersedes in the implemented system.</w:t>
      </w:r>
    </w:p>
    <w:p>
      <w:pPr>
        <w:spacing w:after="140" w:line="300"/>
        <w:jc w:val="both"/>
      </w:pPr>
      <w:r>
        <w:rPr>
          <w:rFonts w:ascii="Cambria" w:cs="Cambria" w:eastAsia="Cambria" w:hAnsi="Cambria"/>
          <w:color w:val="000000"/>
          <w:sz w:val="24"/>
          <w:szCs w:val="24"/>
        </w:rPr>
        <w:t xml:space="preserve">Algorithms 1–5 are all realised in the current prototype, and the empirical branch of Algorithm 6 has been executed against it. Consequently, only the formal-assurance branch, together with configurable k-of-n thresholds and authenticated requesters, remains for the next stage.</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(64)</w:t>
      </w:r>
    </w:p>
    <w:p>
      <w:pPr>
        <w:spacing w:after="140" w:line="300"/>
        <w:jc w:val="both"/>
      </w:pPr>
      <w:r>
        <w:rPr>
          <w:rFonts w:ascii="Cambria" w:cs="Cambria" w:eastAsia="Cambria" w:hAnsi="Cambria"/>
          <w:color w:val="E6007E"/>
          <w:sz w:val="24"/>
          <w:szCs w:val="24"/>
        </w:rPr>
        <w:t xml:space="preserve">The extended rule, originally planned for CA3 and now enforced by the implemented system, incorporates temporal, jurisdictional and lifecycle conditions such that</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(65)</w:t>
      </w:r>
    </w:p>
    <w:p>
      <w:pPr>
        <w:spacing w:after="140" w:line="300"/>
        <w:jc w:val="both"/>
      </w:pPr>
      <w:r>
        <w:rPr>
          <w:rFonts w:ascii="Cambria" w:cs="Cambria" w:eastAsia="Cambria" w:hAnsi="Cambria"/>
          <w:color w:val="000000"/>
          <w:sz w:val="24"/>
          <w:szCs w:val="24"/>
        </w:rPr>
        <w:t xml:space="preserve">The implemented system enforces the complete rule of Equation (65): access is granted only when all five predicates hold, revocation is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and every decision, whether granted or denied, is logged together with the full decision matrix; Equation (64) is retained as the historical current-stage formulation.</w:t>
      </w:r>
    </w:p>
    <w:p>
      <w:pPr>
        <w:spacing w:after="140" w:line="300"/>
        <w:jc w:val="both"/>
      </w:pPr>
      <w:r>
        <w:rPr>
          <w:rFonts w:ascii="Cambria" w:cs="Cambria" w:eastAsia="Cambria" w:hAnsi="Cambria"/>
          <w:sz w:val="24"/>
          <w:szCs w:val="24"/>
        </w:rPr>
        <w:t xml:space="preserve">These equations demonstrate that trust is not provided by blockchain alone. </w:t>
      </w:r>
      <w:r>
        <w:rPr>
          <w:rFonts w:ascii="Cambria" w:cs="Cambria" w:eastAsia="Cambria" w:hAnsi="Cambria"/>
          <w:color w:val="E6007E"/>
          <w:sz w:val="24"/>
          <w:szCs w:val="24"/>
        </w:rPr>
        <w:t xml:space="preserve">Blockchain contributes integrity, tamper resistance, persistence, and auditability [2], [18].</w:t>
      </w:r>
      <w:r>
        <w:rPr>
          <w:rFonts w:ascii="Cambria" w:cs="Cambria" w:eastAsia="Cambria" w:hAnsi="Cambria"/>
          <w:sz w:val="24"/>
          <w:szCs w:val="24"/>
        </w:rPr>
        <w:t xml:space="preserve">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p>
      <w:pPr>
        <w:spacing w:after="140" w:line="300"/>
        <w:jc w:val="both"/>
      </w:pPr>
      <w:r>
        <w:rPr>
          <w:rFonts w:ascii="Cambria" w:cs="Cambria" w:eastAsia="Cambria" w:hAnsi="Cambria"/>
          <w:color w:val="000000"/>
          <w:sz w:val="24"/>
          <w:szCs w:val="24"/>
        </w:rPr>
        <w:t xml:space="preserve">The remainder of this chapter moves from the formal design to its realisation. Section 6.8 presents the implemented HALAH system and its live demonstration on the Sepolia test network, so that every algorithm introduced above can be traced to observable behaviour and to publicly verifiable on-chain transactions.</w:t>
      </w:r>
    </w:p>
    <w:p>
      <w:pPr>
        <w:pStyle w:val="Heading2"/>
        <w:pageBreakBefore/>
        <w:spacing w:after="160" w:before="280"/>
      </w:pPr>
      <w:r>
        <w:rPr>
          <w:color w:val="000000"/>
        </w:rPr>
        <w:t xml:space="preserve">6.8  Implementation and Live Demonstration of the Proposed Solution</w:t>
      </w:r>
    </w:p>
    <w:p>
      <w:pPr>
        <w:spacing w:after="140" w:line="300"/>
        <w:jc w:val="both"/>
      </w:pPr>
      <w:r>
        <w:rPr>
          <w:rFonts w:ascii="Cambria" w:cs="Cambria" w:eastAsia="Cambria" w:hAnsi="Cambria"/>
          <w:color w:val="000000"/>
          <w:sz w:val="24"/>
          <w:szCs w:val="24"/>
        </w:rPr>
        <w:t xml:space="preserve">The HALAH implementation provides a role-based patient consent management environment that operationalises the proposed multi-party healthcare data-sharing framework. The subsystem is organised around four principal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and cryptographically activated on a public blockchain. It is then continuously checked for validity, subsequently used to control access to specific </w:t>
      </w:r>
      <w:r>
        <w:rPr>
          <w:rFonts w:ascii="Cambria" w:cs="Cambria" w:eastAsia="Cambria" w:hAnsi="Cambria"/>
          <w:color w:val="E6007E"/>
          <w:sz w:val="24"/>
          <w:szCs w:val="24"/>
        </w:rPr>
        <w:t xml:space="preserve">electronic medical record (EMR) modules, the term used by the implementation for the electronic health record (EHR) components discussed in the earlier chapters, and finally revoked by the patient</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color w:val="000000"/>
          <w:sz w:val="24"/>
          <w:szCs w:val="24"/>
        </w:rPr>
        <w:t xml:space="preserve">The activation and revocation of a consent are not confined to the application. Instead, they are executed as real transactions on the </w:t>
      </w:r>
      <w:r>
        <w:rPr>
          <w:rFonts w:ascii="Cambria" w:cs="Cambria" w:eastAsia="Cambria" w:hAnsi="Cambria"/>
          <w:b/>
          <w:bCs/>
          <w:color w:val="000000"/>
          <w:sz w:val="24"/>
          <w:szCs w:val="24"/>
        </w:rPr>
        <w:t xml:space="preserve">Ethereum Sepolia</w:t>
      </w:r>
      <w:r>
        <w:rPr>
          <w:rFonts w:ascii="Cambria" w:cs="Cambria" w:eastAsia="Cambria" w:hAnsi="Cambria"/>
          <w:color w:val="000000"/>
          <w:sz w:val="24"/>
          <w:szCs w:val="24"/>
        </w:rPr>
        <w:t xml:space="preserve"> test network. Consequently, the essential state changes of a consent can be verified by any third party on a public block explorer. The overall workflow implemented by the system is therefore consistent with the proposed authorisation model as</w:t>
      </w:r>
    </w:p>
    <w:p>
      <w:pPr>
        <w:spacing w:after="160" w:before="60"/>
        <w:jc w:val="center"/>
      </w:pPr>
      <w:r>
        <w:rPr>
          <w:rFonts w:ascii="Cambria Math" w:cs="Cambria Math" w:eastAsia="Cambria Math" w:hAnsi="Cambria Math"/>
          <w:i/>
          <w:iCs/>
          <w:color w:val="000000"/>
          <w:sz w:val="22"/>
          <w:szCs w:val="22"/>
        </w:rPr>
        <w:t xml:space="preserve">Create Consent → Guardian Approval → Multi-signature Validation → On-chain Consent Activation</w:t>
      </w:r>
    </w:p>
    <w:p>
      <w:pPr>
        <w:spacing w:after="160" w:before="60"/>
        <w:jc w:val="center"/>
      </w:pPr>
      <w:r>
        <w:rPr>
          <w:rFonts w:ascii="Cambria Math" w:cs="Cambria Math" w:eastAsia="Cambria Math" w:hAnsi="Cambria Math"/>
          <w:i/>
          <w:iCs/>
          <w:color w:val="000000"/>
          <w:sz w:val="22"/>
          <w:szCs w:val="22"/>
        </w:rPr>
        <w:t xml:space="preserve">→ Doctor Access → Consent Revocation → Independent Audit</w:t>
      </w:r>
    </w:p>
    <w:p>
      <w:pPr>
        <w:spacing w:after="140" w:line="300"/>
        <w:jc w:val="both"/>
      </w:pPr>
      <w:r>
        <w:rPr>
          <w:rFonts w:ascii="Cambria" w:cs="Cambria" w:eastAsia="Cambria" w:hAnsi="Cambria"/>
          <w:color w:val="000000"/>
          <w:sz w:val="24"/>
          <w:szCs w:val="24"/>
        </w:rPr>
        <w:t xml:space="preserve">This sequence provides an end-to-end demonstration of how the conceptual consent model is translated into an operational healthcare data-sharing process. Each stage is documented below with a screenshot of the running system and, where the stage produces a blockchain transaction, with the corresponding transaction on Sepolia Etherscan.</w:t>
      </w:r>
    </w:p>
    <w:p>
      <w:pPr>
        <w:spacing w:after="140" w:line="300"/>
        <w:jc w:val="both"/>
      </w:pPr>
      <w:r>
        <w:rPr>
          <w:rFonts w:ascii="Cambria" w:cs="Cambria" w:eastAsia="Cambria" w:hAnsi="Cambria"/>
          <w:color w:val="000000"/>
          <w:sz w:val="24"/>
          <w:szCs w:val="24"/>
        </w:rPr>
        <w:t xml:space="preserve">This operational sequence realises the trust-oriented authorisation model developed in the preceding sections of this chapter. The consent object of Eq. (46), the identity and authority verification of Algorithm 2, the threshold-based multi-party authorisation of Algorithm 3, and the trust-predicate evaluation of Figure 8 </w:t>
      </w:r>
      <w:r>
        <w:rPr>
          <w:rFonts w:ascii="Cambria" w:cs="Cambria" w:eastAsia="Cambria" w:hAnsi="Cambria"/>
          <w:color w:val="E6007E"/>
          <w:sz w:val="24"/>
          <w:szCs w:val="24"/>
        </w:rPr>
        <w:t xml:space="preserve">are each exercised in this workflow, and the resulting activation and revocation are anchored by real transactions on the Ethereum Sepolia test network, so the conceptual model and the running system can be verified against one another</w:t>
      </w:r>
      <w:r>
        <w:rPr>
          <w:rFonts w:ascii="Cambria" w:cs="Cambria" w:eastAsia="Cambria" w:hAnsi="Cambria"/>
          <w:color w:val="000000"/>
          <w:sz w:val="24"/>
          <w:szCs w:val="24"/>
        </w:rPr>
        <w:t xml:space="preserve">.</w:t>
      </w:r>
    </w:p>
    <w:p>
      <w:pPr>
        <w:pStyle w:val="Heading3"/>
        <w:spacing w:after="160" w:before="280"/>
      </w:pPr>
      <w:r>
        <w:rPr>
          <w:color w:val="000000"/>
        </w:rPr>
        <w:t xml:space="preserve">6.8.1  The HALAH System</w:t>
      </w:r>
    </w:p>
    <w:p>
      <w:pPr>
        <w:spacing w:after="140" w:line="300"/>
        <w:jc w:val="both"/>
      </w:pPr>
      <w:r>
        <w:rPr>
          <w:rFonts w:ascii="Cambria" w:cs="Cambria" w:eastAsia="Cambria" w:hAnsi="Cambria"/>
          <w:color w:val="000000"/>
          <w:sz w:val="24"/>
          <w:szCs w:val="24"/>
        </w:rPr>
        <w:t xml:space="preserve">The main HALAH subsystem presents itself as a Patient Consent Management Platform for History Access by Authorised Healthcare Providers. The subsystem provides a role-oriented environment in which different participants interact with the same consent lifecycle according to their respective authorisation responsibilities.</w:t>
      </w:r>
    </w:p>
    <w:p>
      <w:pPr>
        <w:spacing w:after="140" w:line="300"/>
        <w:jc w:val="both"/>
      </w:pPr>
      <w:r>
        <w:rPr>
          <w:rFonts w:ascii="Cambria" w:cs="Cambria" w:eastAsia="Cambria" w:hAnsi="Cambria"/>
          <w:color w:val="000000"/>
          <w:sz w:val="24"/>
          <w:szCs w:val="24"/>
        </w:rP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on-chain anchoring and audit recording.</w:t>
      </w:r>
    </w:p>
    <w:p>
      <w:pPr>
        <w:spacing w:after="140" w:line="300"/>
        <w:jc w:val="both"/>
      </w:pPr>
      <w:r>
        <w:rPr>
          <w:rFonts w:ascii="Cambria" w:cs="Cambria" w:eastAsia="Cambria" w:hAnsi="Cambria"/>
          <w:color w:val="000000"/>
          <w:sz w:val="24"/>
          <w:szCs w:val="24"/>
        </w:rPr>
        <w:t xml:space="preserve">This design corresponds to the overall HALAH architecture, in which </w:t>
      </w:r>
      <w:r>
        <w:rPr>
          <w:rFonts w:ascii="Cambria" w:cs="Cambria" w:eastAsia="Cambria" w:hAnsi="Cambria"/>
          <w:color w:val="E6007E"/>
          <w:sz w:val="24"/>
          <w:szCs w:val="24"/>
        </w:rPr>
        <w:t xml:space="preserve">decentralised identifiers (DIDs) [20] provide identity pointers</w:t>
      </w:r>
      <w:r>
        <w:rPr>
          <w:rFonts w:ascii="Cambria" w:cs="Cambria" w:eastAsia="Cambria" w:hAnsi="Cambria"/>
          <w:color w:val="000000"/>
          <w:sz w:val="24"/>
          <w:szCs w:val="24"/>
        </w:rPr>
        <w:t xml:space="preserve">, the consent object defines the authorisation conditions, cryptographic signatures provide evidence of approval, and the blockchain-based ledger provides lifecycle traceability.</w:t>
      </w:r>
    </w:p>
    <w:p>
      <w:pPr>
        <w:keepNext/>
        <w:spacing w:after="60" w:before="140"/>
        <w:jc w:val="center"/>
      </w:pPr>
      <w:r>
        <w:drawing>
          <wp:inline distT="0" distB="0" distL="0" distR="0">
            <wp:extent cx="5715000" cy="3257550"/>
            <wp:effectExtent t="0" r="0" b="0" l="0"/>
            <wp:docPr id="1" name="n_compile.png" descr="Figure 17: Compilation of ConsentSBTv3 in Remix: the compiler reports a successful compilation and the contract is selected for deployment." title="Figure 17: Compilation of ConsentSBTv3 in Remix: the compiler reports a successful compilation and the contract is selected fo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17: Compilation of ConsentSBTv3 in Remix: the compiler reports a successful compilation and the contract is selected for deployment.</w:t>
      </w:r>
    </w:p>
    <w:p>
      <w:pPr>
        <w:spacing w:after="140" w:line="300"/>
        <w:jc w:val="both"/>
      </w:pPr>
      <w:r>
        <w:rPr>
          <w:rFonts w:ascii="Cambria" w:cs="Cambria" w:eastAsia="Cambria" w:hAnsi="Cambria"/>
          <w:color w:val="000000"/>
          <w:sz w:val="24"/>
          <w:szCs w:val="24"/>
        </w:rPr>
        <w:t xml:space="preserve">As shown in the figure above, the consent token contract, </w:t>
      </w:r>
      <w:r>
        <w:rPr>
          <w:rFonts w:ascii="Cambria" w:cs="Cambria" w:eastAsia="Cambria" w:hAnsi="Cambria"/>
          <w:b/>
          <w:bCs/>
          <w:color w:val="000000"/>
          <w:sz w:val="24"/>
          <w:szCs w:val="24"/>
        </w:rPr>
        <w:t xml:space="preserve">ConsentSBTv3</w:t>
      </w:r>
      <w:r>
        <w:rPr>
          <w:rFonts w:ascii="Cambria" w:cs="Cambria" w:eastAsia="Cambria" w:hAnsi="Cambria"/>
          <w:color w:val="000000"/>
          <w:sz w:val="24"/>
          <w:szCs w:val="24"/>
        </w:rPr>
        <w:t xml:space="preserve">, was first compiled in Remix without errors; the deployment record lists solc 0.8.34 with the optimiser enabled. The contract was then deployed to the Sepolia test network from the project test wallet through MetaMask. The contract implements a soulbound ERC-721 token. Transfers between accounts are blocked. Consequently, an activated consent can never be traded or moved; burning is possible only through the ERC-5484 consensual-burn interface. Each token stores the pseudonymous patient and requester addresses, a hash of the purpose, the validity window, a two-letter jurisdiction code and a revocation flag. </w:t>
      </w:r>
      <w:r>
        <w:rPr>
          <w:rFonts w:ascii="Cambria" w:cs="Cambria" w:eastAsia="Cambria" w:hAnsi="Cambria"/>
          <w:color w:val="E6007E"/>
          <w:sz w:val="24"/>
          <w:szCs w:val="24"/>
        </w:rPr>
        <w:t xml:space="preserve">The contract stores the purpose only as a keccak256 hash and no medical content is written to the chain; it should be noted, however, that the plaintext purpose is passed as a parameter of the mint transaction and is therefore visible in the public transaction input, whereas the EMR data remain in the application.</w:t>
      </w:r>
    </w:p>
    <w:p>
      <w:pPr>
        <w:keepNext/>
        <w:spacing w:after="60" w:before="140"/>
        <w:jc w:val="center"/>
      </w:pPr>
      <w:r>
        <w:drawing>
          <wp:inline distT="0" distB="0" distL="0" distR="0">
            <wp:extent cx="5334000" cy="5124450"/>
            <wp:effectExtent t="0" r="0" b="0" l="0"/>
            <wp:docPr id="1" name="g_deploy.png" descr="Figure 18: Deployment of ConsentSBTv3 from Remix through MetaMask on the Sepolia network." title="Figure 18: Deployment of ConsentSBTv3 from Remix through MetaMask on the Sepoli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5124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18: Deployment of ConsentSBTv3 from Remix through MetaMask on the Sepolia network.</w:t>
      </w:r>
    </w:p>
    <w:p>
      <w:pPr>
        <w:spacing w:after="140" w:line="300"/>
        <w:jc w:val="both"/>
      </w:pPr>
      <w:r>
        <w:rPr>
          <w:rFonts w:ascii="Cambria" w:cs="Cambria" w:eastAsia="Cambria" w:hAnsi="Cambria"/>
          <w:color w:val="000000"/>
          <w:sz w:val="24"/>
          <w:szCs w:val="24"/>
        </w:rPr>
        <w:t xml:space="preserve">As shown in the figure above, the deployment is an ordinary Ethereum transaction that the wallet owner must explicitly confirm: the project test wallet (displayed as BNHP Ministry Test Wallet) shows the target network (Sepolia), the estimated network fee and the account nonce before the contract is created. This is important because it demonstrates that consent activation in HALAH ultimately rests on the same transaction-signing discipline as any other blockchain operation.</w:t>
      </w:r>
    </w:p>
    <w:p>
      <w:pPr>
        <w:keepNext/>
        <w:spacing w:after="60" w:before="140"/>
        <w:jc w:val="center"/>
      </w:pPr>
      <w:r>
        <w:drawing>
          <wp:inline distT="0" distB="0" distL="0" distR="0">
            <wp:extent cx="5524500" cy="4105275"/>
            <wp:effectExtent t="0" r="0" b="0" l="0"/>
            <wp:docPr id="1" name="n_verified.png" descr="Figure 19: Remix after deployment: the contract appears under Deployed Contracts and the source verification service reports Verification Successful." title="Figure 19: Remix after deployment: the contract appears under Deployed Contracts and the source verification service reports Verification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4105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19: Remix after deployment: the contract appears under Deployed Contracts and the source verification service reports Verification Successful.</w:t>
      </w:r>
    </w:p>
    <w:p>
      <w:pPr>
        <w:spacing w:after="140" w:line="300"/>
        <w:jc w:val="both"/>
      </w:pPr>
      <w:r>
        <w:rPr>
          <w:rFonts w:ascii="Cambria" w:cs="Cambria" w:eastAsia="Cambria" w:hAnsi="Cambria"/>
          <w:color w:val="000000"/>
          <w:sz w:val="24"/>
          <w:szCs w:val="24"/>
        </w:rPr>
        <w:t xml:space="preserve">As shown in the figure above, the deployed instance is listed in Remix under Deployed Contracts, and the source code was submitted for verification, which completed with Verification Successful. This is important because it ties the published bytecode on Sepolia to the audited Solidity source, so any party can confirm which rules the consent registry actually enforces.</w:t>
      </w:r>
    </w:p>
    <w:p>
      <w:pPr>
        <w:keepNext/>
        <w:spacing w:after="60" w:before="140"/>
        <w:jc w:val="center"/>
      </w:pPr>
      <w:r>
        <w:drawing>
          <wp:inline distT="0" distB="0" distL="0" distR="0">
            <wp:extent cx="5715000" cy="2486025"/>
            <wp:effectExtent t="0" r="0" b="0" l="0"/>
            <wp:docPr id="1" name="g_etherscan.png" descr="Figure 20: The deployed contract on Sepolia Etherscan, with the creator wallet, the MedicalConsent (CONSENT) token tracker and the first mint transaction." title="Figure 20: The deployed contract on Sepolia Etherscan, with the creator wallet, the MedicalConsent (CONSENT) token tracker and the first mint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20: The deployed contract on Sepolia Etherscan, with the creator wallet, the MedicalConsent (CONSENT) token tracker and the first mint transaction.</w:t>
      </w:r>
    </w:p>
    <w:p>
      <w:pPr>
        <w:spacing w:after="140" w:line="300"/>
        <w:jc w:val="both"/>
      </w:pPr>
      <w:r>
        <w:rPr>
          <w:rFonts w:ascii="Cambria" w:cs="Cambria" w:eastAsia="Cambria" w:hAnsi="Cambria"/>
          <w:color w:val="000000"/>
          <w:sz w:val="24"/>
          <w:szCs w:val="24"/>
        </w:rPr>
        <w:t xml:space="preserve">As shown in the figure above, the deployed contract is publicly listed at 0x0EC3617581DEC63A7f2bb162DC14d088916ADc73 on Sepolia Etherscan, together with its creator wallet and the token tracker MedicalConsent (CONSENT). Consequently, the existence of the consent registry itself, and every activation or revocation recorded on it, can be inspected independently of the HALAH application.</w:t>
      </w:r>
    </w:p>
    <w:p>
      <w:pPr>
        <w:pStyle w:val="Heading3"/>
        <w:spacing w:after="160" w:before="280"/>
      </w:pPr>
      <w:r>
        <w:rPr>
          <w:color w:val="000000"/>
        </w:rPr>
        <w:t xml:space="preserve">6.8.2  Create Smart Consent Contract: Patient Subsystem</w:t>
      </w:r>
    </w:p>
    <w:p>
      <w:pPr>
        <w:spacing w:after="140" w:line="300"/>
        <w:jc w:val="both"/>
      </w:pPr>
      <w:r>
        <w:rPr>
          <w:rFonts w:ascii="Cambria" w:cs="Cambria" w:eastAsia="Cambria" w:hAnsi="Cambria"/>
          <w:color w:val="000000"/>
          <w:sz w:val="24"/>
          <w:szCs w:val="24"/>
        </w:rPr>
        <w:t xml:space="preserve">The first functional subsystem is the Create Smart Consent Contract module. This module represents the patient-side initiation of a consent transaction and corresponds directly to the construction of the proposed consent object.</w:t>
      </w:r>
    </w:p>
    <w:p>
      <w:pPr>
        <w:spacing w:after="140" w:line="300"/>
        <w:jc w:val="both"/>
      </w:pPr>
      <w:r>
        <w:rPr>
          <w:rFonts w:ascii="Cambria" w:cs="Cambria" w:eastAsia="Cambria" w:hAnsi="Cambria"/>
          <w:color w:val="000000"/>
          <w:sz w:val="24"/>
          <w:szCs w:val="24"/>
        </w:rPr>
        <w:t xml:space="preserve">The subsystem requires the patient to specify the Patient DID, Authorised Doctor DID, Data Access Scope, Designated Guardian DIDs, the Jurisdiction, and the temporal validity of the consent. These fields collectively operationalise the proposed consent representation:</w:t>
      </w:r>
    </w:p>
    <w:p>
      <w:pPr>
        <w:spacing w:after="160" w:before="60"/>
        <w:jc w:val="center"/>
      </w:pPr>
      <w:r>
        <w:rPr>
          <w:rFonts w:ascii="Cambria Math" w:cs="Cambria Math" w:eastAsia="Cambria Math" w:hAnsi="Cambria Math"/>
          <w:i/>
          <w:iCs/>
          <w:color w:val="000000"/>
          <w:sz w:val="22"/>
          <w:szCs w:val="22"/>
        </w:rPr>
        <w:t xml:space="preserve">C = (I, A, P, T, L, E)</w:t>
      </w:r>
    </w:p>
    <w:p>
      <w:pPr>
        <w:spacing w:after="140" w:line="300"/>
        <w:jc w:val="both"/>
      </w:pPr>
      <w:r>
        <w:rPr>
          <w:rFonts w:ascii="Cambria" w:cs="Cambria" w:eastAsia="Cambria" w:hAnsi="Cambria"/>
          <w:color w:val="000000"/>
          <w:sz w:val="24"/>
          <w:szCs w:val="24"/>
        </w:rPr>
        <w:t xml:space="preserve">where the identity of the patient is represented through a DID, the authorised actor is explicitly specified, the permitted data scope is constrained to selected EMR modules, the temporal fields define when the authorisation becomes valid and when it expires, the jurisdiction field constrains where the consent may be exercised, </w:t>
      </w:r>
      <w:r>
        <w:rPr>
          <w:rFonts w:ascii="Cambria" w:cs="Cambria" w:eastAsia="Cambria" w:hAnsi="Cambria"/>
          <w:color w:val="E6007E"/>
          <w:sz w:val="24"/>
          <w:szCs w:val="24"/>
        </w:rPr>
        <w:t xml:space="preserve">and the evidence component E records the authorisation evidence, including whether the consent remains active or has been revoked</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color w:val="000000"/>
          <w:sz w:val="24"/>
          <w:szCs w:val="24"/>
        </w:rPr>
        <w:t xml:space="preserve">The form fields therefore instantiate the consent object defined in Section 6.1. </w:t>
      </w:r>
      <w:r>
        <w:rPr>
          <w:rFonts w:ascii="Cambria" w:cs="Cambria" w:eastAsia="Cambria" w:hAnsi="Cambria"/>
          <w:color w:val="000000"/>
          <w:sz w:val="24"/>
          <w:szCs w:val="24"/>
        </w:rPr>
        <w:t xml:space="preserve">The demonstrated representation realises the six-component object C = (I, A, P, T, L, E) of Eq. (46) and Figure 11</w:t>
      </w:r>
      <w:r>
        <w:rPr>
          <w:rFonts w:ascii="Cambria" w:cs="Cambria" w:eastAsia="Cambria" w:hAnsi="Cambria"/>
          <w:color w:val="000000"/>
          <w:sz w:val="24"/>
          <w:szCs w:val="24"/>
        </w:rPr>
        <w:t xml:space="preserve">, in which the temporal validity window T, captured through the Start Time and Expiry Time fields, and the jurisdiction L are stored on-chain by the deployed ConsentSBTv3 contract and evaluated at every access decision.</w:t>
      </w:r>
    </w:p>
    <w:p>
      <w:pPr>
        <w:keepNext/>
        <w:spacing w:after="60" w:before="140"/>
        <w:jc w:val="center"/>
      </w:pPr>
      <w:r>
        <w:drawing>
          <wp:inline distT="0" distB="0" distL="0" distR="0">
            <wp:extent cx="5334000" cy="3943350"/>
            <wp:effectExtent t="0" r="0" b="0" l="0"/>
            <wp:docPr id="1" name="M1.png" descr="Figure 21: The patient subsystem after consent creation: four EMR modules, two designated guardians, jurisdiction AU, and the state PENDING_SIGNATURE." title="Figure 21: The patient subsystem after consent creation: four EMR modules, two designated guardians, jurisdiction AU, and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21: The patient subsystem after consent creation: four EMR modules, two designated guardians, jurisdiction AU, and the state PENDING_SIGNATURE.</w:t>
      </w:r>
    </w:p>
    <w:p>
      <w:pPr>
        <w:spacing w:after="140" w:line="300"/>
        <w:jc w:val="both"/>
      </w:pPr>
      <w:r>
        <w:rPr>
          <w:rFonts w:ascii="Cambria" w:cs="Cambria" w:eastAsia="Cambria" w:hAnsi="Cambria"/>
          <w:color w:val="000000"/>
          <w:sz w:val="24"/>
          <w:szCs w:val="24"/>
        </w:rPr>
        <w:t xml:space="preserve">As shown in the figure above, the Patient DID provides the identity pointer for the data subject, while the Authorised Doctor DID limits the intended healthcare recipient. This is important because the implementation does not represent consent as a general permission to access a patient's medical information. Instead, the authorisation is bound to a specific identity and therefore supports subject-specific and actor-specific access control.</w:t>
      </w:r>
    </w:p>
    <w:p>
      <w:pPr>
        <w:spacing w:after="140" w:line="300"/>
        <w:jc w:val="both"/>
      </w:pPr>
      <w:r>
        <w:rPr>
          <w:rFonts w:ascii="Cambria" w:cs="Cambria" w:eastAsia="Cambria" w:hAnsi="Cambria"/>
          <w:color w:val="000000"/>
          <w:sz w:val="24"/>
          <w:szCs w:val="24"/>
        </w:rPr>
        <w:t xml:space="preserve">The Data Access Scope is particularly important to the proposed framework. Instead of granting access to the complete EMR, the patient selects particular modules; in the demonstrated transaction all four modules (Observation, Medication, Condition and Procedure) were selected. This implements the principle of purpose- and scope-limited consent and corresponds to the P component of the consent object. The implementation additionally validates the input before the consent is stored: a consent with an empty data scope is rejected, and every guardian entry must be a well-formed DID.</w:t>
      </w:r>
    </w:p>
    <w:p>
      <w:pPr>
        <w:spacing w:after="140" w:line="300"/>
        <w:jc w:val="both"/>
      </w:pPr>
      <w:r>
        <w:rPr>
          <w:rFonts w:ascii="Cambria" w:cs="Cambria" w:eastAsia="Cambria" w:hAnsi="Cambria"/>
          <w:color w:val="000000"/>
          <w:sz w:val="24"/>
          <w:szCs w:val="24"/>
        </w:rPr>
        <w:t xml:space="preserve">The Designated Guardian DIDs 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spacing w:after="140" w:line="300"/>
        <w:jc w:val="both"/>
      </w:pPr>
      <w:r>
        <w:rPr>
          <w:rFonts w:ascii="Cambria" w:cs="Cambria" w:eastAsia="Cambria" w:hAnsi="Cambria"/>
          <w:color w:val="000000"/>
          <w:sz w:val="24"/>
          <w:szCs w:val="24"/>
        </w:rPr>
        <w:t xml:space="preserve">Finally, the Start Time and Expiry Time implement temporal constraints on the consent, and the Jurisdiction field records the legal territory (AU in the demonstrated transaction). Consequently, authorisation is not represented as a permanent or universal permission. Instead, the consent has a defined lifecycle and territory and can subsequently be evaluated by the Consent Engine according to both. At this point the consent exists only in the application ledger, in the state PENDING_SIGNATURE; nothing is written to the blockchain until the guardians have approved.</w:t>
      </w:r>
    </w:p>
    <w:p>
      <w:pPr>
        <w:spacing w:after="140" w:line="300"/>
        <w:jc w:val="both"/>
      </w:pPr>
      <w:r>
        <w:rPr>
          <w:rFonts w:ascii="Cambria" w:cs="Cambria" w:eastAsia="Cambria" w:hAnsi="Cambria"/>
          <w:color w:val="000000"/>
          <w:sz w:val="24"/>
          <w:szCs w:val="24"/>
        </w:rPr>
        <w:t xml:space="preserve">Two consent lifecycles appear in the demonstration and should be distinguished. The evaluated consent, f050c29a, was carried through the </w:t>
      </w:r>
      <w:r>
        <w:rPr>
          <w:rFonts w:ascii="Cambria" w:cs="Cambria" w:eastAsia="Cambria" w:hAnsi="Cambria"/>
          <w:color w:val="E6007E"/>
          <w:sz w:val="24"/>
          <w:szCs w:val="24"/>
        </w:rPr>
        <w:t xml:space="preserve">complete lifecycle (activation as token #1, granted access, refused access and final revocation), and all transaction evidence in this chapter follows it</w:t>
      </w:r>
      <w:r>
        <w:rPr>
          <w:rFonts w:ascii="Cambria" w:cs="Cambria" w:eastAsia="Cambria" w:hAnsi="Cambria"/>
          <w:color w:val="000000"/>
          <w:sz w:val="24"/>
          <w:szCs w:val="24"/>
        </w:rPr>
        <w:t xml:space="preserve">. Because a revoked consent cannot be photographed in its earlier states, the screenshots of consent creation, guardian approval and granted access were captured from a second lifecycle </w:t>
      </w:r>
      <w:r>
        <w:rPr>
          <w:rFonts w:ascii="Cambria" w:cs="Cambria" w:eastAsia="Cambria" w:hAnsi="Cambria"/>
          <w:color w:val="E6007E"/>
          <w:sz w:val="24"/>
          <w:szCs w:val="24"/>
        </w:rPr>
        <w:t xml:space="preserve">with the same configuration (the same four-module scope, the same guardians, jurisdiction, purpose and doctor), executed for a different demonstration patient</w:t>
      </w:r>
      <w:r>
        <w:rPr>
          <w:rFonts w:ascii="Cambria" w:cs="Cambria" w:eastAsia="Cambria" w:hAnsi="Cambria"/>
          <w:color w:val="000000"/>
          <w:sz w:val="24"/>
          <w:szCs w:val="24"/>
        </w:rPr>
        <w:t xml:space="preserve"> (consent 04da25f5, anchored as </w:t>
      </w:r>
      <w:r>
        <w:rPr>
          <w:rFonts w:ascii="Cambria" w:cs="Cambria" w:eastAsia="Cambria" w:hAnsi="Cambria"/>
          <w:b/>
          <w:bCs/>
          <w:color w:val="000000"/>
          <w:sz w:val="24"/>
          <w:szCs w:val="24"/>
        </w:rPr>
        <w:t xml:space="preserve">token #2</w:t>
      </w:r>
      <w:r>
        <w:rPr>
          <w:rFonts w:ascii="Cambria" w:cs="Cambria" w:eastAsia="Cambria" w:hAnsi="Cambria"/>
          <w:color w:val="000000"/>
          <w:sz w:val="24"/>
          <w:szCs w:val="24"/>
        </w:rPr>
        <w:t xml:space="preserve"> in block 11,771,581). The two lifecycles were executed with the same code and the same contract.</w:t>
      </w:r>
    </w:p>
    <w:p>
      <w:pPr>
        <w:spacing w:after="140" w:line="300"/>
        <w:jc w:val="both"/>
      </w:pPr>
      <w:r>
        <w:rPr>
          <w:rFonts w:ascii="Cambria" w:cs="Cambria" w:eastAsia="Cambria" w:hAnsi="Cambria"/>
          <w:color w:val="000000"/>
          <w:sz w:val="24"/>
          <w:szCs w:val="24"/>
        </w:rPr>
        <w:t xml:space="preserve">From a system perspective, this module therefore corresponds primarily to </w:t>
      </w:r>
      <w:r>
        <w:rPr>
          <w:rFonts w:ascii="Cambria" w:cs="Cambria" w:eastAsia="Cambria" w:hAnsi="Cambria"/>
          <w:b/>
          <w:bCs/>
          <w:color w:val="000000"/>
          <w:sz w:val="24"/>
          <w:szCs w:val="24"/>
        </w:rPr>
        <w:t xml:space="preserve">Consent Object Construction and Patient Initiation</w:t>
      </w:r>
      <w:r>
        <w:rPr>
          <w:rFonts w:ascii="Cambria" w:cs="Cambria" w:eastAsia="Cambria" w:hAnsi="Cambria"/>
          <w:color w:val="000000"/>
          <w:sz w:val="24"/>
          <w:szCs w:val="24"/>
        </w:rPr>
        <w:t xml:space="preserve">.</w:t>
      </w:r>
    </w:p>
    <w:p>
      <w:pPr>
        <w:pStyle w:val="Heading3"/>
        <w:spacing w:after="160" w:before="280"/>
      </w:pPr>
      <w:r>
        <w:rPr>
          <w:color w:val="000000"/>
        </w:rPr>
        <w:t xml:space="preserve">6.8.3  Guardian Cryptographic Approval</w:t>
      </w:r>
    </w:p>
    <w:p>
      <w:pPr>
        <w:spacing w:after="140" w:line="300"/>
        <w:jc w:val="both"/>
      </w:pPr>
      <w:r>
        <w:rPr>
          <w:rFonts w:ascii="Cambria" w:cs="Cambria" w:eastAsia="Cambria" w:hAnsi="Cambria"/>
          <w:color w:val="000000"/>
          <w:sz w:val="24"/>
          <w:szCs w:val="24"/>
        </w:rPr>
        <w:t xml:space="preserve">The second part is the Guardian Cryptographic Approval. As shown in the figure below, it operationalises the multi-party authorisation component of the proposed framework.</w:t>
      </w:r>
    </w:p>
    <w:p>
      <w:pPr>
        <w:keepNext/>
        <w:spacing w:after="60" w:before="140"/>
        <w:jc w:val="center"/>
      </w:pPr>
      <w:r>
        <w:drawing>
          <wp:inline distT="0" distB="0" distL="0" distR="0">
            <wp:extent cx="5334000" cy="1914525"/>
            <wp:effectExtent t="0" r="0" b="0" l="0"/>
            <wp:docPr id="1" name="n_guardA.png" descr="Figure 22: The guardian subsystem at the first approval: the EIP-712 signature of did:parent:A is verified and the multi-signature count is 1/2." title="Figure 22: The guardian subsystem at the first approval: the EIP-712 signature of did:parent:A is verified and the multi-signature count i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22: The guardian subsystem at the first approval: the EIP-712 signature of did:parent:A is verified and the multi-signature count is 1/2.</w:t>
      </w:r>
    </w:p>
    <w:p>
      <w:pPr>
        <w:spacing w:after="140" w:line="300"/>
        <w:jc w:val="both"/>
      </w:pPr>
      <w:r>
        <w:rPr>
          <w:rFonts w:ascii="Cambria" w:cs="Cambria" w:eastAsia="Cambria" w:hAnsi="Cambria"/>
          <w:color w:val="000000"/>
          <w:sz w:val="24"/>
          <w:szCs w:val="24"/>
        </w:rPr>
        <w:t xml:space="preserve">As shown in the figure above, the first guardian (did:parent:A) approves the consent and the subsystem reports EIP-712 signature verified (signer 0x3Af549b0…) with the multi-signature count 1/2. The consent remains pending, because the approval condition has not yet been satisfied. The second guardian then repeats the same procedure.</w:t>
      </w:r>
    </w:p>
    <w:p>
      <w:pPr>
        <w:keepNext/>
        <w:spacing w:after="60" w:before="140"/>
        <w:jc w:val="center"/>
      </w:pPr>
      <w:r>
        <w:drawing>
          <wp:inline distT="0" distB="0" distL="0" distR="0">
            <wp:extent cx="5334000" cy="3133725"/>
            <wp:effectExtent t="0" r="0" b="0" l="0"/>
            <wp:docPr id="1" name="M2.png" descr="Figure 23: The guardian subsystem at the moment of the second approval: the EIP-712 signature is verified, the 2/2 threshold is reached, the SBT is minted in the local ledger and the Sepolia anchoring starts in the background." title="Figure 23: The guardian subsystem at the moment of the second approval: the EIP-712 signature is verified, the 2/2 threshold is reached, the SBT is minted in the local ledger and the Sepolia anchoring starts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13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23: The guardian subsystem at the moment of the second approval: the EIP-712 signature is verified, the 2/2 threshold is reached, the SBT is minted in the local ledger and the Sepolia anchoring starts in the background.</w:t>
      </w:r>
    </w:p>
    <w:p>
      <w:pPr>
        <w:spacing w:after="140" w:line="300"/>
        <w:jc w:val="both"/>
      </w:pPr>
      <w:r>
        <w:rPr>
          <w:rFonts w:ascii="Cambria" w:cs="Cambria" w:eastAsia="Cambria" w:hAnsi="Cambria"/>
          <w:color w:val="000000"/>
          <w:sz w:val="24"/>
          <w:szCs w:val="24"/>
        </w:rPr>
        <w:t xml:space="preserve">As shown in the figure above, the guardian first enters the target Consent ID, after which the system retrieves the corresponding active transaction and displays the associated patient DID. The guardian then selects their own Guardian DID identity and approves the consent with an EIP-712 typed-data signature, which binds the approval to this specific consent, this guardian and this network (chainId 11155111). The system verifies each signature by recovering the signer address and comparing it with the address associated with that guardian DID. A signature produced for another consent, another guardian or another chain is rejected, and the interface refuses a second signature from the same guardian.</w:t>
      </w:r>
    </w:p>
    <w:p>
      <w:pPr>
        <w:spacing w:after="140" w:line="300"/>
        <w:jc w:val="both"/>
      </w:pPr>
      <w:r>
        <w:rPr>
          <w:rFonts w:ascii="Cambria" w:cs="Cambria" w:eastAsia="Cambria" w:hAnsi="Cambria"/>
          <w:color w:val="000000"/>
          <w:sz w:val="24"/>
          <w:szCs w:val="24"/>
        </w:rPr>
        <w:t xml:space="preserve">Each approval is evaluated by the procedure formalised in Algorithm 3. In the implemented configuration the authorisation threshold is derived from the designated guardian set as N = |G|, so that every listed guardian must produce a valid EIP-712 signature before activation; the demonstrated 2-of-2 ceremony is consequently an N-of-N instantiation of the threshold condition of Eq. (49).</w:t>
      </w:r>
    </w:p>
    <w:p>
      <w:pPr>
        <w:spacing w:after="140" w:line="300"/>
        <w:jc w:val="both"/>
      </w:pPr>
      <w:r>
        <w:rPr>
          <w:rFonts w:ascii="Cambria" w:cs="Cambria" w:eastAsia="Cambria" w:hAnsi="Cambria"/>
          <w:color w:val="000000"/>
          <w:sz w:val="24"/>
          <w:szCs w:val="24"/>
        </w:rPr>
        <w:t xml:space="preserve">The subsystem subsequently reports:</w:t>
      </w:r>
    </w:p>
    <w:p>
      <w:pPr>
        <w:spacing w:after="140" w:line="300"/>
        <w:jc w:val="both"/>
      </w:pPr>
      <w:r>
        <w:rPr>
          <w:rFonts w:ascii="Cambria" w:cs="Cambria" w:eastAsia="Cambria" w:hAnsi="Cambria"/>
          <w:color w:val="000000"/>
          <w:sz w:val="24"/>
          <w:szCs w:val="24"/>
        </w:rPr>
        <w:t xml:space="preserve">EIP-712 signature verified (signer 0x39B12b87…). Multi-sig: 2/2</w:t>
      </w:r>
    </w:p>
    <w:p>
      <w:pPr>
        <w:spacing w:after="140" w:line="300"/>
        <w:jc w:val="both"/>
      </w:pPr>
      <w:r>
        <w:rPr>
          <w:rFonts w:ascii="Cambria" w:cs="Cambria" w:eastAsia="Cambria" w:hAnsi="Cambria"/>
          <w:color w:val="000000"/>
          <w:sz w:val="24"/>
          <w:szCs w:val="24"/>
        </w:rPr>
        <w:t xml:space="preserve">This is an important implementation-level demonstration because the consent is not activated merely because the patient created it. Instead, the system requires the predefined guardian approval condition to be satisfied. </w:t>
      </w:r>
      <w:r>
        <w:rPr>
          <w:rFonts w:ascii="Cambria" w:cs="Cambria" w:eastAsia="Cambria" w:hAnsi="Cambria"/>
          <w:color w:val="E6007E"/>
          <w:sz w:val="24"/>
          <w:szCs w:val="24"/>
        </w:rPr>
        <w:t xml:space="preserve">The guardian approval establishes the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conjunct of the logical authorisation rule that the implementation enforces at every subsequent access request:</w:t>
      </w:r>
    </w:p>
    <w:p>
      <w:pPr>
        <w:spacing w:after="160" w:before="60"/>
        <w:jc w:val="center"/>
      </w:pPr>
      <w:r>
        <w:rPr>
          <w:rFonts w:ascii="Cambria Math" w:cs="Cambria Math" w:eastAsia="Cambria Math" w:hAnsi="Cambria Math"/>
          <w:i/>
          <w:iCs/>
          <w:color w:val="000000"/>
          <w:sz w:val="22"/>
          <w:szCs w:val="22"/>
        </w:rPr>
        <w:t xml:space="preserve">ALLOW = VI ∧ VA ∧ VP ∧ VT ∧ VL</w:t>
      </w:r>
    </w:p>
    <w:p>
      <w:pPr>
        <w:spacing w:after="140" w:line="300"/>
        <w:jc w:val="both"/>
      </w:pPr>
      <w:r>
        <w:rPr>
          <w:rFonts w:ascii="Cambria" w:cs="Cambria" w:eastAsia="Cambria" w:hAnsi="Cambria"/>
          <w:color w:val="000000"/>
          <w:sz w:val="24"/>
          <w:szCs w:val="24"/>
        </w:rPr>
        <w:t xml:space="preserve">where identity verification, authorisation verification, purpose verification, temporal verification and jurisdictional verification must all be satisfied before access can be granted. For the demonstrated two-guardian configuration, the approval process can also be represented as:</w:t>
      </w:r>
    </w:p>
    <w:p>
      <w:pPr>
        <w:spacing w:after="160" w:before="60"/>
        <w:jc w:val="center"/>
      </w:pPr>
      <w:r>
        <w:rPr>
          <w:rFonts w:ascii="Cambria Math" w:cs="Cambria Math" w:eastAsia="Cambria Math" w:hAnsi="Cambria Math"/>
          <w:i/>
          <w:iCs/>
          <w:color w:val="000000"/>
          <w:sz w:val="22"/>
          <w:szCs w:val="22"/>
        </w:rPr>
        <w:t xml:space="preserve">Σ g∈G  Sign(g, C)  ≥  |G| = 2</w:t>
      </w:r>
    </w:p>
    <w:p>
      <w:pPr>
        <w:spacing w:after="140" w:line="300"/>
        <w:jc w:val="both"/>
      </w:pPr>
      <w:r>
        <w:rPr>
          <w:rFonts w:ascii="Cambria" w:cs="Cambria" w:eastAsia="Cambria" w:hAnsi="Cambria"/>
          <w:color w:val="000000"/>
          <w:sz w:val="24"/>
          <w:szCs w:val="24"/>
        </w:rPr>
        <w:t xml:space="preserve">where G represents the designated guardians and every listed guardian must provide a valid signature for activation. Once the required signatures have been obtained, the subsystem displays SBT MINTED together with the Soulbound Token identifier, and a background job submits the mint transaction to Sepolia. While the background job is running, the subsystem reports the intermediate state explicitly.</w:t>
      </w:r>
    </w:p>
    <w:p>
      <w:pPr>
        <w:keepNext/>
        <w:spacing w:after="60" w:before="140"/>
        <w:jc w:val="center"/>
      </w:pPr>
      <w:r>
        <w:drawing>
          <wp:inline distT="0" distB="0" distL="0" distR="0">
            <wp:extent cx="5334000" cy="2657475"/>
            <wp:effectExtent t="0" r="0" b="0" l="0"/>
            <wp:docPr id="1" name="n_anchoring.png" descr="Figure 24: The guardian subsystem while the mint transaction is pending: the 2/2 threshold is reached but not yet anchored, the anchoring runs in the background, and a repeated signature from the same guardian is refused." title="Figure 24: The guardian subsystem while the mint transaction is pending: the 2/2 threshold is reached but not yet anchored, the anchoring runs in the background, and a repeated signature from the same guardian is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657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24: The guardian subsystem while the mint transaction is pending: the 2/2 threshold is reached but not yet anchored, the anchoring runs in the background, and a repeated signature from the same guardian is refused.</w:t>
      </w:r>
    </w:p>
    <w:p>
      <w:pPr>
        <w:spacing w:after="140" w:line="300"/>
        <w:jc w:val="both"/>
      </w:pPr>
      <w:r>
        <w:rPr>
          <w:rFonts w:ascii="Cambria" w:cs="Cambria" w:eastAsia="Cambria" w:hAnsi="Cambria"/>
          <w:color w:val="000000"/>
          <w:sz w:val="24"/>
          <w:szCs w:val="24"/>
        </w:rPr>
        <w:t xml:space="preserve">As shown in the figure above, the subsystem reports that the threshold has been reached but the consent is not yet anchored, offers a manual synchronisation with the chain, and refuses a second signature from the same guardian. This is important because the one-signature-per-guardian rule prevents a single guardian from satisfying the multi-signature threshold alone. When the guardian later re-enters the Consent ID, the subsystem reports Already anchored on Sepolia together with the on-chain token number (token #2 for the photographed lifecycle, token #1 for the evaluated consent).</w:t>
      </w:r>
    </w:p>
    <w:p>
      <w:pPr>
        <w:keepNext/>
        <w:spacing w:after="60" w:before="140"/>
        <w:jc w:val="center"/>
      </w:pPr>
      <w:r>
        <w:drawing>
          <wp:inline distT="0" distB="0" distL="0" distR="0">
            <wp:extent cx="5143500" cy="1828800"/>
            <wp:effectExtent t="0" r="0" b="0" l="0"/>
            <wp:docPr id="1" name="M2b.png" descr="Figure 25: The guardian subsystem revisited after the background job has completed: 'Already anchored on Sepolia - token #2'." title="Figure 25: The guardian subsystem revisited after the background job has completed: 'Already anchored on Sepolia - tok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18288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25: The guardian subsystem revisited after the background job has completed: 'Already anchored on Sepolia - token #2'.</w:t>
      </w:r>
    </w:p>
    <w:p>
      <w:pPr>
        <w:spacing w:after="140" w:line="300"/>
        <w:jc w:val="both"/>
      </w:pPr>
      <w:r>
        <w:rPr>
          <w:rFonts w:ascii="Cambria" w:cs="Cambria" w:eastAsia="Cambria" w:hAnsi="Cambria"/>
          <w:color w:val="000000"/>
          <w:sz w:val="24"/>
          <w:szCs w:val="24"/>
        </w:rPr>
        <w:t xml:space="preserve">As shown in the figure above, the anchored state persists across sessions and navigation, because it is read back from the ledger rather than from the page. This provides a visible representation of the transition from a pending consent transaction to an activated, publicly recorded consent state. The SBT therefore functions in the implementation as a persistent cryptographic representation of the completed consent authorisation rather than as a transferable asset.</w:t>
      </w:r>
    </w:p>
    <w:p>
      <w:pPr>
        <w:keepNext/>
        <w:spacing w:after="60" w:before="140"/>
        <w:jc w:val="center"/>
      </w:pPr>
      <w:r>
        <w:drawing>
          <wp:inline distT="0" distB="0" distL="0" distR="0">
            <wp:extent cx="5715000" cy="4181475"/>
            <wp:effectExtent t="0" r="0" b="0" l="0"/>
            <wp:docPr id="1" name="M3.png" descr="Figure 26: The anchoring transaction of the evaluated consent on Sepolia Etherscan: status Success, block 11,771,243, 'Mint 1 of MedicalConsent' to the pseudonymous patient address (function selector 0x1e1e7c76, mintConsentV3)." title="Figure 26: The anchoring transaction of the evaluated consent on Sepolia Etherscan: status Success, block 11,771,243, 'Mint 1 of MedicalConsent' to the pseudonymous patient address (function selector 0x1e1e7c76, mintConsent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181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26: The anchoring transaction of the evaluated consent on Sepolia Etherscan: status Success, block 11,771,243, 'Mint 1 of MedicalConsent' to the pseudonymous patient address (function selector 0x1e1e7c76, mintConsentV3).</w:t>
      </w:r>
    </w:p>
    <w:p>
      <w:pPr>
        <w:spacing w:after="140" w:line="300"/>
        <w:jc w:val="both"/>
      </w:pPr>
      <w:r>
        <w:rPr>
          <w:rFonts w:ascii="Cambria" w:cs="Cambria" w:eastAsia="Cambria" w:hAnsi="Cambria"/>
          <w:color w:val="000000"/>
          <w:sz w:val="24"/>
          <w:szCs w:val="24"/>
        </w:rPr>
        <w:t xml:space="preserve">As shown in the figure above, the anchoring of the evaluated consent (token #1) is an ordinary, publicly verifiable transaction: Etherscan reports the status Success, the block number 11,771,243, the transaction fee, and the transfer of one MedicalConsent token to the pseudonymous patient address derived from the patient DID. The transaction can be inspected on Sepolia Etherscan (mint transaction 0x8be1b99e…daf13d, listed in the verification links of Section 6.8.12). This provides an implementation-level demonstration that consent activation can be verified independently of the application.</w:t>
      </w:r>
    </w:p>
    <w:p>
      <w:pPr>
        <w:spacing w:after="140" w:line="300"/>
        <w:jc w:val="both"/>
      </w:pPr>
      <w:r>
        <w:rPr>
          <w:rFonts w:ascii="Cambria" w:cs="Cambria" w:eastAsia="Cambria" w:hAnsi="Cambria"/>
          <w:color w:val="000000"/>
          <w:sz w:val="24"/>
          <w:szCs w:val="24"/>
        </w:rPr>
        <w:t xml:space="preserve">The guardian subsystem consequently corresponds to </w:t>
      </w:r>
      <w:r>
        <w:rPr>
          <w:rFonts w:ascii="Cambria" w:cs="Cambria" w:eastAsia="Cambria" w:hAnsi="Cambria"/>
          <w:b/>
          <w:bCs/>
          <w:color w:val="000000"/>
          <w:sz w:val="24"/>
          <w:szCs w:val="24"/>
        </w:rPr>
        <w:t xml:space="preserve">Multi-Party Approval, Cryptographic Verification and Consent Activation</w:t>
      </w:r>
      <w:r>
        <w:rPr>
          <w:rFonts w:ascii="Cambria" w:cs="Cambria" w:eastAsia="Cambria" w:hAnsi="Cambria"/>
          <w:color w:val="000000"/>
          <w:sz w:val="24"/>
          <w:szCs w:val="24"/>
        </w:rPr>
        <w:t xml:space="preserve"> in the proposed architecture.</w:t>
      </w:r>
    </w:p>
    <w:p>
      <w:pPr>
        <w:pStyle w:val="Heading3"/>
        <w:spacing w:after="160" w:before="280"/>
      </w:pPr>
      <w:r>
        <w:rPr>
          <w:color w:val="000000"/>
        </w:rPr>
        <w:t xml:space="preserve">6.8.4  Secure Patient Data Access for the Doctor</w:t>
      </w:r>
    </w:p>
    <w:p>
      <w:pPr>
        <w:spacing w:after="140" w:line="300"/>
        <w:jc w:val="both"/>
      </w:pPr>
      <w:r>
        <w:rPr>
          <w:rFonts w:ascii="Cambria" w:cs="Cambria" w:eastAsia="Cambria" w:hAnsi="Cambria"/>
          <w:color w:val="000000"/>
          <w:sz w:val="24"/>
          <w:szCs w:val="24"/>
        </w:rPr>
        <w:t xml:space="preserve">The third module is the Secure Patient Data Access module and represents the healthcare-provider side of the authorisation process.</w:t>
      </w:r>
    </w:p>
    <w:p>
      <w:pPr>
        <w:spacing w:after="140" w:line="300"/>
        <w:jc w:val="both"/>
      </w:pPr>
      <w:r>
        <w:rPr>
          <w:rFonts w:ascii="Cambria" w:cs="Cambria" w:eastAsia="Cambria" w:hAnsi="Cambria"/>
          <w:color w:val="000000"/>
          <w:sz w:val="24"/>
          <w:szCs w:val="24"/>
        </w:rPr>
        <w:t xml:space="preserve">The doctor enters an authorised Consent ID, after which the system retrieves and displays the associated consent information. The subsystem shows the patient DID, Consent ID, purpose, and current consent state:</w:t>
      </w:r>
    </w:p>
    <w:p>
      <w:pPr>
        <w:spacing w:after="160" w:before="60"/>
        <w:jc w:val="center"/>
      </w:pPr>
      <w:r>
        <w:rPr>
          <w:rFonts w:ascii="Cambria Math" w:cs="Cambria Math" w:eastAsia="Cambria Math" w:hAnsi="Cambria Math"/>
          <w:i/>
          <w:iCs/>
          <w:color w:val="000000"/>
          <w:sz w:val="22"/>
          <w:szCs w:val="22"/>
        </w:rPr>
        <w:t xml:space="preserve">State = ACTIVE</w:t>
      </w:r>
    </w:p>
    <w:p>
      <w:pPr>
        <w:spacing w:after="140" w:line="300"/>
        <w:jc w:val="both"/>
      </w:pPr>
      <w:r>
        <w:rPr>
          <w:rFonts w:ascii="Cambria" w:cs="Cambria" w:eastAsia="Cambria" w:hAnsi="Cambria"/>
          <w:color w:val="000000"/>
          <w:sz w:val="24"/>
          <w:szCs w:val="24"/>
        </w:rPr>
        <w:t xml:space="preserve">This is important because the doctor does not directly access patient data based solely on possession of a Consent ID. The system first evaluates whether the underlying authorisation remains valid, and it does so for every component of the consent object. The decision matrix displayed to the doctor reports the outcome of each check individually.</w:t>
      </w:r>
    </w:p>
    <w:p>
      <w:pPr>
        <w:keepNext/>
        <w:spacing w:after="60" w:before="140"/>
        <w:jc w:val="center"/>
      </w:pPr>
      <w:r>
        <w:drawing>
          <wp:inline distT="0" distB="0" distL="0" distR="0">
            <wp:extent cx="5334000" cy="4200525"/>
            <wp:effectExtent t="0" r="0" b="0" l="0"/>
            <wp:docPr id="1" name="g_doc_au.png" descr="Figure 27: The doctor subsystem with requester jurisdiction AU (the evaluated consent f050c29a, captured before its revocation): all five checks report PASS, ALLOW = PASS, and the consent state is ACTIVE." title="Figure 27: The doctor subsystem with requester jurisdiction AU (the evaluated consent f050c29a, captured before its revocation): all five checks report PASS, ALLOW = PASS, and the consent state i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27: The doctor subsystem with requester jurisdiction AU (the evaluated consent f050c29a, captured before its revocation): all five checks report PASS, ALLOW = PASS, and the consent state is ACTIVE.</w:t>
      </w:r>
    </w:p>
    <w:p>
      <w:pPr>
        <w:spacing w:after="140" w:line="300"/>
        <w:jc w:val="both"/>
      </w:pPr>
      <w:r>
        <w:rPr>
          <w:rFonts w:ascii="Cambria" w:cs="Cambria" w:eastAsia="Cambria" w:hAnsi="Cambria"/>
          <w:color w:val="000000"/>
          <w:sz w:val="24"/>
          <w:szCs w:val="24"/>
        </w:rPr>
        <w:t xml:space="preserve">As shown in the figure above, the five checks VI (identity), VA (authorisation), VP (purpose), VT (time) and VL (jurisdiction) all report PASS, and consequently ALLOW = PASS. The subsystem then presents the Authorised Data Scope, showing that only the EMR modules specified in the original consent are available. In the demonstrated transaction, the authorised modules are:</w:t>
      </w:r>
    </w:p>
    <w:p>
      <w:pPr>
        <w:spacing w:after="160" w:before="60"/>
        <w:jc w:val="center"/>
      </w:pPr>
      <w:r>
        <w:rPr>
          <w:rFonts w:ascii="Cambria Math" w:cs="Cambria Math" w:eastAsia="Cambria Math" w:hAnsi="Cambria Math"/>
          <w:i/>
          <w:iCs/>
          <w:color w:val="000000"/>
          <w:sz w:val="22"/>
          <w:szCs w:val="22"/>
        </w:rPr>
        <w:t xml:space="preserve">Scope = { Observation, Medication, Condition, Procedure }</w:t>
      </w:r>
    </w:p>
    <w:p>
      <w:pPr>
        <w:spacing w:after="140" w:line="300"/>
        <w:jc w:val="both"/>
      </w:pPr>
      <w:r>
        <w:rPr>
          <w:rFonts w:ascii="Cambria" w:cs="Cambria" w:eastAsia="Cambria" w:hAnsi="Cambria"/>
          <w:color w:val="000000"/>
          <w:sz w:val="24"/>
          <w:szCs w:val="24"/>
        </w:rPr>
        <w:t xml:space="preserve">The five columns of the decision matrix are the operational form of the decision rule Decision(C, R) = ALLOW ⟺ VI(u) ∧ VA(C) ∧ VP(C, R) ∧ VT(C, t) ∧ VL(C), </w:t>
      </w:r>
      <w:r>
        <w:rPr>
          <w:rFonts w:ascii="Cambria" w:cs="Cambria" w:eastAsia="Cambria" w:hAnsi="Cambria"/>
          <w:color w:val="E6007E"/>
          <w:sz w:val="24"/>
          <w:szCs w:val="24"/>
        </w:rPr>
        <w:t xml:space="preserve">which is the complete decision rule of Eq. (54) and Eq. (60), extending the three-predicate rule of Eq. (64) with the temporal and jurisdictional verdicts</w:t>
      </w:r>
      <w:r>
        <w:rPr>
          <w:rFonts w:ascii="Cambria" w:cs="Cambria" w:eastAsia="Cambria" w:hAnsi="Cambria"/>
          <w:color w:val="000000"/>
          <w:sz w:val="24"/>
          <w:szCs w:val="24"/>
        </w:rPr>
        <w:t xml:space="preserve">. The jurisdiction predicate is satisfied if and only if the requester's declared jurisdiction equals the jurisdiction recorded in the consent, which the jurisdiction-violation demonstration below confirms empirically.</w:t>
      </w:r>
    </w:p>
    <w:p>
      <w:pPr>
        <w:keepNext/>
        <w:spacing w:after="60" w:before="140"/>
        <w:jc w:val="center"/>
      </w:pPr>
      <w:r>
        <w:drawing>
          <wp:inline distT="0" distB="0" distL="0" distR="0">
            <wp:extent cx="3429000" cy="4848225"/>
            <wp:effectExtent t="0" r="0" b="0" l="0"/>
            <wp:docPr id="1" name="predicate_flow.png" descr="Figure 28: ⦅Trust Predicate Evaluation and Authorisation Decision Flow of Figure 8, as enforced by the implemented Consent Engine.⦆" title="Figure 28: ⦅Trust Predicate Evaluation and Authorisation Decision Flow of Figure 8, as enforced by the implemented Consent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429000" cy="48482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28: </w:t>
      </w:r>
      <w:r>
        <w:rPr>
          <w:rFonts w:ascii="Cambria" w:cs="Cambria" w:eastAsia="Cambria" w:hAnsi="Cambria"/>
          <w:color w:val="E6007E"/>
          <w:sz w:val="20"/>
          <w:szCs w:val="20"/>
        </w:rPr>
        <w:t xml:space="preserve">Trust Predicate Evaluation and Authorisation Decision Flow of Figure 8, as enforced by the implemented Consent Engine.</w:t>
      </w:r>
    </w:p>
    <w:p>
      <w:pPr>
        <w:spacing w:after="140" w:line="300"/>
        <w:jc w:val="both"/>
      </w:pPr>
      <w:r>
        <w:rPr>
          <w:rFonts w:ascii="Cambria" w:cs="Cambria" w:eastAsia="Cambria" w:hAnsi="Cambria"/>
          <w:color w:val="000000"/>
          <w:sz w:val="24"/>
          <w:szCs w:val="24"/>
        </w:rPr>
        <w:t xml:space="preserve">The doctor must subsequently select the modules to request; the request must be a non-empty subset of the authorised scope. The system displays the requested modules and performs cryptographic verification before granting access. In this version, the verification also generates and verifies a Groth16 zero-knowledge proof, whose public inputs are a Poseidon commitment and the current time, and whose private witnesses are a secret and the expiry time; the proof establishes that the commitment is satisfied and that the current time does not exceed the expiry. Because the prover and the verifier currently run on the same server, the proof demonstrates the integration of the zero-knowledge toolchain rather than an additional privacy guarantee (see the limitations discussed at the end of this section). The audit ledger records the proof mode (groth16) with every access granted in the demonstrated lifecycles, and the subsystem then shows the message Cryptographic Verification Successful — Access Granted.</w:t>
      </w:r>
    </w:p>
    <w:p>
      <w:pPr>
        <w:keepNext/>
        <w:spacing w:after="60" w:before="140"/>
        <w:jc w:val="center"/>
      </w:pPr>
      <w:r>
        <w:drawing>
          <wp:inline distT="0" distB="0" distL="0" distR="0">
            <wp:extent cx="5334000" cy="6229350"/>
            <wp:effectExtent t="0" r="0" b="0" l="0"/>
            <wp:docPr id="1" name="M4.png" descr="Figure 29: The doctor subsystem after verification (the photographed lifecycle 04da25f5 introduced earlier): access granted and the authorised medical records displayed per EMR module; the Observation module's Download CSV control is visible." title="Figure 29: The doctor subsystem after verification (the photographed lifecycle 04da25f5 introduced earlier): access granted and the authorised medical records displayed per EMR module; the Observation module's Download CSV control i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6229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29: The doctor subsystem after verification (the photographed lifecycle 04da25f5 introduced earlier): access granted and the authorised medical records displayed per EMR module; the Observation module's Download CSV control is visible.</w:t>
      </w:r>
    </w:p>
    <w:p>
      <w:pPr>
        <w:keepNext/>
        <w:spacing w:after="60" w:before="140"/>
        <w:jc w:val="center"/>
      </w:pPr>
      <w:r>
        <w:drawing>
          <wp:inline distT="0" distB="0" distL="0" distR="0">
            <wp:extent cx="5143500" cy="4314825"/>
            <wp:effectExtent t="0" r="0" b="0" l="0"/>
            <wp:docPr id="1" name="M4b.png" descr="Figure 30: The remaining authorised modules of the same request: the Condition and Procedure records, with the Condition module's export control visible." title="Figure 30: The remaining authorised modules of the same request: the Condition and Procedure records, with the Condition module's export control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43148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30: The remaining authorised modules of the same request: the Condition and Procedure records, with the Condition module's export control visible.</w:t>
      </w:r>
    </w:p>
    <w:p>
      <w:pPr>
        <w:spacing w:after="140" w:line="300"/>
        <w:jc w:val="both"/>
      </w:pPr>
      <w:r>
        <w:rPr>
          <w:rFonts w:ascii="Cambria" w:cs="Cambria" w:eastAsia="Cambria" w:hAnsi="Cambria"/>
          <w:color w:val="000000"/>
          <w:sz w:val="24"/>
          <w:szCs w:val="24"/>
        </w:rPr>
        <w:t xml:space="preserve">The two figures above demonstrate the transition from consent verification to data-access authorisation; the checks are recorded in the audit ledger as STATE_CHECK events, one for every evaluated access request, so validity is re-established at each request rather than assumed. This distinction is central to the HALAH design. Consent and data access are not treated as identical events. Instead, the flow proceeds as follows:</w:t>
      </w:r>
    </w:p>
    <w:p>
      <w:pPr>
        <w:spacing w:after="160" w:before="60"/>
        <w:jc w:val="center"/>
      </w:pPr>
      <w:r>
        <w:rPr>
          <w:rFonts w:ascii="Cambria Math" w:cs="Cambria Math" w:eastAsia="Cambria Math" w:hAnsi="Cambria Math"/>
          <w:i/>
          <w:iCs/>
          <w:color w:val="000000"/>
          <w:sz w:val="22"/>
          <w:szCs w:val="22"/>
        </w:rPr>
        <w:t xml:space="preserve">Consent → Verification → AccessDecision</w:t>
      </w:r>
    </w:p>
    <w:p>
      <w:pPr>
        <w:spacing w:after="140" w:line="300"/>
        <w:jc w:val="both"/>
      </w:pPr>
      <w:r>
        <w:rPr>
          <w:rFonts w:ascii="Cambria" w:cs="Cambria" w:eastAsia="Cambria" w:hAnsi="Cambria"/>
          <w:color w:val="000000"/>
          <w:sz w:val="24"/>
          <w:szCs w:val="24"/>
        </w:rPr>
        <w:t xml:space="preserve">The doctor is therefore authorised only when the requested resources are consistent with the consent object and the consent remains active. The final Authorised Medical Records section presents the actual data modules available to the doctor. Because the subsystem separates the OBSERVATION, MEDICATION, CONDITION and PROCEDURE modules, it provides a direct visual demonstration of fine-grained EMR access control.</w:t>
      </w:r>
    </w:p>
    <w:p>
      <w:pPr>
        <w:spacing w:after="140" w:line="300"/>
        <w:jc w:val="both"/>
      </w:pPr>
      <w:r>
        <w:rPr>
          <w:rFonts w:ascii="Cambria" w:cs="Cambria" w:eastAsia="Cambria" w:hAnsi="Cambria"/>
          <w:color w:val="0000CC"/>
          <w:sz w:val="24"/>
          <w:szCs w:val="24"/>
        </w:rPr>
        <w:t xml:space="preserve">It should be noted that all medical records displayed in the demonstration are synthetic; no real patient data were used at any stage of the implementation or evaluation.</w:t>
      </w:r>
    </w:p>
    <w:p>
      <w:pPr>
        <w:spacing w:after="140" w:line="300"/>
        <w:jc w:val="both"/>
      </w:pPr>
      <w:r>
        <w:rPr>
          <w:rFonts w:ascii="Cambria" w:cs="Cambria" w:eastAsia="Cambria" w:hAnsi="Cambria"/>
          <w:color w:val="000000"/>
          <w:sz w:val="24"/>
          <w:szCs w:val="24"/>
        </w:rPr>
        <w:t xml:space="preserve">Thus, the doctor subsystem corresponds to </w:t>
      </w:r>
      <w:r>
        <w:rPr>
          <w:rFonts w:ascii="Cambria" w:cs="Cambria" w:eastAsia="Cambria" w:hAnsi="Cambria"/>
          <w:b/>
          <w:bCs/>
          <w:color w:val="000000"/>
          <w:sz w:val="24"/>
          <w:szCs w:val="24"/>
        </w:rPr>
        <w:t xml:space="preserve">Consent-State Validation, Scope Enforcement and Authorised Data Access</w:t>
      </w:r>
      <w:r>
        <w:rPr>
          <w:rFonts w:ascii="Cambria" w:cs="Cambria" w:eastAsia="Cambria" w:hAnsi="Cambria"/>
          <w:color w:val="000000"/>
          <w:sz w:val="24"/>
          <w:szCs w:val="24"/>
        </w:rPr>
        <w:t xml:space="preserve">.</w:t>
      </w:r>
    </w:p>
    <w:p>
      <w:pPr>
        <w:pStyle w:val="Heading3"/>
        <w:spacing w:after="160" w:before="280"/>
      </w:pPr>
      <w:r>
        <w:rPr>
          <w:color w:val="000000"/>
        </w:rPr>
        <w:t xml:space="preserve">6.8.5  Negative Demonstration: Jurisdiction Violation</w:t>
      </w:r>
    </w:p>
    <w:p>
      <w:pPr>
        <w:spacing w:after="140" w:line="300"/>
        <w:jc w:val="both"/>
      </w:pPr>
      <w:r>
        <w:rPr>
          <w:rFonts w:ascii="Cambria" w:cs="Cambria" w:eastAsia="Cambria" w:hAnsi="Cambria"/>
          <w:color w:val="000000"/>
          <w:sz w:val="24"/>
          <w:szCs w:val="24"/>
        </w:rPr>
        <w:t xml:space="preserve">The fourth part is the negative demonstration. This is important because a consent framework must be evaluated not only on whether it grants legitimate access, but also on whether it refuses illegitimate access. The same doctor therefore repeated the request for the evaluated consent while declaring the requester jurisdiction as SA, whereas the consent was issued for AU.</w:t>
      </w:r>
    </w:p>
    <w:p>
      <w:pPr>
        <w:keepNext/>
        <w:spacing w:after="60" w:before="140"/>
        <w:jc w:val="center"/>
      </w:pPr>
      <w:r>
        <w:drawing>
          <wp:inline distT="0" distB="0" distL="0" distR="0">
            <wp:extent cx="5334000" cy="4200525"/>
            <wp:effectExtent t="0" r="0" b="0" l="0"/>
            <wp:docPr id="1" name="g_doc_sa.png" descr="Figure 31: The doctor subsystem with requester jurisdiction SA: VL reports FAIL and consequently ALLOW = FAIL, although the consent state remains ACTIVE." title="Figure 31: The doctor subsystem with requester jurisdiction SA: VL reports FAIL and consequently ALLOW = FAIL, although the consent state remain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31: The doctor subsystem with requester jurisdiction SA: VL reports FAIL and consequently ALLOW = FAIL, although the consent state remains ACTIVE.</w:t>
      </w:r>
    </w:p>
    <w:p>
      <w:pPr>
        <w:spacing w:after="140" w:line="300"/>
        <w:jc w:val="both"/>
      </w:pPr>
      <w:r>
        <w:rPr>
          <w:rFonts w:ascii="Cambria" w:cs="Cambria" w:eastAsia="Cambria" w:hAnsi="Cambria"/>
          <w:color w:val="000000"/>
          <w:sz w:val="24"/>
          <w:szCs w:val="24"/>
        </w:rPr>
        <w:t xml:space="preserve">As shown in the figure above, the decision matrix immediately reports VL = FAIL and consequently ALLOW = FAIL, even though the consent itself is still ACTIVE, the guardian signatures remain valid and all other checks pass. This is important because it demonstrates that the access decision is taken over the complete consent tuple rather than over the consent state alone.</w:t>
      </w:r>
    </w:p>
    <w:p>
      <w:pPr>
        <w:keepNext/>
        <w:spacing w:after="60" w:before="140"/>
        <w:jc w:val="center"/>
      </w:pPr>
      <w:r>
        <w:drawing>
          <wp:inline distT="0" distB="0" distL="0" distR="0">
            <wp:extent cx="5334000" cy="2638425"/>
            <wp:effectExtent t="0" r="0" b="0" l="0"/>
            <wp:docPr id="1" name="g_denied.png" descr="Figure 32: The refused request: 'Security Exception: Access Denied by ZK-Policy. Failed checks: VL'." title="Figure 32: The refused request: 'Security Exception: Access Denied by ZK-Policy. Failed checks: V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32: The refused request: 'Security Exception: Access Denied by ZK-Policy. Failed checks: VL'.</w:t>
      </w:r>
    </w:p>
    <w:p>
      <w:pPr>
        <w:spacing w:after="140" w:line="300"/>
        <w:jc w:val="both"/>
      </w:pPr>
      <w:r>
        <w:rPr>
          <w:rFonts w:ascii="Cambria" w:cs="Cambria" w:eastAsia="Cambria" w:hAnsi="Cambria"/>
          <w:color w:val="000000"/>
          <w:sz w:val="24"/>
          <w:szCs w:val="24"/>
        </w:rPr>
        <w:t xml:space="preserve">As shown in the figure above, when the doctor submits the request, access is refused and the failed check is named explicitly. The corresponding audit-ledger entry records the result DENIED together with the complete decision matrix, so that the refusal is itself auditable. This is important because the jurisdiction check is included in the access decision rather than merely displayed.</w:t>
      </w:r>
    </w:p>
    <w:p>
      <w:pPr>
        <w:spacing w:after="140" w:line="300"/>
        <w:jc w:val="both"/>
      </w:pPr>
      <w:r>
        <w:rPr>
          <w:rFonts w:ascii="Cambria" w:cs="Cambria" w:eastAsia="Cambria" w:hAnsi="Cambria"/>
          <w:color w:val="000000"/>
          <w:sz w:val="24"/>
          <w:szCs w:val="24"/>
        </w:rPr>
        <w:t xml:space="preserve">This demonstration corresponds to </w:t>
      </w:r>
      <w:r>
        <w:rPr>
          <w:rFonts w:ascii="Cambria" w:cs="Cambria" w:eastAsia="Cambria" w:hAnsi="Cambria"/>
          <w:b/>
          <w:bCs/>
          <w:color w:val="000000"/>
          <w:sz w:val="24"/>
          <w:szCs w:val="24"/>
        </w:rPr>
        <w:t xml:space="preserve">Jurisdictional Constraint Enforcement and Fail-Closed Access Control</w:t>
      </w:r>
      <w:r>
        <w:rPr>
          <w:rFonts w:ascii="Cambria" w:cs="Cambria" w:eastAsia="Cambria" w:hAnsi="Cambria"/>
          <w:color w:val="000000"/>
          <w:sz w:val="24"/>
          <w:szCs w:val="24"/>
        </w:rPr>
        <w:t xml:space="preserve">.</w:t>
      </w:r>
    </w:p>
    <w:p>
      <w:pPr>
        <w:pStyle w:val="Heading3"/>
        <w:spacing w:after="160" w:before="280"/>
      </w:pPr>
      <w:r>
        <w:rPr>
          <w:color w:val="000000"/>
        </w:rPr>
        <w:t xml:space="preserve">6.8.6  Consent Revocation</w:t>
      </w:r>
    </w:p>
    <w:p>
      <w:pPr>
        <w:spacing w:after="140" w:line="300"/>
        <w:jc w:val="both"/>
      </w:pPr>
      <w:r>
        <w:rPr>
          <w:rFonts w:ascii="Cambria" w:cs="Cambria" w:eastAsia="Cambria" w:hAnsi="Cambria"/>
          <w:color w:val="000000"/>
          <w:sz w:val="24"/>
          <w:szCs w:val="24"/>
        </w:rPr>
        <w:t xml:space="preserve">The fifth module is the Consent Revocation module. </w:t>
      </w:r>
      <w:r>
        <w:rPr>
          <w:rFonts w:ascii="Cambria" w:cs="Cambria" w:eastAsia="Cambria" w:hAnsi="Cambria"/>
          <w:color w:val="E6007E"/>
          <w:sz w:val="24"/>
          <w:szCs w:val="24"/>
        </w:rPr>
        <w:t xml:space="preserve">This module operationalises the revocation dimension of the evidence component E of the consent object, which requires</w:t>
      </w:r>
      <w:r>
        <w:rPr>
          <w:rFonts w:ascii="Cambria" w:cs="Cambria" w:eastAsia="Cambria" w:hAnsi="Cambria"/>
          <w:color w:val="000000"/>
          <w:sz w:val="24"/>
          <w:szCs w:val="24"/>
        </w:rPr>
        <w:t xml:space="preserve"> that a patient can withdraw consent and that the withdrawal takes effect for every subsequent request. In the patient's My Consents view, each consent is listed with its state, signature count and token. The patient then selects Revoke, after which the system updates the application state and submits a revoke transaction to the contract on Sepolia.</w:t>
      </w:r>
    </w:p>
    <w:p>
      <w:pPr>
        <w:keepNext/>
        <w:spacing w:after="60" w:before="140"/>
        <w:jc w:val="center"/>
      </w:pPr>
      <w:r>
        <w:drawing>
          <wp:inline distT="0" distB="0" distL="0" distR="0">
            <wp:extent cx="5143500" cy="3714750"/>
            <wp:effectExtent t="0" r="0" b="0" l="0"/>
            <wp:docPr id="1" name="g_revoking.png" descr="Figure 33: The patient subsystem during revocation: 'Revoking on Sepolia - waiting for block confirmation…'." title="Figure 33: The patient subsystem during revocation: 'Revoking on Sepolia - waiting for block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3714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33: The patient subsystem during revocation: 'Revoking on Sepolia - waiting for block confirmation…'.</w:t>
      </w:r>
    </w:p>
    <w:p>
      <w:pPr>
        <w:spacing w:after="140" w:line="300"/>
        <w:jc w:val="both"/>
      </w:pPr>
      <w:r>
        <w:rPr>
          <w:rFonts w:ascii="Cambria" w:cs="Cambria" w:eastAsia="Cambria" w:hAnsi="Cambria"/>
          <w:color w:val="000000"/>
          <w:sz w:val="24"/>
          <w:szCs w:val="24"/>
        </w:rPr>
        <w:t xml:space="preserve">As shown in the figure above, the withdrawal is submitted as a blockchain transaction and the subsystem waits for the block confirmation before reporting the final state.</w:t>
      </w:r>
    </w:p>
    <w:p>
      <w:pPr>
        <w:keepNext/>
        <w:spacing w:after="60" w:before="140"/>
        <w:jc w:val="center"/>
      </w:pPr>
      <w:r>
        <w:drawing>
          <wp:inline distT="0" distB="0" distL="0" distR="0">
            <wp:extent cx="5334000" cy="3533775"/>
            <wp:effectExtent t="0" r="0" b="0" l="0"/>
            <wp:docPr id="1" name="g_revoked.png" descr="Figure 34: The patient subsystem after revocation: the evaluated consent f050c29a is REVOKED with token #1 (displayed as SBT-1). The other rows are earlier trial consents." title="Figure 34: The patient subsystem after revocation: the evaluated consent f050c29a is REVOKED with token #1 (displayed as SBT-1). The other rows are earlier trial cons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533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34: The patient subsystem after revocation: the evaluated consent f050c29a is REVOKED with token #1 (displayed as SBT-1). The other rows are earlier trial consents.</w:t>
      </w:r>
    </w:p>
    <w:p>
      <w:pPr>
        <w:spacing w:after="140" w:line="300"/>
        <w:jc w:val="both"/>
      </w:pPr>
      <w:r>
        <w:rPr>
          <w:rFonts w:ascii="Cambria" w:cs="Cambria" w:eastAsia="Cambria" w:hAnsi="Cambria"/>
          <w:color w:val="000000"/>
          <w:sz w:val="24"/>
          <w:szCs w:val="24"/>
        </w:rPr>
        <w:t xml:space="preserve">As shown in the figure above, the revoked consent is displayed as REVOKED together with its on-chain token number. The revocation was confirmed on Sepolia in block 11,771,307, and from that point the contract itself reports the token as no longer valid, so any verifier that reads the chain observes the withdrawal.</w:t>
      </w:r>
    </w:p>
    <w:p>
      <w:pPr>
        <w:spacing w:after="140" w:line="300"/>
        <w:jc w:val="both"/>
      </w:pPr>
      <w:r>
        <w:rPr>
          <w:rFonts w:ascii="Cambria" w:cs="Cambria" w:eastAsia="Cambria" w:hAnsi="Cambria"/>
          <w:color w:val="000000"/>
          <w:sz w:val="24"/>
          <w:szCs w:val="24"/>
        </w:rPr>
        <w:t xml:space="preserve">The demonstrated revocation completes the consent lifecycle anticipated by the temporal and lifecycle model of Section 6.5: </w:t>
      </w:r>
      <w:r>
        <w:rPr>
          <w:rFonts w:ascii="Cambria" w:cs="Cambria" w:eastAsia="Cambria" w:hAnsi="Cambria"/>
          <w:color w:val="E6007E"/>
          <w:sz w:val="24"/>
          <w:szCs w:val="24"/>
        </w:rPr>
        <w:t xml:space="preserve">the consent progresses through the controlled states PENDING_SIGNATURE, PENDING_TOKEN, NOT_STARTED, ACTIVE and REVOKED of the six-state lifecycle defined in Section 6.5, the EXPIRED state not being reached in the demonstration</w:t>
      </w:r>
      <w:r>
        <w:rPr>
          <w:rFonts w:ascii="Cambria" w:cs="Cambria" w:eastAsia="Cambria" w:hAnsi="Cambria"/>
          <w:color w:val="000000"/>
          <w:sz w:val="24"/>
          <w:szCs w:val="24"/>
        </w:rPr>
        <w:t xml:space="preserve">, and the activating and revoking transitions are themselves verifiable Sepolia transactions (blocks 11,771,243 and 11,771,307). Trust is therefore not treated as permanently established at the moment a consent is created, which is precisely the lifecycle-trust principle stated there.</w:t>
      </w:r>
    </w:p>
    <w:p>
      <w:pPr>
        <w:spacing w:after="140" w:line="300"/>
        <w:jc w:val="both"/>
      </w:pPr>
      <w:r>
        <w:rPr>
          <w:rFonts w:ascii="Cambria" w:cs="Cambria" w:eastAsia="Cambria" w:hAnsi="Cambria"/>
          <w:color w:val="0000CC"/>
          <w:sz w:val="24"/>
          <w:szCs w:val="24"/>
        </w:rPr>
        <w:t xml:space="preserve">It should be noted that the expiry path, in which the temporal predicate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 fails once the current time exceeds t</w:t>
      </w:r>
      <w:r>
        <w:rPr>
          <w:rFonts w:ascii="Cambria" w:cs="Cambria" w:eastAsia="Cambria" w:hAnsi="Cambria"/>
          <w:color w:val="0000CC"/>
          <w:sz w:val="24"/>
          <w:szCs w:val="24"/>
          <w:vertAlign w:val="subscript"/>
        </w:rPr>
        <w:t xml:space="preserve">e</w:t>
      </w:r>
      <w:r>
        <w:rPr>
          <w:rFonts w:ascii="Cambria" w:cs="Cambria" w:eastAsia="Cambria" w:hAnsi="Cambria"/>
          <w:color w:val="0000CC"/>
          <w:sz w:val="24"/>
          <w:szCs w:val="24"/>
        </w:rPr>
        <w:t xml:space="preserve"> and the consent enters the EXPIRED state, is exercised by the automated tests reported in Section 6.8.9 rather than by the live demonstration, because a consent with a validity window long enough to be photographed cannot be allowed to expire within the demonstration period.</w:t>
      </w:r>
    </w:p>
    <w:p>
      <w:pPr>
        <w:keepNext/>
        <w:spacing w:after="60" w:before="140"/>
        <w:jc w:val="center"/>
      </w:pPr>
      <w:r>
        <w:drawing>
          <wp:inline distT="0" distB="0" distL="0" distR="0">
            <wp:extent cx="5715000" cy="2009775"/>
            <wp:effectExtent t="0" r="0" b="0" l="0"/>
            <wp:docPr id="1" name="lifecycle_sm.png" descr="Figure 35: The implemented consent lifecycle: every consent progresses through controlled states, and the activating and revoking transitions are anchored as verifiable Sepolia transactions." title="Figure 35: The implemented consent lifecycle: every consent progresses through controlled states, and the activating and revoking transitions are anchored as verifiable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35: The implemented consent lifecycle: every consent progresses through controlled states, and the activating and revoking transitions are anchored as verifiable Sepolia transactions.</w:t>
      </w:r>
    </w:p>
    <w:p>
      <w:pPr>
        <w:keepNext/>
        <w:spacing w:after="60" w:before="140"/>
        <w:jc w:val="center"/>
      </w:pPr>
      <w:r>
        <w:drawing>
          <wp:inline distT="0" distB="0" distL="0" distR="0">
            <wp:extent cx="5334000" cy="2952750"/>
            <wp:effectExtent t="0" r="0" b="0" l="0"/>
            <wp:docPr id="1" name="M5.png" descr="Figure 36: The doctor subsystem after revocation: VA reports FAIL and the consent is reported as 'not active. Current state: REVOKED'." title="Figure 36: The doctor subsystem after revocation: VA reports FAIL and the consent is reported as 'not active. Current state: REV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36: The doctor subsystem after revocation: VA reports FAIL and the consent is reported as 'not active. Current state: REVOKED'.</w:t>
      </w:r>
    </w:p>
    <w:p>
      <w:pPr>
        <w:spacing w:after="140" w:line="300"/>
        <w:jc w:val="both"/>
      </w:pPr>
      <w:r>
        <w:rPr>
          <w:rFonts w:ascii="Cambria" w:cs="Cambria" w:eastAsia="Cambria" w:hAnsi="Cambria"/>
          <w:color w:val="000000"/>
          <w:sz w:val="24"/>
          <w:szCs w:val="24"/>
        </w:rPr>
        <w:t xml:space="preserve">As shown in the figure above, when the doctor subsequently enters the same Consent ID, the authorisation check VA fails and the subsystem reports that the consent is not active. Consequently, revocation is not merely a change of display: it removes the authorisation on which every later access decision depends.</w:t>
      </w:r>
    </w:p>
    <w:p>
      <w:pPr>
        <w:keepNext/>
        <w:spacing w:after="60" w:before="140"/>
        <w:jc w:val="center"/>
      </w:pPr>
      <w:r>
        <w:drawing>
          <wp:inline distT="0" distB="0" distL="0" distR="0">
            <wp:extent cx="5715000" cy="3752850"/>
            <wp:effectExtent t="0" r="0" b="0" l="0"/>
            <wp:docPr id="1" name="M6.png" descr="Figure 37: The revocation transaction on Sepolia Etherscan: status Success, block 11,771,307, decoded input 'Function: revoke(uint256 tokenId)' with tokenId = 1." title="Figure 37: The revocation transaction on Sepolia Etherscan: status Success, block 11,771,307, decoded input 'Function: revoke(uint256 tokenId)' with tokenId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7528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37: The revocation transaction on Sepolia Etherscan: status Success, block 11,771,307, decoded input 'Function: revoke(uint256 tokenId)' with tokenId = 1.</w:t>
      </w:r>
    </w:p>
    <w:p>
      <w:pPr>
        <w:spacing w:after="140" w:line="300"/>
        <w:jc w:val="both"/>
      </w:pPr>
      <w:r>
        <w:rPr>
          <w:rFonts w:ascii="Cambria" w:cs="Cambria" w:eastAsia="Cambria" w:hAnsi="Cambria"/>
          <w:color w:val="000000"/>
          <w:sz w:val="24"/>
          <w:szCs w:val="24"/>
        </w:rPr>
        <w:t xml:space="preserve">As shown in the figure above, the revocation is again a publicly verifiable transaction, whose decoded input names the contract function revoke and the token identifier. The transaction can be inspected on Sepolia Etherscan (revoke transaction 0x017efb9d…dceaa, listed in the verification links of Section 6.8.12). The revocation subsystem therefore corresponds to </w:t>
      </w:r>
      <w:r>
        <w:rPr>
          <w:rFonts w:ascii="Cambria" w:cs="Cambria" w:eastAsia="Cambria" w:hAnsi="Cambria"/>
          <w:b/>
          <w:bCs/>
          <w:color w:val="000000"/>
          <w:sz w:val="24"/>
          <w:szCs w:val="24"/>
        </w:rPr>
        <w:t xml:space="preserve">Enforcement State Management and Consent Withdrawal</w:t>
      </w:r>
      <w:r>
        <w:rPr>
          <w:rFonts w:ascii="Cambria" w:cs="Cambria" w:eastAsia="Cambria" w:hAnsi="Cambria"/>
          <w:color w:val="000000"/>
          <w:sz w:val="24"/>
          <w:szCs w:val="24"/>
        </w:rPr>
        <w:t xml:space="preserve">.</w:t>
      </w:r>
    </w:p>
    <w:p>
      <w:pPr>
        <w:pStyle w:val="Heading3"/>
        <w:spacing w:after="160" w:before="280"/>
      </w:pPr>
      <w:r>
        <w:rPr>
          <w:color w:val="000000"/>
        </w:rPr>
        <w:t xml:space="preserve">6.8.7  Blockchain Audit and Consent Lifecycle for the Auditor</w:t>
      </w:r>
    </w:p>
    <w:p>
      <w:pPr>
        <w:spacing w:after="140" w:line="300"/>
        <w:jc w:val="both"/>
      </w:pPr>
      <w:r>
        <w:rPr>
          <w:rFonts w:ascii="Cambria" w:cs="Cambria" w:eastAsia="Cambria" w:hAnsi="Cambria"/>
          <w:color w:val="000000"/>
          <w:sz w:val="24"/>
          <w:szCs w:val="24"/>
        </w:rPr>
        <w:t xml:space="preserve">The sixth major module is the Blockchain Audit &amp; Consent Lifecycle module. This subsystem provides an independent view of the complete consent process and corresponds to the auditability and accountability component of the HALAH framework.</w:t>
      </w:r>
    </w:p>
    <w:p>
      <w:pPr>
        <w:keepNext/>
        <w:spacing w:after="60" w:before="140"/>
        <w:jc w:val="center"/>
      </w:pPr>
      <w:r>
        <w:drawing>
          <wp:inline distT="0" distB="0" distL="0" distR="0">
            <wp:extent cx="5524500" cy="4019550"/>
            <wp:effectExtent t="0" r="0" b="0" l="0"/>
            <wp:docPr id="1" name="n_lifecycle.png" descr="Figure 38: The Consent Lifecycle reconstruction for the evaluated consent: the guardian signatures, MINT_SBT and ONCHAIN_MINT on the left, and the STATE_CHECK, DENIED, REVOKE_CONSENT and ONCHAIN_REVOKE events on the right." title="Figure 38: The Consent Lifecycle reconstruction for the evaluated consent: the guardian signatures, MINT_SBT and ONCHAIN_MINT on the left, and the STATE_CHECK, DENIED, REVOKE_CONSENT and ONCHAIN_REVOKE event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24500" cy="4019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38: The Consent Lifecycle reconstruction for the evaluated consent: the guardian signatures, MINT_SBT and ONCHAIN_MINT on the left, and the STATE_CHECK, DENIED, REVOKE_CONSENT and ONCHAIN_REVOKE events on the right.</w:t>
      </w:r>
    </w:p>
    <w:p>
      <w:pPr>
        <w:spacing w:after="140" w:line="300"/>
        <w:jc w:val="both"/>
      </w:pPr>
      <w:r>
        <w:rPr>
          <w:rFonts w:ascii="Cambria" w:cs="Cambria" w:eastAsia="Cambria" w:hAnsi="Cambria"/>
          <w:color w:val="000000"/>
          <w:sz w:val="24"/>
          <w:szCs w:val="24"/>
        </w:rPr>
        <w:t xml:space="preserve">As shown in the figure above, the lifecycle view presents each event as a card with its timestamp, actor, role, action and result, so the chronological sequence of the authorisation process can be read directly.</w:t>
      </w:r>
    </w:p>
    <w:p>
      <w:pPr>
        <w:keepNext/>
        <w:spacing w:after="60" w:before="140"/>
        <w:jc w:val="center"/>
      </w:pPr>
      <w:r>
        <w:drawing>
          <wp:inline distT="0" distB="0" distL="0" distR="0">
            <wp:extent cx="5715000" cy="3343275"/>
            <wp:effectExtent t="0" r="0" b="0" l="0"/>
            <wp:docPr id="1" name="M7.png" descr="Figure 39: The auditor subsystem with the evaluated consent selected: aggregate indicators and the Detailed Audit Records, in which the on-chain events carry their transaction hashes and block numbers." title="Figure 39: The auditor subsystem with the evaluated consent selected: aggregate indicators and the Detailed Audit Records, in which the on-chain events carry their transaction hashes and block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39: The auditor subsystem with the evaluated consent selected: aggregate indicators and the Detailed Audit Records, in which the on-chain events carry their transaction hashes and block numbers.</w:t>
      </w:r>
    </w:p>
    <w:p>
      <w:pPr>
        <w:spacing w:after="140" w:line="300"/>
        <w:jc w:val="both"/>
      </w:pPr>
      <w:r>
        <w:rPr>
          <w:rFonts w:ascii="Cambria" w:cs="Cambria" w:eastAsia="Cambria" w:hAnsi="Cambria"/>
          <w:color w:val="000000"/>
          <w:sz w:val="24"/>
          <w:szCs w:val="24"/>
        </w:rPr>
        <w:t xml:space="preserve">As shown in the figure above, the system first provides aggregate indicators including:</w:t>
      </w:r>
    </w:p>
    <w:p>
      <w:pPr>
        <w:spacing w:after="160" w:before="60"/>
        <w:jc w:val="center"/>
      </w:pPr>
      <w:r>
        <w:rPr>
          <w:rFonts w:ascii="Cambria Math" w:cs="Cambria Math" w:eastAsia="Cambria Math" w:hAnsi="Cambria Math"/>
          <w:i/>
          <w:iCs/>
          <w:color w:val="000000"/>
          <w:sz w:val="22"/>
          <w:szCs w:val="22"/>
        </w:rPr>
        <w:t xml:space="preserve">Total Events = 60    Consent Events = 8    Access Requests = 9    On-chain Anchors = 5</w:t>
      </w:r>
    </w:p>
    <w:p>
      <w:pPr>
        <w:spacing w:after="140" w:line="300"/>
        <w:jc w:val="both"/>
      </w:pPr>
      <w:r>
        <w:rPr>
          <w:rFonts w:ascii="Cambria" w:cs="Cambria" w:eastAsia="Cambria" w:hAnsi="Cambria"/>
          <w:color w:val="000000"/>
          <w:sz w:val="24"/>
          <w:szCs w:val="24"/>
        </w:rPr>
        <w:t xml:space="preserve">These indicators give the auditor an immediate overview of the recorded system activity and of how many events are anchored on the public chain. The five anchors comprise the mint and revocation of the evaluated consent (token #1), the mint of the photographed lifecycle (token #2), and the mint and revocation of an earlier trial consent on the previous contract; </w:t>
      </w:r>
      <w:r>
        <w:rPr>
          <w:rFonts w:ascii="Cambria" w:cs="Cambria" w:eastAsia="Cambria" w:hAnsi="Cambria"/>
          <w:color w:val="E6007E"/>
          <w:sz w:val="24"/>
          <w:szCs w:val="24"/>
        </w:rPr>
        <w:t xml:space="preserve">the nine access requests comprise the six granted and refused requests recorded across the two lifecycles together with three granted requests recorded for the earlier trial consents</w:t>
      </w:r>
      <w:r>
        <w:rPr>
          <w:rFonts w:ascii="Cambria" w:cs="Cambria" w:eastAsia="Cambria" w:hAnsi="Cambria"/>
          <w:color w:val="000000"/>
          <w:sz w:val="24"/>
          <w:szCs w:val="24"/>
        </w:rPr>
        <w:t xml:space="preserve">. More importantly, the Consent Lifecycle section reconstructs the sequence of events associated with a particular consent. The reconstructed records include CREATE_CONSENT performed by the patient, followed by SIGN_CONSENT performed by each guardian, followed by MINT_SBT and ONCHAIN_MINT performed by the smart contract; in the figure the detailed table is scrolled to the on-chain events, whose rows carry the transaction hashes. The subsequent STATE_CHECK system events demonstrate that the Consent Engine continuously evaluates the state of the authorisation. The doctor then generates DATA_ACCESS with the result GRANTED, later DATA_ACCESS with the result DENIED when the jurisdiction check fails, and finally the patient generates REVOKE_CONSENT followed by ONCHAIN_REVOKE performed by the smart contract.</w:t>
      </w:r>
    </w:p>
    <w:p>
      <w:pPr>
        <w:spacing w:after="140" w:line="300"/>
        <w:jc w:val="both"/>
      </w:pPr>
      <w:r>
        <w:rPr>
          <w:rFonts w:ascii="Cambria" w:cs="Cambria" w:eastAsia="Cambria" w:hAnsi="Cambria"/>
          <w:color w:val="000000"/>
          <w:sz w:val="24"/>
          <w:szCs w:val="24"/>
        </w:rPr>
        <w:t xml:space="preserve">This audit reconstruction, together with the independent verification of every recorded transaction against the public chain, constitutes the empirical component of the security-assurance objective RO6 of Section 6.6: representative valid, invalid and adversarial scenarios have been executed against the running prototype, and the recorded evidence is consistent with the public chain. </w:t>
      </w:r>
      <w:r>
        <w:rPr>
          <w:rFonts w:ascii="Cambria" w:cs="Cambria" w:eastAsia="Cambria" w:hAnsi="Cambria"/>
          <w:color w:val="E6007E"/>
          <w:sz w:val="24"/>
          <w:szCs w:val="24"/>
        </w:rPr>
        <w:t xml:space="preserve">The formal component, namely proofs and model checking of the stated properties, remains next-stage work.</w:t>
      </w:r>
    </w:p>
    <w:p>
      <w:pPr>
        <w:spacing w:after="140" w:line="300"/>
        <w:jc w:val="both"/>
      </w:pPr>
      <w:r>
        <w:rPr>
          <w:rFonts w:ascii="Cambria" w:cs="Cambria" w:eastAsia="Cambria" w:hAnsi="Cambria"/>
          <w:color w:val="000000"/>
          <w:sz w:val="24"/>
          <w:szCs w:val="24"/>
        </w:rPr>
        <w:t xml:space="preserve">This produces an explicit chain of evidence as</w:t>
      </w:r>
    </w:p>
    <w:p>
      <w:pPr>
        <w:spacing w:after="160" w:before="60"/>
        <w:jc w:val="center"/>
      </w:pPr>
      <w:r>
        <w:rPr>
          <w:rFonts w:ascii="Cambria Math" w:cs="Cambria Math" w:eastAsia="Cambria Math" w:hAnsi="Cambria Math"/>
          <w:i/>
          <w:iCs/>
          <w:color w:val="000000"/>
          <w:sz w:val="22"/>
          <w:szCs w:val="22"/>
        </w:rPr>
        <w:t xml:space="preserve">Patient → Guardian_A → Guardian_B → SmartContract(mint) → ConsentEngine → Doctor(GRANTED)</w:t>
      </w:r>
    </w:p>
    <w:p>
      <w:pPr>
        <w:spacing w:after="160" w:before="60"/>
        <w:jc w:val="center"/>
      </w:pPr>
      <w:r>
        <w:rPr>
          <w:rFonts w:ascii="Cambria Math" w:cs="Cambria Math" w:eastAsia="Cambria Math" w:hAnsi="Cambria Math"/>
          <w:i/>
          <w:iCs/>
          <w:color w:val="000000"/>
          <w:sz w:val="22"/>
          <w:szCs w:val="22"/>
        </w:rPr>
        <w:t xml:space="preserve">→ Doctor(DENIED) → Patient(revoke) → SmartContract(revoke)</w:t>
      </w:r>
    </w:p>
    <w:p>
      <w:pPr>
        <w:spacing w:after="140" w:line="300"/>
        <w:jc w:val="both"/>
      </w:pPr>
      <w:r>
        <w:rPr>
          <w:rFonts w:ascii="Cambria" w:cs="Cambria" w:eastAsia="Cambria" w:hAnsi="Cambria"/>
          <w:color w:val="000000"/>
          <w:sz w:val="24"/>
          <w:szCs w:val="24"/>
        </w:rPr>
        <w:t xml:space="preserve">The audit subsystem therefore allows an auditor to reconstruct not only who accessed the data, but also why that access was permitted or refused, because each access event can be associated with the preceding consent creation, guardian approvals, on-chain activation, state checks and the decision matrix that was in force at that moment.</w:t>
      </w:r>
    </w:p>
    <w:p>
      <w:pPr>
        <w:spacing w:after="140" w:line="300"/>
        <w:jc w:val="both"/>
      </w:pPr>
      <w:r>
        <w:rPr>
          <w:rFonts w:ascii="Cambria" w:cs="Cambria" w:eastAsia="Cambria" w:hAnsi="Cambria"/>
          <w:color w:val="000000"/>
          <w:sz w:val="24"/>
          <w:szCs w:val="24"/>
        </w:rPr>
        <w:t xml:space="preserve">This corresponds to the proposed requirement for </w:t>
      </w:r>
      <w:r>
        <w:rPr>
          <w:rFonts w:ascii="Cambria" w:cs="Cambria" w:eastAsia="Cambria" w:hAnsi="Cambria"/>
          <w:b/>
          <w:bCs/>
          <w:color w:val="000000"/>
          <w:sz w:val="24"/>
          <w:szCs w:val="24"/>
        </w:rPr>
        <w:t xml:space="preserve">traceability, accountability and non-repudiable consent evidence</w:t>
      </w:r>
      <w:r>
        <w:rPr>
          <w:rFonts w:ascii="Cambria" w:cs="Cambria" w:eastAsia="Cambria" w:hAnsi="Cambria"/>
          <w:color w:val="000000"/>
          <w:sz w:val="24"/>
          <w:szCs w:val="24"/>
        </w:rPr>
        <w:t xml:space="preserve">.</w:t>
      </w:r>
    </w:p>
    <w:p>
      <w:pPr>
        <w:pStyle w:val="Heading3"/>
        <w:spacing w:after="160" w:before="280"/>
      </w:pPr>
      <w:r>
        <w:rPr>
          <w:color w:val="000000"/>
        </w:rPr>
        <w:t xml:space="preserve">6.8.8  Detailed Audit Records</w:t>
      </w:r>
    </w:p>
    <w:p>
      <w:pPr>
        <w:spacing w:after="140" w:line="300"/>
        <w:jc w:val="both"/>
      </w:pPr>
      <w:r>
        <w:rPr>
          <w:rFonts w:ascii="Cambria" w:cs="Cambria" w:eastAsia="Cambria" w:hAnsi="Cambria"/>
          <w:color w:val="000000"/>
          <w:sz w:val="24"/>
          <w:szCs w:val="24"/>
        </w:rPr>
        <w:t xml:space="preserve">The Detailed Audit Records component provides a lower-level view of the events represented in the lifecycle subsystem.</w:t>
      </w:r>
    </w:p>
    <w:p>
      <w:pPr>
        <w:spacing w:after="140" w:line="300"/>
        <w:jc w:val="both"/>
      </w:pPr>
      <w:r>
        <w:rPr>
          <w:rFonts w:ascii="Cambria" w:cs="Cambria" w:eastAsia="Cambria" w:hAnsi="Cambria"/>
          <w:color w:val="000000"/>
          <w:sz w:val="24"/>
          <w:szCs w:val="24"/>
        </w:rP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consent context and, for on-chain events, the transaction hash and block number. As shown in the auditor figure above, the ONCHAIN_MINT and ONCHAIN_REVOKE rows carry the hashes of the two Sepolia transactions presented in Sections 6.8.3 and 6.8.6, so the ledger and the public chain describe the same events.</w:t>
      </w:r>
    </w:p>
    <w:p>
      <w:pPr>
        <w:spacing w:after="140" w:line="300"/>
        <w:jc w:val="both"/>
      </w:pPr>
      <w:r>
        <w:rPr>
          <w:rFonts w:ascii="Cambria" w:cs="Cambria" w:eastAsia="Cambria" w:hAnsi="Cambria"/>
          <w:color w:val="000000"/>
          <w:sz w:val="24"/>
          <w:szCs w:val="24"/>
        </w:rP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spacing w:after="140" w:line="300"/>
        <w:jc w:val="both"/>
      </w:pPr>
      <w:r>
        <w:rPr>
          <w:rFonts w:ascii="Cambria" w:cs="Cambria" w:eastAsia="Cambria" w:hAnsi="Cambria"/>
          <w:color w:val="000000"/>
          <w:sz w:val="24"/>
          <w:szCs w:val="24"/>
        </w:rPr>
        <w:t xml:space="preserve">The subsystem therefore implements the distinction between operational access information and forensic/audit information.</w:t>
      </w:r>
    </w:p>
    <w:p>
      <w:pPr>
        <w:pStyle w:val="Heading3"/>
        <w:spacing w:after="160" w:before="280"/>
      </w:pPr>
      <w:r>
        <w:rPr>
          <w:color w:val="000000"/>
        </w:rPr>
        <w:t xml:space="preserve">6.8.9  Complete Audit Ledger and Independent Verification</w:t>
      </w:r>
    </w:p>
    <w:p>
      <w:pPr>
        <w:spacing w:after="140" w:line="300"/>
        <w:jc w:val="both"/>
      </w:pPr>
      <w:r>
        <w:rPr>
          <w:rFonts w:ascii="Cambria" w:cs="Cambria" w:eastAsia="Cambria" w:hAnsi="Cambria"/>
          <w:color w:val="000000"/>
          <w:sz w:val="24"/>
          <w:szCs w:val="24"/>
        </w:rPr>
        <w:t xml:space="preserve">The Complete Blockchain Audit Ledger provides the most comprehensive representation of the recorded consent history. This component demonstrates that the audit mechanism is not limited to successful data-access events. Instead, the system records the broader lifecycle of the consent, including creation, signatures, state validation, smart-contract actions, refused requests and revocations. Consequently, the ledger provides the evidentiary foundation for evaluating several properties of the proposed framework:</w:t>
      </w:r>
    </w:p>
    <w:p>
      <w:pPr>
        <w:spacing w:after="160" w:before="60"/>
        <w:jc w:val="center"/>
      </w:pPr>
      <w:r>
        <w:rPr>
          <w:rFonts w:ascii="Cambria Math" w:cs="Cambria Math" w:eastAsia="Cambria Math" w:hAnsi="Cambria Math"/>
          <w:i/>
          <w:iCs/>
          <w:color w:val="000000"/>
          <w:sz w:val="22"/>
          <w:szCs w:val="22"/>
        </w:rPr>
        <w:t xml:space="preserve">Accountability + Traceability + Integrity + Non-repudiation</w:t>
      </w:r>
    </w:p>
    <w:p>
      <w:pPr>
        <w:spacing w:after="140" w:line="300"/>
        <w:jc w:val="both"/>
      </w:pPr>
      <w:r>
        <w:rPr>
          <w:rFonts w:ascii="Cambria" w:cs="Cambria" w:eastAsia="Cambria" w:hAnsi="Cambria"/>
          <w:color w:val="000000"/>
          <w:sz w:val="24"/>
          <w:szCs w:val="24"/>
        </w:rPr>
        <w:t xml:space="preserve">A ledger kept by the application could in principle contain fabricated entries. Consequently, the implementation provides an independent verification tool. The tool re-reads the ledger and, for every event that carries a transaction hash, fetches the corresponding receipt directly from Sepolia and checks that the transaction exists, succeeded, and was included in the recorded block; for every consent anchored on the current contract it then reads the token back and compares the on-chain revocation state with the local state; the earlier trial token resides on the superseded contract and is reported and skipped.</w:t>
      </w:r>
    </w:p>
    <w:p>
      <w:pPr>
        <w:keepNext/>
        <w:spacing w:after="60" w:before="140"/>
        <w:jc w:val="center"/>
      </w:pPr>
      <w:r>
        <w:drawing>
          <wp:inline distT="0" distB="0" distL="0" distR="0">
            <wp:extent cx="5334000" cy="571500"/>
            <wp:effectExtent t="0" r="0" b="0" l="0"/>
            <wp:docPr id="1" name="M8_clean.png" descr="Figure 40: The final verdict of the independent verification, re-executed after the second lifecycle: RESULT: ALL CHECKS PASSED." title="Figure 40: The final verdict of the independent verification, re-executed after the second lifecycle: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5715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40: The final verdict of the independent verification, re-executed after the second lifecycle: RESULT: ALL CHECKS PASSED.</w:t>
      </w:r>
    </w:p>
    <w:p>
      <w:pPr>
        <w:spacing w:after="140" w:line="300"/>
        <w:jc w:val="both"/>
      </w:pPr>
      <w:r>
        <w:rPr>
          <w:rFonts w:ascii="Cambria" w:cs="Cambria" w:eastAsia="Cambria" w:hAnsi="Cambria"/>
          <w:color w:val="000000"/>
          <w:sz w:val="24"/>
          <w:szCs w:val="24"/>
        </w:rPr>
        <w:t xml:space="preserve">As shown in the figure above, the verification was re-executed after the second lifecycle and reports ALL CHECKS PASSED: every recorded transaction was found on Sepolia in its recorded block, and for both tokens on the current contract the revocation state stored by the application matches the state stored by the contract (token #1 revoked, token #2 not revoked). Accordingly, the demonstrated sequence shows that the doctor receives a GRANTED result only while the consent is in the ACTIVE state, and a DENIED or 'not active' result otherwise. This provides an implementation-level demonstration that access decisions are linked to the consent lifecycle rather than being independent application events, and that the recorded lifecycle is consistent with the public chain.</w:t>
      </w:r>
    </w:p>
    <w:p>
      <w:pPr>
        <w:spacing w:after="140" w:line="300"/>
        <w:jc w:val="both"/>
      </w:pPr>
      <w:r>
        <w:rPr>
          <w:rFonts w:ascii="Cambria" w:cs="Cambria" w:eastAsia="Cambria" w:hAnsi="Cambria"/>
          <w:color w:val="0000CC"/>
          <w:sz w:val="24"/>
          <w:szCs w:val="24"/>
        </w:rPr>
        <w:t xml:space="preserve">In addition to the live demonstration, the same decision logic is exercised by a suite of 23 automated tests covering per-dimension failures of the decision matrix, rejection of invalid EIP-712 guardian signatures and tampered or expired zero-knowledge proofs. The live Sepolia evidence and the automated tests together constitute the empirical validation reported in Section 7.6.</w:t>
      </w:r>
    </w:p>
    <w:p>
      <w:pPr>
        <w:pStyle w:val="Heading3"/>
        <w:spacing w:after="160" w:before="280"/>
      </w:pPr>
      <w:r>
        <w:rPr>
          <w:color w:val="000000"/>
        </w:rPr>
        <w:t xml:space="preserve">6.8.10  Correspondence Between the Subsystems and the Framework</w:t>
      </w:r>
    </w:p>
    <w:p>
      <w:pPr>
        <w:spacing w:after="140" w:line="300"/>
        <w:jc w:val="both"/>
      </w:pPr>
      <w:r>
        <w:rPr>
          <w:rFonts w:ascii="Cambria" w:cs="Cambria" w:eastAsia="Cambria" w:hAnsi="Cambria"/>
          <w:color w:val="E6007E"/>
          <w:sz w:val="24"/>
          <w:szCs w:val="24"/>
        </w:rPr>
        <w:t xml:space="preserve">The subsystems collectively implement the principal stages of the proposed framework.</w:t>
      </w:r>
    </w:p>
    <w:p>
      <w:pPr>
        <w:spacing w:after="140" w:line="300"/>
        <w:jc w:val="both"/>
      </w:pPr>
      <w:r>
        <w:rPr>
          <w:rFonts w:ascii="Cambria" w:cs="Cambria" w:eastAsia="Cambria" w:hAnsi="Cambria"/>
          <w:color w:val="0000CC"/>
          <w:sz w:val="24"/>
          <w:szCs w:val="24"/>
        </w:rPr>
        <w:t xml:space="preserve">Table 14 summarises the correspondence between the components of the framework and the subsystems of the implementation, and it consolidates the correspondences stated at the end of each of the preceding subsections.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HALAH Framework Component</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Implementation Subsystem</w:t>
            </w:r>
          </w:p>
        </w:tc>
        <w:tc>
          <w:tcPr>
            <w:tcW w:type="dxa" w:w="35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Main Function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Object Construction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Create Smart Consent Contract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Defines patient, authorised doctor, data scope, guardians, jurisdiction and temporal validity</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Identity &amp; Authorisation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guardian identities and EIP-712 signatures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Multi-party Consent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Implements the 2-of-2 approval condition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Activation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Mints the SBT on Sepolia and marks the consent as fully activated</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Consent-State Management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Checks whether the consent is ACTIVE</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Scope Enforcement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Restricts access to authorised EMR modules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Cryptographic Access Control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the request, including a Groth16 proof, before granting data</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Jurisdictional Constraint (L)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Refuses requests whose declared jurisdiction differs from the consent</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Healthcare Data Access</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the authorised Observation, Medication, Condition and Procedure records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Authorisation Evidence / Revocation (E)</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My Consents (Patient)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Revokes the consent locally and on-chain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Lifecycle Traceability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Blockchain Audit &amp; Consent Lifecycle</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Reconstructs the chronological consent process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Accountability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Detailed Audit Records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event-level evidence with transaction hashes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Ledger Integrity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Complete Ledger + independent verification</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Confirms the recorded history against Sepolia</w:t>
            </w:r>
          </w:p>
        </w:tc>
      </w:tr>
    </w:tbl>
    <w:p>
      <w:pPr>
        <w:spacing w:after="160" w:before="60"/>
        <w:jc w:val="center"/>
      </w:pPr>
      <w:r>
        <w:rPr>
          <w:rFonts w:ascii="Cambria" w:cs="Cambria" w:eastAsia="Cambria" w:hAnsi="Cambria"/>
          <w:i/>
          <w:iCs/>
          <w:color w:val="000000"/>
          <w:sz w:val="19"/>
          <w:szCs w:val="19"/>
        </w:rPr>
        <w:t xml:space="preserve">Table 14: Correspondence between the HALAH framework components and the implemented subsystems.</w:t>
      </w:r>
    </w:p>
    <w:p>
      <w:pPr>
        <w:spacing w:after="140" w:line="300"/>
        <w:jc w:val="both"/>
      </w:pPr>
      <w:r>
        <w:rPr>
          <w:rFonts w:ascii="Cambria" w:cs="Cambria" w:eastAsia="Cambria" w:hAnsi="Cambria"/>
          <w:color w:val="000000"/>
          <w:sz w:val="24"/>
          <w:szCs w:val="24"/>
        </w:rPr>
        <w:t xml:space="preserve">This mapping demonstrates that the implementation is not merely a collection of independent user-subsystem modules. Rather, the modules correspond to successive stages of the proposed authorisation protocol.</w:t>
      </w:r>
    </w:p>
    <w:p>
      <w:pPr>
        <w:pStyle w:val="Heading3"/>
        <w:spacing w:after="160" w:before="280"/>
      </w:pPr>
      <w:r>
        <w:rPr>
          <w:color w:val="000000"/>
        </w:rPr>
        <w:t xml:space="preserve">6.8.11  Overall System Demonstration</w:t>
      </w:r>
    </w:p>
    <w:p>
      <w:pPr>
        <w:spacing w:after="140" w:line="300"/>
        <w:jc w:val="both"/>
      </w:pPr>
      <w:r>
        <w:rPr>
          <w:rFonts w:ascii="Cambria" w:cs="Cambria" w:eastAsia="Cambria" w:hAnsi="Cambria"/>
          <w:color w:val="000000"/>
          <w:sz w:val="24"/>
          <w:szCs w:val="24"/>
        </w:rPr>
        <w:t xml:space="preserve">Taken together, the subsystems demonstrate an end-to-end implementation of the proposed HALAH authorisation workflow on a public blockchain.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minted on Sepolia. The authorised doctor subsequently submits an access request, which is evaluated against the patient's identity, consent state, authorised data scope, temporal validity and jurisdiction. Only when these conditions are satisfied does the system provide access to the specified EMR modules; an out-of-jurisdiction request is refused with the failed check named. The patient finally revokes the consent, the revocation is recorded on-chain, and the complete sequence is exposed through the auditor subsystem and re-verified independently against the chain.</w:t>
      </w:r>
    </w:p>
    <w:p>
      <w:pPr>
        <w:spacing w:after="160" w:before="60"/>
        <w:jc w:val="center"/>
      </w:pPr>
      <w:r>
        <w:rPr>
          <w:rFonts w:ascii="Cambria Math" w:cs="Cambria Math" w:eastAsia="Cambria Math" w:hAnsi="Cambria Math"/>
          <w:i/>
          <w:iCs/>
          <w:color w:val="000000"/>
          <w:sz w:val="22"/>
          <w:szCs w:val="22"/>
        </w:rPr>
        <w:t xml:space="preserve">C → MS → SBT_chain → StateCheck → AccessDecision → EMR → Revoke_chain → Audit → Verify</w:t>
      </w:r>
    </w:p>
    <w:p>
      <w:pPr>
        <w:spacing w:after="140" w:line="300"/>
        <w:jc w:val="both"/>
      </w:pPr>
      <w:r>
        <w:rPr>
          <w:rFonts w:ascii="Cambria" w:cs="Cambria" w:eastAsia="Cambria" w:hAnsi="Cambria"/>
          <w:color w:val="000000"/>
          <w:sz w:val="24"/>
          <w:szCs w:val="24"/>
        </w:rPr>
        <w:t xml:space="preserve">where C denotes consent creation, MS multi-signature approval, SBT_chain on-chain consent activation, StateCheck lifecycle validation, AccessDecision authorisation enforcement over the full consent tuple, EMR authorised medical-record access, Revoke_chain on-chain revocation, Audit immutable lifecycle recording, and Verify independent verification against Sepolia.</w:t>
      </w:r>
    </w:p>
    <w:p>
      <w:pPr>
        <w:spacing w:after="140" w:line="300"/>
        <w:jc w:val="both"/>
      </w:pPr>
      <w:r>
        <w:rPr>
          <w:rFonts w:ascii="Cambria" w:cs="Cambria" w:eastAsia="Cambria" w:hAnsi="Cambria"/>
          <w:color w:val="000000"/>
          <w:sz w:val="24"/>
          <w:szCs w:val="24"/>
        </w:rPr>
        <w:t xml:space="preserve">The demonstrated prototype makes several simplifications that are acceptable for a research demonstration but would require strengthening before deployment. The guardian signing keys are derived deterministically from the guardian DIDs so that the prototype can sign without wallets; in production each guardian would sign the same typed data with a wallet-held key registered against their DID. The doctor's identity and jurisdiction are declared in the interface rather than authenticated, and the Groth16 proof is generated and verified by the same server, so it currently demonstrates the integration of the zero-knowledge toolchain rather than an additional privacy guarantee. These aspects define the immediate future work of the project.</w:t>
      </w:r>
    </w:p>
    <w:p>
      <w:pPr>
        <w:spacing w:after="140" w:line="300"/>
        <w:jc w:val="both"/>
      </w:pPr>
      <w:r>
        <w:rPr>
          <w:rFonts w:ascii="Cambria" w:cs="Cambria" w:eastAsia="Cambria" w:hAnsi="Cambria"/>
          <w:color w:val="0000CC"/>
          <w:sz w:val="24"/>
          <w:szCs w:val="24"/>
        </w:rPr>
        <w:t xml:space="preserve">In addition, this section reports functional evidence only. Transaction latency, gas cost and throughput have not been measured, and a systematic performance and overhead study is reserved for the next stage, as set out in Section 9.2.</w:t>
      </w:r>
    </w:p>
    <w:p>
      <w:pPr>
        <w:spacing w:after="140" w:line="300"/>
        <w:jc w:val="both"/>
      </w:pPr>
      <w:r>
        <w:rPr>
          <w:rFonts w:ascii="Cambria" w:cs="Cambria" w:eastAsia="Cambria" w:hAnsi="Cambria"/>
          <w:color w:val="0000CC"/>
          <w:sz w:val="24"/>
          <w:szCs w:val="24"/>
        </w:rPr>
        <w:t xml:space="preserve">It should be noted that, in the same way, the identity predicate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 in the prototype performs identifier- and credential-format validation only; cryptographic resolution of DIDs against a registry and authentication of the requester are reserved for the next stage, as stated in Section 7.2.</w:t>
      </w:r>
    </w:p>
    <w:p>
      <w:pPr>
        <w:spacing w:after="140" w:line="300"/>
        <w:jc w:val="both"/>
      </w:pPr>
      <w:r>
        <w:rPr>
          <w:rFonts w:ascii="Cambria" w:cs="Cambria" w:eastAsia="Cambria" w:hAnsi="Cambria"/>
          <w:color w:val="000000"/>
          <w:sz w:val="24"/>
          <w:szCs w:val="24"/>
        </w:rPr>
        <w:t xml:space="preserve">From a research-implementation perspective, the most significant feature of the presented subsystems is therefore the continuity between consent specification, multi-party authorisation, public on-chain activation and revocation, access enforcement and independently verifiable audit evidence. The user subsystems provide a visible representation of this continuity, allowing the proposed HALAH model to be demonstrated as an operational authorisation workflow on a public network rather than only as a conceptual framework.</w:t>
      </w:r>
    </w:p>
    <w:p>
      <w:pPr>
        <w:pStyle w:val="Heading3"/>
        <w:spacing w:after="160" w:before="280"/>
      </w:pPr>
      <w:r>
        <w:rPr>
          <w:color w:val="000000"/>
        </w:rPr>
        <w:t xml:space="preserve">6.8.12  Verification Links</w:t>
      </w:r>
    </w:p>
    <w:p>
      <w:pPr>
        <w:spacing w:after="140" w:line="300"/>
        <w:jc w:val="both"/>
      </w:pPr>
      <w:r>
        <w:rPr>
          <w:rFonts w:ascii="Cambria" w:cs="Cambria" w:eastAsia="Cambria" w:hAnsi="Cambria"/>
          <w:color w:val="000000"/>
          <w:sz w:val="24"/>
          <w:szCs w:val="24"/>
        </w:rPr>
        <w:t xml:space="preserve">Contract: https://sepolia.etherscan.io/address/0x0EC3617581DEC63A7f2bb162DC14d088916ADc73</w:t>
      </w:r>
    </w:p>
    <w:p>
      <w:pPr>
        <w:spacing w:after="140" w:line="300"/>
        <w:jc w:val="both"/>
      </w:pPr>
      <w:r>
        <w:rPr>
          <w:rFonts w:ascii="Cambria" w:cs="Cambria" w:eastAsia="Cambria" w:hAnsi="Cambria"/>
          <w:color w:val="000000"/>
          <w:sz w:val="24"/>
          <w:szCs w:val="24"/>
        </w:rPr>
        <w:t xml:space="preserve">Consent activation (mint of token #1): https://sepolia.etherscan.io/tx/0x8be1b99e9b7054d427bdee0a0b5cc56ae99030a399f4b11d3629ed5d98daf13d</w:t>
      </w:r>
    </w:p>
    <w:p>
      <w:pPr>
        <w:spacing w:after="140" w:line="300"/>
        <w:jc w:val="both"/>
      </w:pPr>
      <w:r>
        <w:rPr>
          <w:rFonts w:ascii="Cambria" w:cs="Cambria" w:eastAsia="Cambria" w:hAnsi="Cambria"/>
          <w:color w:val="000000"/>
          <w:sz w:val="24"/>
          <w:szCs w:val="24"/>
        </w:rPr>
        <w:t xml:space="preserve">Consent activation (mint of token #2, photographed lifecycle): https://sepolia.etherscan.io/tx/0x25ef5e2f0046735dcb01ff7b68875b760bdf88ad0fa3fedc9bfb910769d4c210</w:t>
      </w:r>
    </w:p>
    <w:p>
      <w:pPr>
        <w:spacing w:after="140" w:line="300"/>
        <w:jc w:val="both"/>
      </w:pPr>
      <w:r>
        <w:rPr>
          <w:rFonts w:ascii="Cambria" w:cs="Cambria" w:eastAsia="Cambria" w:hAnsi="Cambria"/>
          <w:color w:val="000000"/>
          <w:sz w:val="24"/>
          <w:szCs w:val="24"/>
        </w:rPr>
        <w:t xml:space="preserve">Consent revocation (token #1): https://sepolia.etherscan.io/tx/0x017efb9dc6acad9733fa05c19408c0166c9c0645e83b6ffdc41c4b3b85ddceaa</w:t>
      </w:r>
    </w:p>
    <w:p>
      <w:pPr>
        <w:spacing w:after="140" w:line="300"/>
        <w:jc w:val="both"/>
      </w:pPr>
      <w:r>
        <w:rPr>
          <w:rFonts w:ascii="Cambria" w:cs="Cambria" w:eastAsia="Cambria" w:hAnsi="Cambria"/>
          <w:color w:val="000000"/>
          <w:sz w:val="24"/>
          <w:szCs w:val="24"/>
        </w:rPr>
        <w:t xml:space="preserve">Full audit-ledger export: </w:t>
      </w:r>
      <w:r>
        <w:rPr>
          <w:rFonts w:ascii="Consolas" w:cs="Consolas" w:eastAsia="Consolas" w:hAnsi="Consolas"/>
          <w:color w:val="000000"/>
          <w:sz w:val="20"/>
          <w:szCs w:val="20"/>
        </w:rPr>
        <w:t xml:space="preserve">evidence/sepolia_audit_ledger_2026-09-24.csv</w:t>
      </w:r>
      <w:r>
        <w:rPr>
          <w:rFonts w:ascii="Cambria" w:cs="Cambria" w:eastAsia="Cambria" w:hAnsi="Cambria"/>
          <w:color w:val="000000"/>
          <w:sz w:val="24"/>
          <w:szCs w:val="24"/>
        </w:rPr>
        <w:t xml:space="preserve">; deployment and run record: </w:t>
      </w:r>
      <w:r>
        <w:rPr>
          <w:rFonts w:ascii="Consolas" w:cs="Consolas" w:eastAsia="Consolas" w:hAnsi="Consolas"/>
          <w:color w:val="000000"/>
          <w:sz w:val="20"/>
          <w:szCs w:val="20"/>
        </w:rPr>
        <w:t xml:space="preserve">evidence/sepolia_deploy_v3_2026-09-24.txt</w:t>
      </w:r>
      <w:r>
        <w:rPr>
          <w:rFonts w:ascii="Cambria" w:cs="Cambria" w:eastAsia="Cambria" w:hAnsi="Cambria"/>
          <w:color w:val="000000"/>
          <w:sz w:val="24"/>
          <w:szCs w:val="24"/>
        </w:rPr>
        <w:t xml:space="preserve"> preserved in the project evidence records.</w:t>
      </w:r>
    </w:p>
    <w:p>
      <w:pPr>
        <w:pStyle w:val="Heading1"/>
        <w:pageBreakBefore/>
        <w:spacing w:after="160" w:before="400"/>
      </w:pPr>
      <w:r>
        <w:rPr>
          <w:rFonts w:ascii="Cambria" w:cs="Cambria" w:eastAsia="Cambria" w:hAnsi="Cambria"/>
          <w:sz w:val="24"/>
          <w:szCs w:val="24"/>
        </w:rPr>
        <w:t xml:space="preserve">7  Current Progress Status</w:t>
      </w:r>
    </w:p>
    <w:p>
      <w:pPr>
        <w:pStyle w:val="Heading2"/>
        <w:spacing w:after="160" w:before="280"/>
      </w:pPr>
      <w:r>
        <w:rPr>
          <w:rFonts w:ascii="Cambria" w:cs="Cambria" w:eastAsia="Cambria" w:hAnsi="Cambria"/>
          <w:sz w:val="24"/>
          <w:szCs w:val="24"/>
        </w:rPr>
        <w:t xml:space="preserve">7.1  Progress of RO1: Trust-Centric Consent Model</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RO1 has been completed at the conceptual and prototype-design level. 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sz w:val="22"/>
          <w:szCs w:val="22"/>
        </w:rPr>
        <w:t xml:space="preserve">	(66)</w:t>
      </w:r>
    </w:p>
    <w:p>
      <w:pPr>
        <w:spacing w:after="140" w:line="300"/>
        <w:jc w:val="both"/>
      </w:pPr>
      <w:r>
        <w:rPr>
          <w:rFonts w:ascii="Cambria" w:cs="Cambria" w:eastAsia="Cambria" w:hAnsi="Cambria"/>
          <w:sz w:val="24"/>
          <w:szCs w:val="24"/>
        </w:rP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 The model provides the foundation for the remaining objectives because the identity, multiparty approval, and policy mechanisms can all be evaluated against the same consent object. </w:t>
      </w:r>
      <w:r>
        <w:rPr>
          <w:rFonts w:ascii="Cambria" w:cs="Cambria" w:eastAsia="Cambria" w:hAnsi="Cambria"/>
          <w:color w:val="E6007E"/>
          <w:sz w:val="24"/>
          <w:szCs w:val="24"/>
        </w:rPr>
        <w:t xml:space="preserve">The current result demonstrates that consent can be represented as an evaluable authorisation object that, unlike the objects reported in the literature [71, 37, 44, 58, 66], carries the guardian set and threshold together with the purpose, data scope, validity interval, jurisdiction and lifecycle state.</w:t>
      </w:r>
      <w:r>
        <w:rPr>
          <w:rFonts w:ascii="Cambria" w:cs="Cambria" w:eastAsia="Cambria" w:hAnsi="Cambria"/>
          <w:sz w:val="24"/>
          <w:szCs w:val="24"/>
        </w:rPr>
        <w:t xml:space="preserve"> This provides a conceptual basis for dynamic access decisions and allows subsequent authorisation conditions to be evaluated consistently.</w:t>
      </w:r>
    </w:p>
    <w:p>
      <w:pPr>
        <w:spacing w:after="140" w:line="300"/>
        <w:jc w:val="both"/>
      </w:pPr>
      <w:r>
        <w:rPr>
          <w:rFonts w:ascii="Cambria" w:cs="Cambria" w:eastAsia="Cambria" w:hAnsi="Cambria"/>
          <w:color w:val="0000CC"/>
          <w:sz w:val="24"/>
          <w:szCs w:val="24"/>
        </w:rPr>
        <w:t xml:space="preserve">Temporal information defines the validity interval [t</w:t>
      </w:r>
      <w:r>
        <w:rPr>
          <w:rFonts w:ascii="Cambria" w:cs="Cambria" w:eastAsia="Cambria" w:hAnsi="Cambria"/>
          <w:color w:val="0000CC"/>
          <w:sz w:val="24"/>
          <w:szCs w:val="24"/>
          <w:vertAlign w:val="subscript"/>
        </w:rPr>
        <w:t xml:space="preserve">s</w:t>
      </w:r>
      <w:r>
        <w:rPr>
          <w:rFonts w:ascii="Cambria" w:cs="Cambria" w:eastAsia="Cambria" w:hAnsi="Cambria"/>
          <w:color w:val="0000CC"/>
          <w:sz w:val="24"/>
          <w:szCs w:val="24"/>
        </w:rPr>
        <w:t xml:space="preserve">, t</w:t>
      </w:r>
      <w:r>
        <w:rPr>
          <w:rFonts w:ascii="Cambria" w:cs="Cambria" w:eastAsia="Cambria" w:hAnsi="Cambria"/>
          <w:color w:val="0000CC"/>
          <w:sz w:val="24"/>
          <w:szCs w:val="24"/>
          <w:vertAlign w:val="subscript"/>
        </w:rPr>
        <w:t xml:space="preserve">e</w:t>
      </w:r>
      <w:r>
        <w:rPr>
          <w:rFonts w:ascii="Cambria" w:cs="Cambria" w:eastAsia="Cambria" w:hAnsi="Cambria"/>
          <w:color w:val="0000CC"/>
          <w:sz w:val="24"/>
          <w:szCs w:val="24"/>
        </w:rPr>
        <w:t xml:space="preserve">] within which the consent may be exercised, and the jurisdiction component records the legal territory in which access is permitted.</w:t>
      </w:r>
    </w:p>
    <w:p>
      <w:pPr>
        <w:pStyle w:val="Heading2"/>
        <w:spacing w:after="160" w:before="280"/>
      </w:pPr>
      <w:r>
        <w:rPr>
          <w:rFonts w:ascii="Cambria" w:cs="Cambria" w:eastAsia="Cambria" w:hAnsi="Cambria"/>
          <w:sz w:val="24"/>
          <w:szCs w:val="24"/>
        </w:rPr>
        <w:t xml:space="preserve">7.2  </w:t>
      </w:r>
      <w:r>
        <w:rPr>
          <w:rFonts w:ascii="Cambria" w:cs="Cambria" w:eastAsia="Cambria" w:hAnsi="Cambria"/>
          <w:color w:val="E6007E"/>
          <w:sz w:val="24"/>
          <w:szCs w:val="24"/>
        </w:rPr>
        <w:t xml:space="preserve">Progress of RO2: Decentralised Identity and Authority Trust</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RO2 has been completed at the conceptual and prototype level. The proposed framework explicitly separates identity authentication from authorisation authority</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(67)</w:t>
      </w:r>
    </w:p>
    <w:p>
      <w:pPr>
        <w:spacing w:after="140" w:line="300"/>
        <w:jc w:val="both"/>
      </w:pPr>
      <w:r>
        <w:rPr>
          <w:rFonts w:ascii="Cambria" w:cs="Cambria" w:eastAsia="Cambria" w:hAnsi="Cambria"/>
          <w:sz w:val="24"/>
          <w:szCs w:val="24"/>
        </w:rPr>
        <w:t xml:space="preserve">A decentralised identifier is used to establish the identity of a participant, while verifiable credentials provide evidence concerning the participant’s role or authority. The identity verification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(68)</w:t>
      </w:r>
    </w:p>
    <w:p>
      <w:pPr>
        <w:spacing w:after="140" w:line="300"/>
        <w:jc w:val="both"/>
      </w:pPr>
      <w:r>
        <w:rPr>
          <w:rFonts w:ascii="Cambria" w:cs="Cambria" w:eastAsia="Cambria" w:hAnsi="Cambria"/>
          <w:sz w:val="24"/>
          <w:szCs w:val="24"/>
        </w:rPr>
        <w:t xml:space="preserve">Successful identity verification therefore does not automatically grant access to healthcare information. Instead, identity and credential validity become trusted inputs to the subsequent authorisation process. The current implementation demonstrates the separation between participant identity and authorisation authority. A valid healthcare participant identity can be verified independently from the question of whether that participant is authorised to access a particular patient’s data.</w:t>
      </w:r>
    </w:p>
    <w:p>
      <w:pPr>
        <w:spacing w:after="140" w:line="300"/>
        <w:jc w:val="both"/>
      </w:pPr>
      <w:r>
        <w:rPr>
          <w:rFonts w:ascii="Cambria" w:cs="Cambria" w:eastAsia="Cambria" w:hAnsi="Cambria"/>
          <w:color w:val="E6007E"/>
          <w:sz w:val="24"/>
          <w:szCs w:val="24"/>
        </w:rPr>
        <w:t xml:space="preserve">With respect to the multi-party authorisation of RO3, which is discussed further in Section 7.3, the approval threshold in the current prototype is fixed at N-of-N: every</w:t>
      </w:r>
      <w:r>
        <w:rPr>
          <w:rFonts w:ascii="Cambria" w:cs="Cambria" w:eastAsia="Cambria" w:hAnsi="Cambria"/>
          <w:color w:val="000000"/>
          <w:sz w:val="24"/>
          <w:szCs w:val="24"/>
        </w:rPr>
        <w:t xml:space="preserve"> listed guardian must approve, each through an EIP-712 typed-data signature verified by cryptographic recovery, and the two-guardian case has been evaluated end-to-end, with configurable k-of-n thresholds remaining future work. With respect to identity verification,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in the prototype performs identifier- and credential-format validation only; cryptographic DID resolution against a registry and authentication of the requester are acknowledged limitations reserved for the next stage.</w:t>
      </w:r>
    </w:p>
    <w:p>
      <w:pPr>
        <w:pStyle w:val="Heading2"/>
        <w:spacing w:after="160" w:before="280"/>
      </w:pPr>
      <w:r>
        <w:rPr>
          <w:rFonts w:ascii="Cambria" w:cs="Cambria" w:eastAsia="Cambria" w:hAnsi="Cambria"/>
          <w:sz w:val="24"/>
          <w:szCs w:val="24"/>
        </w:rPr>
        <w:t xml:space="preserve">7.3  Progress of RO3: Trustworthy Multi-Party Authorisation</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RO3 has been completed at the conceptual and prototype level. The framework introduces threshold-based multi-party authorisation to prevent a single participant from unilaterally establishing sensitive healthcare data access.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represent the set of independently verified authorisation participants and N represent the required approval threshold. The authorisation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(69)</w:t>
      </w:r>
    </w:p>
    <w:p>
      <w:pPr>
        <w:spacing w:after="140" w:line="300"/>
        <w:jc w:val="both"/>
      </w:pPr>
      <w:r>
        <w:rPr>
          <w:rFonts w:ascii="Cambria" w:cs="Cambria" w:eastAsia="Cambria" w:hAnsi="Cambria"/>
          <w:sz w:val="24"/>
          <w:szCs w:val="24"/>
        </w:rPr>
        <w:t xml:space="preserve">If the threshold is not satisfied,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(70)</w:t>
      </w:r>
    </w:p>
    <w:p>
      <w:pPr>
        <w:spacing w:after="140" w:line="300"/>
        <w:jc w:val="both"/>
      </w:pPr>
      <w:r>
        <w:rPr>
          <w:rFonts w:ascii="Cambria" w:cs="Cambria" w:eastAsia="Cambria" w:hAnsi="Cambria"/>
          <w:sz w:val="24"/>
          <w:szCs w:val="24"/>
        </w:rPr>
        <w:t xml:space="preserve">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For example, where two approvals are required,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w:t>
      </w:r>
      <w:r>
        <w:rPr>
          <w:rFonts w:ascii="Cambria" w:cs="Cambria" w:eastAsia="Cambria" w:hAnsi="Cambria"/>
          <w:sz w:val="22"/>
          <w:szCs w:val="22"/>
        </w:rPr>
        <w:t xml:space="preserve">	(71)</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0.</w:t>
      </w:r>
      <w:r>
        <w:rPr>
          <w:rFonts w:ascii="Cambria" w:cs="Cambria" w:eastAsia="Cambria" w:hAnsi="Cambria"/>
          <w:sz w:val="22"/>
          <w:szCs w:val="22"/>
        </w:rPr>
        <w:t xml:space="preserve">	(72)</w:t>
      </w:r>
    </w:p>
    <w:p>
      <w:pPr>
        <w:spacing w:after="140" w:line="300"/>
        <w:jc w:val="both"/>
      </w:pPr>
      <w:r>
        <w:rPr>
          <w:rFonts w:ascii="Cambria" w:cs="Cambria" w:eastAsia="Cambria" w:hAnsi="Cambria"/>
          <w:sz w:val="24"/>
          <w:szCs w:val="24"/>
        </w:rPr>
        <w:t xml:space="preserve">This provides preliminary evidence that the proposed framework can enforce collective rather than unilateral authorisation.</w:t>
      </w:r>
    </w:p>
    <w:p>
      <w:pPr>
        <w:spacing w:after="140" w:line="300"/>
        <w:jc w:val="both"/>
      </w:pPr>
      <w:r>
        <w:rPr>
          <w:rFonts w:ascii="Cambria" w:cs="Cambria" w:eastAsia="Cambria" w:hAnsi="Cambria"/>
          <w:color w:val="0000CC"/>
          <w:sz w:val="24"/>
          <w:szCs w:val="24"/>
        </w:rPr>
        <w:t xml:space="preserve">It should be noted that the implemented threshold is derived from the designated guardian set as N = |G|, so the prototype currently enforces an N-of-N instantiation of Eq. (69) and has been evaluated in the 2-of-2 configuration; configurable k-of-n thresholds are reserved for the next stage.</w:t>
      </w:r>
    </w:p>
    <w:p>
      <w:pPr>
        <w:pStyle w:val="Heading2"/>
        <w:spacing w:after="160" w:before="280"/>
      </w:pPr>
      <w:r>
        <w:rPr>
          <w:rFonts w:ascii="Cambria" w:cs="Cambria" w:eastAsia="Cambria" w:hAnsi="Cambria"/>
          <w:sz w:val="24"/>
          <w:szCs w:val="24"/>
        </w:rPr>
        <w:t xml:space="preserve">7.4  </w:t>
      </w:r>
      <w:r>
        <w:rPr>
          <w:rFonts w:ascii="Cambria" w:cs="Cambria" w:eastAsia="Cambria" w:hAnsi="Cambria"/>
          <w:color w:val="E6007E"/>
          <w:sz w:val="24"/>
          <w:szCs w:val="24"/>
        </w:rPr>
        <w:t xml:space="preserve">Progress of RO4: Policy- and Context-Aware Access Control</w:t>
      </w:r>
    </w:p>
    <w:p>
      <w:pPr>
        <w:spacing w:after="140" w:line="300"/>
        <w:jc w:val="both"/>
      </w:pPr>
      <w:r>
        <w:rPr>
          <w:rFonts w:ascii="Cambria" w:cs="Cambria" w:eastAsia="Cambria" w:hAnsi="Cambria"/>
          <w:color w:val="000000"/>
          <w:sz w:val="24"/>
          <w:szCs w:val="24"/>
        </w:rPr>
        <w:t xml:space="preserve">Status: Completed.</w:t>
      </w:r>
    </w:p>
    <w:p>
      <w:pPr>
        <w:spacing w:after="140" w:line="300"/>
        <w:jc w:val="both"/>
      </w:pPr>
      <w:r>
        <w:rPr>
          <w:rFonts w:ascii="Cambria" w:cs="Cambria" w:eastAsia="Cambria" w:hAnsi="Cambria"/>
          <w:color w:val="000000"/>
          <w:sz w:val="24"/>
          <w:szCs w:val="24"/>
        </w:rPr>
        <w:t xml:space="preserve">The policy predicate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is implemented at the prototype level: each access request declares a purpose and a requested data scope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and the request is rejected whenever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is not a subset of the authorised scope S</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w:t>
      </w:r>
      <w:r>
        <w:rPr>
          <w:rFonts w:ascii="Cambria" w:cs="Cambria" w:eastAsia="Cambria" w:hAnsi="Cambria"/>
          <w:color w:val="000000"/>
          <w:sz w:val="24"/>
          <w:szCs w:val="24"/>
        </w:rPr>
        <w:t xml:space="preserve"> The predicate is evaluated as one term of the complete decision matrix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and every denial names the failed checks explicitly in both the interface and the audit ledger. In addition, input validation on consent creation and access requests prevents malformed identifiers, scopes and jurisdictions from reaching the decision logic. Consequently, policy-aware access control is an enforced property of the running system rather than an expected outcome.</w:t>
      </w:r>
    </w:p>
    <w:p>
      <w:pPr>
        <w:spacing w:after="140" w:line="300"/>
        <w:jc w:val="both"/>
      </w:pPr>
      <w:r>
        <w:rPr>
          <w:rFonts w:ascii="Cambria" w:cs="Cambria" w:eastAsia="Cambria" w:hAnsi="Cambria"/>
          <w:color w:val="E6007E"/>
          <w:sz w:val="24"/>
          <w:szCs w:val="24"/>
        </w:rPr>
        <w:t xml:space="preserve">RO4 represents the third layer of the foundational framework, beyond identity</w:t>
      </w:r>
      <w:r>
        <w:rPr>
          <w:rFonts w:ascii="Cambria" w:cs="Cambria" w:eastAsia="Cambria" w:hAnsi="Cambria"/>
          <w:sz w:val="24"/>
          <w:szCs w:val="24"/>
        </w:rPr>
        <w:t xml:space="preserve"> and multi-party approval. The objective is to ensure that an otherwise valid requester cannot access healthcare information outside the purpose and data scope authorised by the consent. The proposed policy predicate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(73)</w:t>
      </w:r>
    </w:p>
    <w:p>
      <w:pPr>
        <w:spacing w:after="140" w:line="300"/>
        <w:jc w:val="both"/>
      </w:pPr>
      <w:r>
        <w:rPr>
          <w:rFonts w:ascii="Cambria" w:cs="Cambria" w:eastAsia="Cambria" w:hAnsi="Cambria"/>
          <w:sz w:val="24"/>
          <w:szCs w:val="24"/>
        </w:rPr>
        <w:t xml:space="preserve">For example, if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{Observation, Medication}, and the requester asks for </w:t>
      </w:r>
      <w:r>
        <w:rPr>
          <w:rFonts w:ascii="Cambria" w:cs="Cambria" w:eastAsia="Cambria" w:hAnsi="Cambria"/>
          <w:color w:val="000000"/>
          <w:sz w:val="24"/>
          <w:szCs w:val="24"/>
        </w:rPr>
        <w:t xml:space="preserve">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 {Observation, Medication, Procedure}, </w:t>
      </w:r>
      <w:r>
        <w:rPr>
          <w:rFonts w:ascii="Cambria" w:cs="Cambria" w:eastAsia="Cambria" w:hAnsi="Cambria"/>
          <w:color w:val="E6007E"/>
          <w:sz w:val="24"/>
          <w:szCs w:val="24"/>
        </w:rPr>
        <w:t xml:space="preserve">the request exceeds the authorised scope,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evaluates to 0 and the request is denied with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named as the failed check; this over-scope denial is exercised by the per-dimension failure tests described in Section 6.8.9, while Section 6.8.4 shows the requested-subset rule enforced on the live system.</w:t>
      </w:r>
    </w:p>
    <w:p>
      <w:pPr>
        <w:pStyle w:val="Heading2"/>
        <w:spacing w:after="160" w:before="280"/>
      </w:pPr>
      <w:r>
        <w:rPr>
          <w:rFonts w:ascii="Cambria" w:cs="Cambria" w:eastAsia="Cambria" w:hAnsi="Cambria"/>
          <w:sz w:val="24"/>
          <w:szCs w:val="24"/>
        </w:rPr>
        <w:t xml:space="preserve">7.5  Progress of RO5: Temporal and Lifecycle Trust</w:t>
      </w:r>
    </w:p>
    <w:p>
      <w:pPr>
        <w:spacing w:after="140" w:line="300"/>
        <w:jc w:val="both"/>
      </w:pPr>
      <w:r>
        <w:rPr>
          <w:rFonts w:ascii="Cambria" w:cs="Cambria" w:eastAsia="Cambria" w:hAnsi="Cambria"/>
          <w:color w:val="000000"/>
          <w:sz w:val="24"/>
          <w:szCs w:val="24"/>
        </w:rPr>
        <w:t xml:space="preserve">Status: Largely Completed.</w:t>
      </w:r>
    </w:p>
    <w:p>
      <w:pPr>
        <w:spacing w:after="140" w:line="300"/>
        <w:jc w:val="both"/>
      </w:pPr>
      <w:r>
        <w:rPr>
          <w:rFonts w:ascii="Cambria" w:cs="Cambria" w:eastAsia="Cambria" w:hAnsi="Cambria"/>
          <w:color w:val="000000"/>
          <w:sz w:val="24"/>
          <w:szCs w:val="24"/>
        </w:rPr>
        <w:t xml:space="preserve">RO5 has moved from planned work to implemented capability. The consent validity interval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is now enforced by the temporal predicate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at every access request and is additionally stored on-chain in the SBT as the notBefore and expiry fields, so that temporal validity can be verified independently of the application. The consent lifecycle is implemented as an explicit state machine comprising PENDING_SIGNATURE, PENDING_TOKEN, NOT_STARTED, ACTIVE, EXPIRED and REVOKED, and revocation is enforced end-to-end: the patient’s withdrawal updates the application state and is confirmed as a revoke transaction on Sepolia in block 11,771,307, after which the contract itself reports the token as invalid and subsequent access requests are denied. What remains for the next stage is therefore the dynamic and delegated dimension of lifecycle trust, such as consent modification, delegation and guardian-set changes, </w:t>
      </w:r>
      <w:r>
        <w:rPr>
          <w:rFonts w:ascii="Cambria" w:cs="Cambria" w:eastAsia="Cambria" w:hAnsi="Cambria"/>
          <w:color w:val="E6007E"/>
          <w:sz w:val="24"/>
          <w:szCs w:val="24"/>
        </w:rPr>
        <w:t xml:space="preserve">rather than temporal enforcement itself. The temporal predicate enforced at every access request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(74)</w:t>
      </w:r>
    </w:p>
    <w:p>
      <w:pPr>
        <w:spacing w:after="140" w:line="300"/>
        <w:jc w:val="both"/>
      </w:pPr>
      <w:r>
        <w:rPr>
          <w:rFonts w:ascii="Cambria" w:cs="Cambria" w:eastAsia="Cambria" w:hAnsi="Cambria"/>
          <w:color w:val="000000"/>
          <w:sz w:val="24"/>
          <w:szCs w:val="24"/>
        </w:rPr>
        <w:t xml:space="preserve">The next stage will extend the implemented lifecycle mechanism towards consent modification, delegation, and guardian-set changes, and will formalise the state-transition model so that unauthorised lifecycle transitions can be excluded by construction.</w:t>
      </w:r>
    </w:p>
    <w:p>
      <w:pPr>
        <w:pStyle w:val="Heading2"/>
        <w:spacing w:after="160" w:before="280"/>
      </w:pPr>
      <w:r>
        <w:rPr>
          <w:rFonts w:ascii="Cambria" w:cs="Cambria" w:eastAsia="Cambria" w:hAnsi="Cambria"/>
          <w:sz w:val="24"/>
          <w:szCs w:val="24"/>
        </w:rPr>
        <w:t xml:space="preserve">7.6  </w:t>
      </w:r>
      <w:r>
        <w:rPr>
          <w:rFonts w:ascii="Cambria" w:cs="Cambria" w:eastAsia="Cambria" w:hAnsi="Cambria"/>
          <w:color w:val="E6007E"/>
          <w:sz w:val="24"/>
          <w:szCs w:val="24"/>
        </w:rPr>
        <w:t xml:space="preserve">Progress of RO6: Formal Security Assurance and Empirical Validation</w:t>
      </w:r>
    </w:p>
    <w:p>
      <w:pPr>
        <w:spacing w:after="140" w:line="300"/>
        <w:jc w:val="both"/>
      </w:pPr>
      <w:r>
        <w:rPr>
          <w:rFonts w:ascii="Cambria" w:cs="Cambria" w:eastAsia="Cambria" w:hAnsi="Cambria"/>
          <w:color w:val="E6007E"/>
          <w:sz w:val="24"/>
          <w:szCs w:val="24"/>
        </w:rPr>
        <w:t xml:space="preserve">Empirical validation now covers all five trust predicates of the decision matrix (V</w:t>
      </w:r>
      <w:r>
        <w:rPr>
          <w:rFonts w:ascii="Cambria" w:cs="Cambria" w:eastAsia="Cambria" w:hAnsi="Cambria"/>
          <w:color w:val="E6007E"/>
          <w:sz w:val="24"/>
          <w:szCs w:val="24"/>
          <w:vertAlign w:val="subscript"/>
        </w:rPr>
        <w:t xml:space="preserve">I</w:t>
      </w:r>
      <w:r>
        <w:rPr>
          <w:rFonts w:ascii="Cambria" w:cs="Cambria" w:eastAsia="Cambria" w:hAnsi="Cambria"/>
          <w:color w:val="E6007E"/>
          <w:sz w:val="24"/>
          <w:szCs w:val="24"/>
        </w:rPr>
        <w:t xml:space="preserve">,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and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together with on-chain revocation.</w:t>
      </w:r>
      <w:r>
        <w:rPr>
          <w:rFonts w:ascii="Cambria" w:cs="Cambria" w:eastAsia="Cambria" w:hAnsi="Cambria"/>
          <w:color w:val="000000"/>
          <w:sz w:val="24"/>
          <w:szCs w:val="24"/>
        </w:rPr>
        <w:t xml:space="preserve"> A suite of 23 automated tests exercises per-dimension failures of the decision matrix, rejection of invalid EIP-712 guardian signatures, and tampered or expired zero-knowledge proofs. Live validation on the Sepolia testnet includes a negative demonstration in which a request declaring jurisdiction SA against a consent issued for AU is denied with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named as the failed check, and a revocation scenario in which the same consent, once revoked on-chain, is subsequently denied through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Furthermore, an independent verification tool re-checks every ledger transaction hash against Sepolia receipts and reads each token back from the contract, reporting ALL CHECKS PASSED, and every granted access is accompanied by a real Groth16 proof generated and verified at request time. </w:t>
      </w:r>
      <w:r>
        <w:rPr>
          <w:rFonts w:ascii="Cambria" w:cs="Cambria" w:eastAsia="Cambria" w:hAnsi="Cambria"/>
          <w:color w:val="E6007E"/>
          <w:sz w:val="24"/>
          <w:szCs w:val="24"/>
        </w:rPr>
        <w:t xml:space="preserve">The implemented decision rule is therefore exactly Eq. (75).</w:t>
      </w:r>
      <w:r>
        <w:rPr>
          <w:rFonts w:ascii="Cambria" w:cs="Cambria" w:eastAsia="Cambria" w:hAnsi="Cambria"/>
          <w:color w:val="000000"/>
          <w:sz w:val="24"/>
          <w:szCs w:val="24"/>
        </w:rPr>
        <w:t xml:space="preserve"> Formal security analysis and a systematic performance study remain for the next stage. </w:t>
      </w:r>
      <w:r>
        <w:rPr>
          <w:rFonts w:ascii="Cambria" w:cs="Cambria" w:eastAsia="Cambria" w:hAnsi="Cambria"/>
          <w:color w:val="0000CC"/>
          <w:sz w:val="24"/>
          <w:szCs w:val="24"/>
        </w:rPr>
        <w:t xml:space="preserve">It should be noted that the prover and the verifier currently run on the same server, so the proof demonstrates the integration of the zero-knowledge toolchain rather than an additional privacy guarantee, as discussed in Section 6.8.11.</w:t>
      </w:r>
    </w:p>
    <w:p>
      <w:pPr>
        <w:spacing w:after="140" w:line="300"/>
        <w:jc w:val="both"/>
      </w:pPr>
      <w:r>
        <w:rPr>
          <w:rFonts w:ascii="Cambria" w:cs="Cambria" w:eastAsia="Cambria" w:hAnsi="Cambria"/>
          <w:color w:val="E6007E"/>
          <w:sz w:val="24"/>
          <w:szCs w:val="24"/>
        </w:rPr>
        <w:t xml:space="preserve">Status: Partially Completed (scenario-based empirical validation complete; formal assurance and performance study outstanding)</w:t>
      </w:r>
    </w:p>
    <w:p>
      <w:pPr>
        <w:spacing w:after="140" w:line="300"/>
        <w:jc w:val="both"/>
      </w:pPr>
      <w:r>
        <w:rPr>
          <w:rFonts w:ascii="Cambria" w:cs="Cambria" w:eastAsia="Cambria" w:hAnsi="Cambria"/>
          <w:sz w:val="24"/>
          <w:szCs w:val="24"/>
        </w:rPr>
        <w:t xml:space="preserve">RO6 is partially completed through the implementation and initial scenario-based validation of the HALAH prototype. 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tabs>
          <w:tab w:val="right" w:pos="9360"/>
        </w:tabs>
        <w:spacing w:after="160" w:before="60"/>
        <w:jc w:val="center"/>
      </w:pPr>
      <w:r>
        <w:rPr>
          <w:rFonts w:ascii="Cambria Math" w:cs="Cambria Math" w:eastAsia="Cambria Math" w:hAnsi="Cambria Math"/>
          <w:i/>
          <w:iCs/>
          <w:color w:val="E6007E"/>
          <w:sz w:val="22"/>
          <w:szCs w:val="22"/>
        </w:rPr>
        <w:t xml:space="preserve">Decision(C, R, t) = ALLOW, V</w:t>
      </w:r>
      <w:r>
        <w:rPr>
          <w:rFonts w:ascii="Cambria Math" w:cs="Cambria Math" w:eastAsia="Cambria Math" w:hAnsi="Cambria Math"/>
          <w:i/>
          <w:iCs/>
          <w:color w:val="E6007E"/>
          <w:sz w:val="22"/>
          <w:szCs w:val="22"/>
          <w:vertAlign w:val="subscript"/>
        </w:rPr>
        <w:t xml:space="preserve">I</w:t>
      </w:r>
      <w:r>
        <w:rPr>
          <w:rFonts w:ascii="Cambria Math" w:cs="Cambria Math" w:eastAsia="Cambria Math" w:hAnsi="Cambria Math"/>
          <w:i/>
          <w:iCs/>
          <w:color w:val="E6007E"/>
          <w:sz w:val="22"/>
          <w:szCs w:val="22"/>
        </w:rPr>
        <w:t xml:space="preserve">(u) ∧ V</w:t>
      </w:r>
      <w:r>
        <w:rPr>
          <w:rFonts w:ascii="Cambria Math" w:cs="Cambria Math" w:eastAsia="Cambria Math" w:hAnsi="Cambria Math"/>
          <w:i/>
          <w:iCs/>
          <w:color w:val="E6007E"/>
          <w:sz w:val="22"/>
          <w:szCs w:val="22"/>
          <w:vertAlign w:val="subscript"/>
        </w:rPr>
        <w:t xml:space="preserve">A</w:t>
      </w:r>
      <w:r>
        <w:rPr>
          <w:rFonts w:ascii="Cambria Math" w:cs="Cambria Math" w:eastAsia="Cambria Math" w:hAnsi="Cambria Math"/>
          <w:i/>
          <w:iCs/>
          <w:color w:val="E6007E"/>
          <w:sz w:val="22"/>
          <w:szCs w:val="22"/>
        </w:rPr>
        <w:t xml:space="preserve">(C) ∧ V</w:t>
      </w:r>
      <w:r>
        <w:rPr>
          <w:rFonts w:ascii="Cambria Math" w:cs="Cambria Math" w:eastAsia="Cambria Math" w:hAnsi="Cambria Math"/>
          <w:i/>
          <w:iCs/>
          <w:color w:val="E6007E"/>
          <w:sz w:val="22"/>
          <w:szCs w:val="22"/>
          <w:vertAlign w:val="subscript"/>
        </w:rPr>
        <w:t xml:space="preserve">P</w:t>
      </w:r>
      <w:r>
        <w:rPr>
          <w:rFonts w:ascii="Cambria Math" w:cs="Cambria Math" w:eastAsia="Cambria Math" w:hAnsi="Cambria Math"/>
          <w:i/>
          <w:iCs/>
          <w:color w:val="E6007E"/>
          <w:sz w:val="22"/>
          <w:szCs w:val="22"/>
        </w:rPr>
        <w:t xml:space="preserve">(C, R) ∧ V</w:t>
      </w:r>
      <w:r>
        <w:rPr>
          <w:rFonts w:ascii="Cambria Math" w:cs="Cambria Math" w:eastAsia="Cambria Math" w:hAnsi="Cambria Math"/>
          <w:i/>
          <w:iCs/>
          <w:color w:val="E6007E"/>
          <w:sz w:val="22"/>
          <w:szCs w:val="22"/>
          <w:vertAlign w:val="subscript"/>
        </w:rPr>
        <w:t xml:space="preserve">T</w:t>
      </w:r>
      <w:r>
        <w:rPr>
          <w:rFonts w:ascii="Cambria Math" w:cs="Cambria Math" w:eastAsia="Cambria Math" w:hAnsi="Cambria Math"/>
          <w:i/>
          <w:iCs/>
          <w:color w:val="E6007E"/>
          <w:sz w:val="22"/>
          <w:szCs w:val="22"/>
        </w:rPr>
        <w:t xml:space="preserve">(C, t) ∧ V</w:t>
      </w:r>
      <w:r>
        <w:rPr>
          <w:rFonts w:ascii="Cambria Math" w:cs="Cambria Math" w:eastAsia="Cambria Math" w:hAnsi="Cambria Math"/>
          <w:i/>
          <w:iCs/>
          <w:color w:val="E6007E"/>
          <w:sz w:val="22"/>
          <w:szCs w:val="22"/>
          <w:vertAlign w:val="subscript"/>
        </w:rPr>
        <w:t xml:space="preserve">L</w:t>
      </w:r>
      <w:r>
        <w:rPr>
          <w:rFonts w:ascii="Cambria Math" w:cs="Cambria Math" w:eastAsia="Cambria Math" w:hAnsi="Cambria Math"/>
          <w:i/>
          <w:iCs/>
          <w:color w:val="E6007E"/>
          <w:sz w:val="22"/>
          <w:szCs w:val="22"/>
        </w:rPr>
        <w:t xml:space="preserve">(C); DENY, otherwise.</w:t>
      </w:r>
      <w:r>
        <w:rPr>
          <w:rFonts w:ascii="Cambria" w:cs="Cambria" w:eastAsia="Cambria" w:hAnsi="Cambria"/>
          <w:sz w:val="22"/>
          <w:szCs w:val="22"/>
        </w:rPr>
        <w:t xml:space="preserve">	(75)</w:t>
      </w:r>
    </w:p>
    <w:p>
      <w:pPr>
        <w:spacing w:after="140" w:line="300"/>
        <w:jc w:val="both"/>
      </w:pPr>
      <w:r>
        <w:rPr>
          <w:rFonts w:ascii="Cambria" w:cs="Cambria" w:eastAsia="Cambria" w:hAnsi="Cambria"/>
          <w:sz w:val="24"/>
          <w:szCs w:val="24"/>
        </w:rPr>
        <w:t xml:space="preserve">At the current stage, the experimental evidence primarily demonstrates </w:t>
      </w:r>
      <w:r>
        <w:rPr>
          <w:rFonts w:ascii="Cambria" w:cs="Cambria" w:eastAsia="Cambria" w:hAnsi="Cambria"/>
          <w:color w:val="E6007E"/>
          <w:sz w:val="24"/>
          <w:szCs w:val="24"/>
        </w:rPr>
        <w:t xml:space="preserve">the consistency between the implemented consent, identity, policy, temporal, jurisdictional and</w:t>
      </w:r>
      <w:r>
        <w:rPr>
          <w:rFonts w:ascii="Cambria" w:cs="Cambria" w:eastAsia="Cambria" w:hAnsi="Cambria"/>
          <w:sz w:val="24"/>
          <w:szCs w:val="24"/>
        </w:rPr>
        <w:t xml:space="preserve"> multi-party authorisation mechanisms and their corresponding research questions.</w:t>
      </w:r>
    </w:p>
    <w:p>
      <w:pPr>
        <w:spacing w:after="140" w:line="300"/>
        <w:jc w:val="both"/>
      </w:pPr>
      <w:r>
        <w:rPr>
          <w:rFonts w:ascii="Cambria" w:cs="Cambria" w:eastAsia="Cambria" w:hAnsi="Cambria"/>
          <w:color w:val="000000"/>
          <w:sz w:val="24"/>
          <w:szCs w:val="24"/>
        </w:rPr>
        <w:t xml:space="preserve">Policy-violation scenarios, temporal expiration, revocation and invalid lifecycle transitions </w:t>
      </w:r>
      <w:r>
        <w:rPr>
          <w:rFonts w:ascii="Cambria" w:cs="Cambria" w:eastAsia="Cambria" w:hAnsi="Cambria"/>
          <w:color w:val="E6007E"/>
          <w:sz w:val="24"/>
          <w:szCs w:val="24"/>
        </w:rPr>
        <w:t xml:space="preserve">have now been demonstrated empirically: jurisdiction violation and revocation followed by denial in the live Sepolia deployment, and policy violation, temporal expiration and invalid lifecycle transitions in the automated test suite.</w:t>
      </w:r>
      <w:r>
        <w:rPr>
          <w:rFonts w:ascii="Cambria" w:cs="Cambria" w:eastAsia="Cambria" w:hAnsi="Cambria"/>
          <w:color w:val="000000"/>
          <w:sz w:val="24"/>
          <w:szCs w:val="24"/>
        </w:rPr>
        <w:t xml:space="preserve"> The remaining work for the next stage is therefore considerably narrower: formal definition and verification of the security properties, a systematic performance and overhead study, and the removal of prototype limitations such as the N-of-N approval rule, server-derived guardian keys and the unauthenticated requester role. </w:t>
      </w:r>
      <w:r>
        <w:rPr>
          <w:rFonts w:ascii="Cambria" w:cs="Cambria" w:eastAsia="Cambria" w:hAnsi="Cambria"/>
          <w:color w:val="0000CC"/>
          <w:sz w:val="24"/>
          <w:szCs w:val="24"/>
        </w:rPr>
        <w:t xml:space="preserve">In summary, RO1 to RO4 are completed at the conceptual and prototype level, RO5 is largely completed with its temporal and revocation controls enforced and anchored on-chain, and RO6 is partially completed through its empirical component. Therefore, the next stage of the research is defined by the formal component of RO6, the performance study and the dynamic lifecycle extensions of RO5, as set out in Chapter 9.</w:t>
      </w:r>
    </w:p>
    <w:p>
      <w:pPr>
        <w:pStyle w:val="Heading1"/>
        <w:pageBreakBefore/>
        <w:spacing w:after="160" w:before="400"/>
      </w:pPr>
      <w:r>
        <w:rPr>
          <w:rFonts w:ascii="Cambria" w:cs="Cambria" w:eastAsia="Cambria" w:hAnsi="Cambria"/>
          <w:sz w:val="24"/>
          <w:szCs w:val="24"/>
        </w:rPr>
        <w:t xml:space="preserve">8  Publications Summary</w:t>
      </w:r>
    </w:p>
    <w:p>
      <w:pPr>
        <w:spacing w:after="140" w:line="300"/>
        <w:jc w:val="both"/>
      </w:pPr>
      <w:r>
        <w:rPr>
          <w:rFonts w:ascii="Cambria" w:cs="Cambria" w:eastAsia="Cambria" w:hAnsi="Cambria"/>
          <w:sz w:val="24"/>
          <w:szCs w:val="24"/>
        </w:rPr>
        <w:t xml:space="preserve">The publication activities associated with this research are organised according to their current development status and their structural contribution to the thesis chapters and research questions.</w:t>
      </w:r>
    </w:p>
    <w:p>
      <w:pPr>
        <w:spacing w:after="140" w:line="300"/>
        <w:jc w:val="both"/>
      </w:pPr>
      <w:r>
        <w:rPr>
          <w:rFonts w:ascii="Cambria" w:cs="Cambria" w:eastAsia="Cambria" w:hAnsi="Cambria"/>
          <w:color w:val="0000CC"/>
          <w:sz w:val="24"/>
          <w:szCs w:val="24"/>
        </w:rPr>
        <w:t xml:space="preserve">It should be noted that no manuscript has been submitted at the time of writing. The first paper is intended for submission early in the next stage, so that it can present the consent model together with the deployed contract and its verified transaction evidence.</w:t>
      </w:r>
    </w:p>
    <w:p>
      <w:pPr>
        <w:spacing w:after="140" w:line="300"/>
        <w:jc w:val="both"/>
      </w:pPr>
      <w:r>
        <w:rPr>
          <w:rFonts w:ascii="Cambria" w:cs="Cambria" w:eastAsia="Cambria" w:hAnsi="Cambria"/>
          <w:color w:val="0000CC"/>
          <w:sz w:val="24"/>
          <w:szCs w:val="24"/>
        </w:rPr>
        <w:t xml:space="preserve">Table 15 summarises the planned research outputs, their target venues, their current status and their alignment with the research questions.</w:t>
      </w:r>
    </w:p>
    <w:p>
      <w:pPr>
        <w:keepNext/>
        <w:spacing w:after="80" w:before="160"/>
        <w:jc w:val="center"/>
      </w:pPr>
      <w:r>
        <w:rPr>
          <w:rFonts w:ascii="Cambria" w:cs="Cambria" w:eastAsia="Cambria" w:hAnsi="Cambria"/>
          <w:b/>
          <w:bCs/>
          <w:color w:val="000000"/>
          <w:sz w:val="21"/>
          <w:szCs w:val="21"/>
        </w:rPr>
        <w:t xml:space="preserve">Table 15: </w:t>
      </w:r>
      <w:r>
        <w:rPr>
          <w:rFonts w:ascii="Cambria" w:cs="Cambria" w:eastAsia="Cambria" w:hAnsi="Cambria"/>
          <w:color w:val="000000"/>
          <w:sz w:val="21"/>
          <w:szCs w:val="21"/>
        </w:rPr>
        <w:t xml:space="preserve">Summary of Research Outputs and Publication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Output / Topic</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Target Venue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Current Status</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 Alignment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Trust-Centric Consent Framework
Model architecture and multi-party authorisation policies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Elsevier/IEEE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Almost Ready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Core architectural contribution; </w:t>
            </w:r>
            <w:r>
              <w:rPr>
                <w:rFonts w:ascii="Cambria" w:cs="Cambria" w:eastAsia="Cambria" w:hAnsi="Cambria"/>
                <w:b w:val="false"/>
                <w:bCs w:val="false"/>
                <w:color w:val="E6007E"/>
                <w:sz w:val="19"/>
                <w:szCs w:val="19"/>
              </w:rPr>
              <w:t xml:space="preserve">addresses RQ1 to RQ4 (Sections 6.1 to 6.4).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HALAH Prototype &amp; Validation
</w:t>
            </w:r>
            <w:r>
              <w:rPr>
                <w:rFonts w:ascii="Cambria" w:cs="Cambria" w:eastAsia="Cambria" w:hAnsi="Cambria"/>
                <w:b w:val="false"/>
                <w:bCs w:val="false"/>
                <w:color w:val="000000"/>
                <w:sz w:val="19"/>
                <w:szCs w:val="19"/>
              </w:rPr>
              <w:t xml:space="preserve">The decentralised implementation and the scenario-based validation are complete on the Sepolia public testnet; the performance evaluation remains outstanding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Systems / Security Conference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 Progress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validation platform; addresses implementation and validation; </w:t>
            </w:r>
            <w:r>
              <w:rPr>
                <w:rFonts w:ascii="Cambria" w:cs="Cambria" w:eastAsia="Cambria" w:hAnsi="Cambria"/>
                <w:b w:val="false"/>
                <w:bCs w:val="false"/>
                <w:color w:val="000000"/>
                <w:sz w:val="19"/>
                <w:szCs w:val="19"/>
              </w:rPr>
              <w:t xml:space="preserve">the paper's empirical section can now draw upon the deployed contract, the two minted tokens and the verified transaction trail as delivered evidence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&amp; Lifecycle Analysis
Verification of temporal constraints and state transitions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Specialised</w:t>
            </w:r>
            <w:r>
              <w:rPr>
                <w:rFonts w:ascii="Cambria" w:cs="Cambria" w:eastAsia="Cambria" w:hAnsi="Cambria"/>
                <w:b w:val="false"/>
                <w:bCs w:val="false"/>
                <w:sz w:val="19"/>
                <w:szCs w:val="19"/>
              </w:rPr>
              <w:t xml:space="preserve"> Workshop / Journal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Planned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Next stage research extension; </w:t>
            </w:r>
            <w:r>
              <w:rPr>
                <w:rFonts w:ascii="Cambria" w:cs="Cambria" w:eastAsia="Cambria" w:hAnsi="Cambria"/>
                <w:b w:val="false"/>
                <w:bCs w:val="false"/>
                <w:color w:val="E6007E"/>
                <w:sz w:val="19"/>
                <w:szCs w:val="19"/>
              </w:rPr>
              <w:t xml:space="preserve">addresses formal security assurance (Section 6.6).</w:t>
            </w:r>
          </w:p>
        </w:tc>
      </w:tr>
    </w:tbl>
    <w:p>
      <w:pPr>
        <w:spacing w:after="180"/>
      </w:pPr>
    </w:p>
    <w:p>
      <w:pPr>
        <w:spacing w:after="140" w:line="300"/>
        <w:jc w:val="both"/>
      </w:pPr>
      <w:r>
        <w:rPr>
          <w:rFonts w:ascii="Cambria" w:cs="Cambria" w:eastAsia="Cambria" w:hAnsi="Cambria"/>
          <w:sz w:val="24"/>
          <w:szCs w:val="24"/>
        </w:rP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p>
      <w:pPr>
        <w:pStyle w:val="Heading1"/>
        <w:pageBreakBefore/>
        <w:spacing w:after="160" w:before="400"/>
      </w:pPr>
      <w:r>
        <w:rPr>
          <w:rFonts w:ascii="Cambria" w:cs="Cambria" w:eastAsia="Cambria" w:hAnsi="Cambria"/>
          <w:sz w:val="24"/>
          <w:szCs w:val="24"/>
        </w:rPr>
        <w:t xml:space="preserve">9  Research Plan</w:t>
      </w:r>
    </w:p>
    <w:p>
      <w:pPr>
        <w:spacing w:after="140" w:line="300"/>
        <w:jc w:val="both"/>
      </w:pPr>
      <w:r>
        <w:rPr>
          <w:rFonts w:ascii="Cambria" w:cs="Cambria" w:eastAsia="Cambria" w:hAnsi="Cambria"/>
          <w:sz w:val="24"/>
          <w:szCs w:val="24"/>
        </w:rPr>
        <w:t xml:space="preserve">The research plan is divided into two major stages corresponding to current and next stage.</w:t>
      </w:r>
    </w:p>
    <w:p>
      <w:pPr>
        <w:pStyle w:val="Heading2"/>
        <w:spacing w:after="160" w:before="280"/>
      </w:pPr>
      <w:r>
        <w:rPr>
          <w:rFonts w:ascii="Cambria" w:cs="Cambria" w:eastAsia="Cambria" w:hAnsi="Cambria"/>
          <w:sz w:val="24"/>
          <w:szCs w:val="24"/>
        </w:rPr>
        <w:t xml:space="preserve">9.1  Current Stage: Completed and Current Work</w:t>
      </w:r>
    </w:p>
    <w:p>
      <w:pPr>
        <w:spacing w:after="140" w:line="300"/>
        <w:jc w:val="both"/>
      </w:pPr>
      <w:r>
        <w:rPr>
          <w:rFonts w:ascii="Cambria" w:cs="Cambria" w:eastAsia="Cambria" w:hAnsi="Cambria"/>
          <w:color w:val="000000"/>
          <w:sz w:val="24"/>
          <w:szCs w:val="24"/>
        </w:rPr>
        <w:t xml:space="preserve">RO1 to RO4 have been implemented and validated in the HALAH prototype, and RO5 is largely complete. The delivered evidence includes the ConsentSBTv3 contract deployed and source-verified on Sepolia at 0x0EC3617581DEC63A7f2bb162DC14d088916ADc73, with the evaluated consent minted as token #1 in block 11,771,243, revoked on-chain in block 11,771,307, and an independently reproduced lifecycle minted as token #2 in block 11,771,581. Each transaction hash is recorded in the audit ledger and is publicly inspectable on Etherscan. </w:t>
      </w:r>
      <w:r>
        <w:rPr>
          <w:rFonts w:ascii="Cambria" w:cs="Cambria" w:eastAsia="Cambria" w:hAnsi="Cambria"/>
          <w:color w:val="0000CC"/>
          <w:sz w:val="24"/>
          <w:szCs w:val="24"/>
        </w:rPr>
        <w:t xml:space="preserve">The plan for the next stage therefore follows directly from the progress status reported in Chapter 7: </w:t>
      </w:r>
      <w:r>
        <w:rPr>
          <w:rFonts w:ascii="Cambria" w:cs="Cambria" w:eastAsia="Cambria" w:hAnsi="Cambria"/>
          <w:color w:val="E6007E"/>
          <w:sz w:val="24"/>
          <w:szCs w:val="24"/>
        </w:rPr>
        <w:t xml:space="preserve">the objectives marked as completed require no further conceptual development, whereas the formal component of RO6, the systematic performance and overhead study, and the identified prototype limitations, namely the N-of-N approval rule, the server-derived guardian keys, the unauthenticated requester and the absence of cryptographic DID resolution, define the remaining work.</w:t>
      </w:r>
    </w:p>
    <w:p>
      <w:pPr>
        <w:spacing w:after="140" w:line="300"/>
        <w:jc w:val="both"/>
      </w:pPr>
      <w:r>
        <w:rPr>
          <w:rFonts w:ascii="Cambria" w:cs="Cambria" w:eastAsia="Cambria" w:hAnsi="Cambria"/>
          <w:sz w:val="24"/>
          <w:szCs w:val="24"/>
        </w:rP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Heading2"/>
        <w:spacing w:after="160" w:before="280"/>
      </w:pPr>
      <w:r>
        <w:rPr>
          <w:rFonts w:ascii="Cambria" w:cs="Cambria" w:eastAsia="Cambria" w:hAnsi="Cambria"/>
          <w:sz w:val="24"/>
          <w:szCs w:val="24"/>
        </w:rPr>
        <w:t xml:space="preserve">9.2  Next Stage: Planned Work</w:t>
      </w:r>
    </w:p>
    <w:p>
      <w:pPr>
        <w:spacing w:after="140" w:line="300"/>
        <w:jc w:val="both"/>
      </w:pPr>
      <w:r>
        <w:rPr>
          <w:rFonts w:ascii="Cambria" w:cs="Cambria" w:eastAsia="Cambria" w:hAnsi="Cambria"/>
          <w:color w:val="000000"/>
          <w:sz w:val="24"/>
          <w:szCs w:val="24"/>
        </w:rPr>
        <w:t xml:space="preserve">Temporal and lifecycle trust, originally planned for the next stage, has been brought forward and implemented: validity windows are enforced and anchored on-chain, revocation is effective at the contract level, and lifecycle transitions are governed by an explicit state machine. Consequently, </w:t>
      </w:r>
      <w:r>
        <w:rPr>
          <w:rFonts w:ascii="Cambria" w:cs="Cambria" w:eastAsia="Cambria" w:hAnsi="Cambria"/>
          <w:color w:val="E6007E"/>
          <w:sz w:val="24"/>
          <w:szCs w:val="24"/>
        </w:rPr>
        <w:t xml:space="preserve">the next stage concentrates on formal security assurance and comprehensive empirical validation, including performance measurement, together with the dynamic consent governance extensions of RO5, namely consent modification, delegation and guardian-set changes.</w:t>
      </w:r>
    </w:p>
    <w:p>
      <w:pPr>
        <w:spacing w:after="140" w:line="300"/>
        <w:jc w:val="both"/>
      </w:pPr>
      <w:r>
        <w:rPr>
          <w:rFonts w:ascii="Cambria" w:cs="Cambria" w:eastAsia="Cambria" w:hAnsi="Cambria"/>
          <w:sz w:val="24"/>
          <w:szCs w:val="24"/>
        </w:rPr>
        <w:t xml:space="preserve">The next stage will build upon the foundational trust-oriented authorisation framework established during current stage and </w:t>
      </w:r>
      <w:r>
        <w:rPr>
          <w:rFonts w:ascii="Cambria" w:cs="Cambria" w:eastAsia="Cambria" w:hAnsi="Cambria"/>
          <w:color w:val="E6007E"/>
          <w:sz w:val="24"/>
          <w:szCs w:val="24"/>
        </w:rPr>
        <w:t xml:space="preserve">extend the research towards dynamic consent governance [13, 24], formal security assurance,</w:t>
      </w:r>
      <w:r>
        <w:rPr>
          <w:rFonts w:ascii="Cambria" w:cs="Cambria" w:eastAsia="Cambria" w:hAnsi="Cambria"/>
          <w:sz w:val="24"/>
          <w:szCs w:val="24"/>
        </w:rPr>
        <w:t xml:space="preserv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spacing w:after="140" w:line="300"/>
        <w:jc w:val="both"/>
      </w:pPr>
      <w:r>
        <w:rPr>
          <w:rFonts w:ascii="Cambria" w:cs="Cambria" w:eastAsia="Cambria" w:hAnsi="Cambria"/>
          <w:color w:val="0000CC"/>
          <w:sz w:val="24"/>
          <w:szCs w:val="24"/>
        </w:rPr>
        <w:t xml:space="preserve">The next stage activities are planned sequentially. The formal specification of the security properties will be undertaken first, since the empirical experiments are to be designed against those properties; the performance and adversarial evaluation will follow in the second half of the stage, and the lifecycle extensions and integrated evaluation will be completed last, once the formal model is stable.</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first</w:t>
      </w:r>
      <w:r>
        <w:rPr>
          <w:rFonts w:ascii="Cambria" w:cs="Cambria" w:eastAsia="Cambria" w:hAnsi="Cambria"/>
          <w:sz w:val="24"/>
          <w:szCs w:val="24"/>
        </w:rPr>
        <w:t xml:space="preserve"> focus is formal security assurance. The current stage framework establishes the conceptual relationship between identity verification, collective authorisation, and policy enforcement. </w:t>
      </w:r>
      <w:r>
        <w:rPr>
          <w:rFonts w:ascii="Cambria" w:cs="Cambria" w:eastAsia="Cambria" w:hAnsi="Cambria"/>
          <w:color w:val="000000"/>
          <w:sz w:val="24"/>
          <w:szCs w:val="24"/>
        </w:rPr>
        <w:t xml:space="preserve">The next</w:t>
      </w:r>
      <w:r>
        <w:rPr>
          <w:rFonts w:ascii="Cambria" w:cs="Cambria" w:eastAsia="Cambria" w:hAnsi="Cambria"/>
          <w:sz w:val="24"/>
          <w:szCs w:val="24"/>
        </w:rPr>
        <w:t xml:space="preserve">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second</w:t>
      </w:r>
      <w:r>
        <w:rPr>
          <w:rFonts w:ascii="Cambria" w:cs="Cambria" w:eastAsia="Cambria" w:hAnsi="Cambria"/>
          <w:sz w:val="24"/>
          <w:szCs w:val="24"/>
        </w:rPr>
        <w:t xml:space="preserve"> focus is comprehensive empirical validation.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 ALLOW decision only when the required trust conditions are satisfied and produces a DENY 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16.</w:t>
      </w:r>
    </w:p>
    <w:p>
      <w:pPr>
        <w:spacing w:after="140" w:line="300"/>
        <w:jc w:val="both"/>
      </w:pPr>
      <w:r>
        <w:rPr>
          <w:rFonts w:ascii="Cambria" w:cs="Cambria" w:eastAsia="Cambria" w:hAnsi="Cambria"/>
          <w:color w:val="0000CC"/>
          <w:sz w:val="24"/>
          <w:szCs w:val="24"/>
        </w:rPr>
        <w:t xml:space="preserve">The performance study will measure the gas cost of the mint and revoke transactions, the block-confirmation latency on Sepolia, the Groth16 proof generation and verification time, and the end-to-end decision latency per access request, and will report enforcement accuracy as the proportion of adversarial requests correctly denied.</w:t>
      </w:r>
    </w:p>
    <w:p>
      <w:pPr>
        <w:spacing w:after="140" w:line="300"/>
        <w:jc w:val="both"/>
      </w:pPr>
      <w:r>
        <w:rPr>
          <w:rFonts w:ascii="Cambria" w:cs="Cambria" w:eastAsia="Cambria" w:hAnsi="Cambria"/>
          <w:color w:val="0000CC"/>
          <w:sz w:val="24"/>
          <w:szCs w:val="24"/>
        </w:rPr>
        <w:t xml:space="preserve">The formal component will state the soundness property Decision(C, R, t) = ALLOW ⇒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A</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P</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and the lifecycle invariant that no REVOKED or EXPIRED consent can re-enter ACTIVE, and will verify them by model checking of the state machine or by proof over the predicate definitions of Chapter 6. The evaluation criterion for this component is that every property is either verified or refuted by an explicit counterexample.</w:t>
      </w:r>
    </w:p>
    <w:p>
      <w:pPr>
        <w:keepNext/>
        <w:spacing w:after="80" w:before="160"/>
        <w:jc w:val="center"/>
      </w:pPr>
      <w:r>
        <w:rPr>
          <w:rFonts w:ascii="Cambria" w:cs="Cambria" w:eastAsia="Cambria" w:hAnsi="Cambria"/>
          <w:b/>
          <w:bCs/>
          <w:color w:val="000000"/>
          <w:sz w:val="21"/>
          <w:szCs w:val="21"/>
        </w:rPr>
        <w:t xml:space="preserve">Table 16: </w:t>
      </w:r>
      <w:r>
        <w:rPr>
          <w:rFonts w:ascii="Cambria" w:cs="Cambria" w:eastAsia="Cambria" w:hAnsi="Cambria"/>
          <w:color w:val="000000"/>
          <w:sz w:val="21"/>
          <w:szCs w:val="21"/>
        </w:rPr>
        <w:t xml:space="preserve">Next Stage Research Activities, Methodological Focus, and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Planned Activities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Outcome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Consent Modification, Delegation and Lifecycle Extensions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Extend the implemented lifecycle mechanism to support consent modification, delegation and guardian-set changes, and formalise the state-transition model so that unauthorised transitions are excluded by construction.</w:t>
            </w:r>
            <w:r>
              <w:rPr>
                <w:rFonts w:ascii="Cambria" w:cs="Cambria" w:eastAsia="Cambria" w:hAnsi="Cambria"/>
                <w:b w:val="false"/>
                <w:bCs w:val="false"/>
                <w:sz w:val="19"/>
                <w:szCs w:val="19"/>
              </w:rPr>
              <w:t xml:space="preserve"> Evaluate access decisions under varying temporal and consent-state constraints.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robust, dynamic consent management mechanism capable of validating whether an authorisation remains active at the precise point of access.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Assurance
(Properties &amp; Verification)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rigorous formal security model and verification proof establishing explicit security guarantees for the trust-oriented authorisation framework.</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Comprehensive Empirical Validation
(HALAH Prototype Scenarios)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Scale and extend HALAH prototype experiments using representative positive and negative healthcare data-sharing scenarios. Measure and compare observed system runtime performance, overhead, and enforcement accuracy.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evidence and benchmark datasets demonstrating that the implementation consistently and efficiently enforces the proposed authorisation model.</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Framework Evaluation
(Synthesis &amp; End-to-End)</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 temporal, lifecycle, formal verification, and empirical modules into a unified, cohesive framework. Evaluate cross-component interactions, scalability bottlenecks, and end-to-end feasibility in real-world settings.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fully integrated, validated </w:t>
            </w:r>
            <w:r>
              <w:rPr>
                <w:rFonts w:ascii="Cambria" w:cs="Cambria" w:eastAsia="Cambria" w:hAnsi="Cambria"/>
                <w:b w:val="false"/>
                <w:bCs w:val="false"/>
                <w:color w:val="000000"/>
                <w:sz w:val="19"/>
                <w:szCs w:val="19"/>
              </w:rPr>
              <w:t xml:space="preserve">trust-oriented authorisation framework</w:t>
            </w:r>
            <w:r>
              <w:rPr>
                <w:rFonts w:ascii="Cambria" w:cs="Cambria" w:eastAsia="Cambria" w:hAnsi="Cambria"/>
                <w:b w:val="false"/>
                <w:bCs w:val="false"/>
                <w:sz w:val="19"/>
                <w:szCs w:val="19"/>
              </w:rPr>
              <w:t xml:space="preserve"> providing secure, multi-party patient consent and decentralised healthcare data sharing.</w:t>
            </w:r>
          </w:p>
        </w:tc>
      </w:tr>
    </w:tbl>
    <w:p>
      <w:pPr>
        <w:spacing w:after="180"/>
      </w:pPr>
    </w:p>
    <w:p>
      <w:pPr>
        <w:spacing w:after="140" w:line="300"/>
        <w:jc w:val="both"/>
      </w:pPr>
      <w:r>
        <w:rPr>
          <w:rFonts w:ascii="Cambria" w:cs="Cambria" w:eastAsia="Cambria" w:hAnsi="Cambria"/>
          <w:color w:val="E6007E"/>
          <w:sz w:val="24"/>
          <w:szCs w:val="24"/>
        </w:rPr>
        <w:t xml:space="preserve">At the time of writing, the status of the activities in Table 16 is as follows.</w:t>
      </w:r>
      <w:r>
        <w:rPr>
          <w:rFonts w:ascii="Cambria" w:cs="Cambria" w:eastAsia="Cambria" w:hAnsi="Cambria"/>
          <w:color w:val="E6007E"/>
          <w:sz w:val="24"/>
          <w:szCs w:val="24"/>
        </w:rPr>
        <w:t xml:space="preserve"> The temporal and lifecycle foundation of the first activity, Consent Modification, Delegation and Lifecycle Extensions, is largely completed (on-chain notBefore and expiry fields; revoke transaction confirmed in block 11,771,307; explicit lifecycle state machine), whereas the modification, delegation and guardian-set extensions themselves have not been started.</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Comprehensive Empirical Validation is partially delivered (23 automated tests; live jurisdiction denial and revocation-then-denial on Sepolia; independent chain verification reporting ALL CHECKS PASSED), with performance and overhead measurement remaining. Formal Security Assurance and the Integrated Framework Evaluation have not been started and constitute the next stage in full.</w:t>
      </w:r>
    </w:p>
    <w:p>
      <w:pPr>
        <w:spacing w:after="140" w:line="300"/>
        <w:jc w:val="both"/>
      </w:pPr>
      <w:r>
        <w:rPr>
          <w:rFonts w:ascii="Cambria" w:cs="Cambria" w:eastAsia="Cambria" w:hAnsi="Cambria"/>
          <w:sz w:val="24"/>
          <w:szCs w:val="24"/>
        </w:rP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spacing w:after="140" w:line="300"/>
        <w:jc w:val="both"/>
      </w:pPr>
      <w:r>
        <w:rPr>
          <w:rFonts w:ascii="Cambria" w:cs="Cambria" w:eastAsia="Cambria" w:hAnsi="Cambria"/>
          <w:sz w:val="24"/>
          <w:szCs w:val="24"/>
        </w:rPr>
        <w:t xml:space="preserve">The complete authorisation model developed across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will therefore be evaluated as a conjunction of independently verifiable conditions. Conceptually, the final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w:t>
      </w:r>
      <w:r>
        <w:rPr>
          <w:rFonts w:ascii="Cambria" w:cs="Cambria" w:eastAsia="Cambria" w:hAnsi="Cambria"/>
          <w:sz w:val="22"/>
          <w:szCs w:val="22"/>
        </w:rPr>
        <w:t xml:space="preserve">	(76)</w:t>
      </w:r>
    </w:p>
    <w:p>
      <w:pPr>
        <w:spacing w:after="140" w:line="300"/>
        <w:jc w:val="both"/>
      </w:pPr>
      <w:r>
        <w:rPr>
          <w:rFonts w:ascii="Cambria" w:cs="Cambria" w:eastAsia="Cambria" w:hAnsi="Cambria"/>
          <w:sz w:val="24"/>
          <w:szCs w:val="24"/>
        </w:rP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spacing w:after="140" w:line="300"/>
        <w:jc w:val="both"/>
      </w:pPr>
      <w:r>
        <w:rPr>
          <w:rFonts w:ascii="Cambria" w:cs="Cambria" w:eastAsia="Cambria" w:hAnsi="Cambria"/>
          <w:sz w:val="24"/>
          <w:szCs w:val="24"/>
        </w:rPr>
        <w:t xml:space="preserve">From a research perspective, this represents an important transition from static consent management to dynamic trustworthy authorisation. The objective is not to add a collection of independent security mechanisms, but to investigate how these mechanisms jointly contribute to the establishment, maintenance, and verification of trust throughout the consent lifecycle.</w:t>
      </w:r>
    </w:p>
    <w:p>
      <w:pPr>
        <w:spacing w:after="140" w:line="300"/>
        <w:jc w:val="both"/>
      </w:pPr>
      <w:r>
        <w:rPr>
          <w:rFonts w:ascii="Cambria" w:cs="Cambria" w:eastAsia="Cambria" w:hAnsi="Cambria"/>
          <w:sz w:val="24"/>
          <w:szCs w:val="24"/>
        </w:rP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spacing w:after="140" w:line="300"/>
        <w:jc w:val="both"/>
      </w:pPr>
      <w:r>
        <w:rPr>
          <w:rFonts w:ascii="Cambria" w:cs="Cambria" w:eastAsia="Cambria" w:hAnsi="Cambria"/>
          <w:sz w:val="24"/>
          <w:szCs w:val="24"/>
        </w:rPr>
        <w:t xml:space="preserve">Consequently, </w:t>
      </w:r>
      <w:r>
        <w:rPr>
          <w:rFonts w:ascii="Cambria" w:cs="Cambria" w:eastAsia="Cambria" w:hAnsi="Cambria"/>
          <w:color w:val="000000"/>
          <w:sz w:val="24"/>
          <w:szCs w:val="24"/>
        </w:rPr>
        <w:t xml:space="preserve">next stage will</w:t>
      </w:r>
      <w:r>
        <w:rPr>
          <w:rFonts w:ascii="Cambria" w:cs="Cambria" w:eastAsia="Cambria" w:hAnsi="Cambria"/>
          <w:sz w:val="24"/>
          <w:szCs w:val="24"/>
        </w:rPr>
        <w:t xml:space="preserve"> complete the transition from the foundational authorisation mechanisms established in current stage to a dynamically managed, formally reasoned, and empirically validated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The final contribution will be assessed not simply by whether consent can be recorded or whether access can be granted, but by whether the system can provide a defensible basis for determining why an access decision should be trusted and when that trust should no longer apply.</w:t>
      </w:r>
    </w:p>
    <w:p>
      <w:pPr>
        <w:pStyle w:val="Heading1"/>
        <w:pageBreakBefore/>
        <w:spacing w:after="160" w:before="400"/>
      </w:pPr>
      <w:r>
        <w:rPr>
          <w:rFonts w:ascii="Cambria" w:cs="Cambria" w:eastAsia="Cambria" w:hAnsi="Cambria"/>
          <w:sz w:val="24"/>
          <w:szCs w:val="24"/>
        </w:rPr>
        <w:t xml:space="preserve">Appendix A — Traceability to the Implemented System</w:t>
      </w:r>
    </w:p>
    <w:p>
      <w:pPr>
        <w:spacing w:after="140" w:line="300"/>
        <w:jc w:val="both"/>
      </w:pPr>
      <w:r>
        <w:rPr>
          <w:rFonts w:ascii="Cambria" w:cs="Cambria" w:eastAsia="Cambria" w:hAnsi="Cambria"/>
          <w:color w:val="000000"/>
          <w:sz w:val="24"/>
          <w:szCs w:val="24"/>
        </w:rPr>
        <w:t xml:space="preserve">Table 17 summarises how each formal artefact of this report is realised in the implemented HALAH subsystem presented in Section 6.8, and which publicly verifiable evidence supports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2900"/>
        <w:gridCol w:w="2510"/>
      </w:tblGrid>
      <w:tr>
        <w:trPr>
          <w:tblHeader/>
        </w:trPr>
        <w:tc>
          <w:tcPr>
            <w:tcW w:type="dxa" w:w="26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Research artefact</w:t>
            </w:r>
          </w:p>
        </w:tc>
        <w:tc>
          <w:tcPr>
            <w:tcW w:type="dxa" w:w="13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Defined in</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Realised by (implementation)</w:t>
            </w:r>
          </w:p>
        </w:tc>
        <w:tc>
          <w:tcPr>
            <w:tcW w:type="dxa" w:w="251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Publicly verifiable evidence</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RO1 / RQ1 — Consent object, Eq. (46), Algorithm 1</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§6.1</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Patient subsystem: consent creation; state PENDING_SIGNATURE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 f050c29a and 04da25f5 in the exported audit ledger</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RO2 / RQ2 — DID and VC verification, Algorithm 2</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§6.2</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subsystem: EIP-712 typed-data signatures, off-chain signer recovery per guardian DID </w:t>
            </w:r>
            <w:r>
              <w:rPr>
                <w:rFonts w:ascii="Cambria" w:cs="Cambria" w:eastAsia="Cambria" w:hAnsi="Cambria"/>
                <w:b w:val="false"/>
                <w:bCs w:val="false"/>
                <w:color w:val="E6007E"/>
                <w:sz w:val="18"/>
                <w:szCs w:val="18"/>
              </w:rPr>
              <w:t xml:space="preserve">(VI itself performs identifier- and credential-format validation only; DID resolution is reserved for the next stage)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Verified signer 0x3Af549b0… recorded per SIGN_CONSENT event</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RO3 / RQ3 — Threshold authorisation, Eq. (49), Algorithm 3</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§6.3</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2-of-2 ceremony with N = |G|; SBT minted on threshold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 tx 0x8be1b99e…daf13d, block 11,771,243, token #1</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RO4 / RQ4 — Policy predicate VP, Eqs. (52)–(53), Algorithm 4</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§6.4</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Doctor subsystem: requested scope SR must be a non-empty subset of the authorised scope SC; purpose hash compared with the consent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STATE_CHECK and DATA_ACCESS events recording VP = PASS for the four-module scope of consents f050c29a and 04da25f5</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Decision rule and trust predicates, Eq. (54), Figure 8</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§5.1.2, §6.4, §6.6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Doctor subsystem: five-verdict decision matrix, ALLOW / DENY with failed-check listing</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GRANTED and DENIED DATA_ACCESS events; SA-jurisdiction denial</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RO5 / RQ5 — Temporal and lifecycle trust, Eqs. (58)–(59), Algorithm 5</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§6.5</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Six-state lifecycle with on-chain revocation (Section 6.8.6)</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 tx 0x017efb9d…dceaa, block 11,771,307</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RO6 / RQ6 — Empirical validation, Eq. (61), Algorithm 6 (formal component outstanding)</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Auditor subsystem and the independent verifier re-checking every transaction receipt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60-event ledger; RESULT: ALL CHECKS PASSED; token #2, block 11,771,581</w:t>
            </w:r>
          </w:p>
        </w:tc>
      </w:tr>
    </w:tbl>
    <w:p>
      <w:pPr>
        <w:spacing w:before="60"/>
        <w:jc w:val="center"/>
      </w:pPr>
      <w:r>
        <w:rPr>
          <w:rFonts w:ascii="Cambria" w:cs="Cambria" w:eastAsia="Cambria" w:hAnsi="Cambria"/>
          <w:i/>
          <w:iCs/>
          <w:color w:val="000000"/>
          <w:sz w:val="19"/>
          <w:szCs w:val="19"/>
        </w:rPr>
        <w:t xml:space="preserve">Table 17: Traceability from the formal artefacts of this report to the implemented mechanisms and their on-chain evidence.</w:t>
      </w:r>
    </w:p>
    <w:p>
      <w:pPr>
        <w:pStyle w:val="Heading1"/>
        <w:pageBreakBefore/>
        <w:spacing w:after="160" w:before="400"/>
      </w:pPr>
      <w:r>
        <w:rPr>
          <w:rFonts w:ascii="Cambria" w:cs="Cambria" w:eastAsia="Cambria" w:hAnsi="Cambria"/>
          <w:sz w:val="24"/>
          <w:szCs w:val="24"/>
        </w:rPr>
        <w:t xml:space="preserve">References</w:t>
      </w:r>
    </w:p>
    <w:p>
      <w:pPr>
        <w:spacing w:after="140" w:line="300"/>
        <w:jc w:val="both"/>
      </w:pPr>
      <w:r>
        <w:rPr>
          <w:rFonts w:ascii="Cambria" w:cs="Cambria" w:eastAsia="Cambria" w:hAnsi="Cambria"/>
          <w:sz w:val="24"/>
          <w:szCs w:val="24"/>
        </w:rPr>
        <w:t xml:space="preserve">[1] Abdullah Al Mamun, Sami Azam, and Clementine Gritti. </w:t>
      </w:r>
      <w:r>
        <w:rPr>
          <w:rFonts w:ascii="Cambria" w:cs="Cambria" w:eastAsia="Cambria" w:hAnsi="Cambria"/>
          <w:color w:val="E6007E"/>
          <w:sz w:val="24"/>
          <w:szCs w:val="24"/>
        </w:rPr>
        <w:t xml:space="preserve">Blockchain-based electronic health records management: A comprehensive review and future research direction.</w:t>
      </w:r>
      <w:r>
        <w:rPr>
          <w:rFonts w:ascii="Cambria" w:cs="Cambria" w:eastAsia="Cambria" w:hAnsi="Cambria"/>
          <w:sz w:val="24"/>
          <w:szCs w:val="24"/>
        </w:rPr>
        <w:t xml:space="preserve"> IEEE Access, 10:5768–5789, 2022.</w:t>
      </w:r>
    </w:p>
    <w:p>
      <w:pPr>
        <w:spacing w:after="140" w:line="300"/>
        <w:jc w:val="both"/>
      </w:pPr>
      <w:r>
        <w:rPr>
          <w:rFonts w:ascii="Cambria" w:cs="Cambria" w:eastAsia="Cambria" w:hAnsi="Cambria"/>
          <w:sz w:val="24"/>
          <w:szCs w:val="24"/>
        </w:rPr>
        <w:t xml:space="preserve">[2] J Andrew, Deva Priya Isravel, K Martin Sagayam, Bharat Bhushan, Yuichi Sei, and Jennifer Eunice. Blockchain for healthcare systems: Architecture, security challenges, trends and future directions. Journal of Network and Computer Applications, 215:103633, 2023.</w:t>
      </w:r>
    </w:p>
    <w:p>
      <w:pPr>
        <w:spacing w:after="140" w:line="300"/>
        <w:jc w:val="both"/>
      </w:pPr>
      <w:r>
        <w:rPr>
          <w:rFonts w:ascii="Cambria" w:cs="Cambria" w:eastAsia="Cambria" w:hAnsi="Cambria"/>
          <w:sz w:val="24"/>
          <w:szCs w:val="24"/>
        </w:rPr>
        <w:t xml:space="preserve">[3] Mohammad Salar Arbabi, Chhagan Lal, Narasimha Raghavan Veeraragavan, Dusica Marijan, Jan F Nygård, and Roman Vitenberg. A survey on blockchain for healthcare: Challenges, benefits, and future directions. </w:t>
      </w:r>
      <w:r>
        <w:rPr>
          <w:rFonts w:ascii="Cambria" w:cs="Cambria" w:eastAsia="Cambria" w:hAnsi="Cambria"/>
          <w:b w:val="false"/>
          <w:bCs w:val="false"/>
          <w:sz w:val="24"/>
          <w:szCs w:val="24"/>
        </w:rPr>
        <w:t xml:space="preserve">IEEE Communications Surveys &amp; Tutorials</w:t>
      </w:r>
      <w:r>
        <w:rPr>
          <w:rFonts w:ascii="Cambria" w:cs="Cambria" w:eastAsia="Cambria" w:hAnsi="Cambria"/>
          <w:sz w:val="24"/>
          <w:szCs w:val="24"/>
        </w:rPr>
        <w:t xml:space="preserve">, 25(1):386–424,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[4] Haotian Deng, Jinwen Liang, Chuan Zhang, Ximeng Liu, Liehuang Zhu, and Song Guo. </w:t>
      </w:r>
      <w:r>
        <w:rPr>
          <w:rFonts w:ascii="Cambria" w:cs="Cambria" w:eastAsia="Cambria" w:hAnsi="Cambria"/>
          <w:color w:val="000000"/>
          <w:sz w:val="24"/>
          <w:szCs w:val="24"/>
        </w:rPr>
        <w:t xml:space="preserve">FutureDID</w:t>
      </w:r>
      <w:r>
        <w:rPr>
          <w:rFonts w:ascii="Cambria" w:cs="Cambria" w:eastAsia="Cambria" w:hAnsi="Cambria"/>
          <w:sz w:val="24"/>
          <w:szCs w:val="24"/>
        </w:rPr>
        <w:t xml:space="preserve">: A fully decentralized identity system with multi-party verification. IEEE Transactions on Computers, 73(8):2051–2065, 2024.</w:t>
      </w:r>
    </w:p>
    <w:p>
      <w:pPr>
        <w:spacing w:after="140" w:line="300"/>
        <w:jc w:val="both"/>
      </w:pPr>
      <w:r>
        <w:rPr>
          <w:rFonts w:ascii="Cambria" w:cs="Cambria" w:eastAsia="Cambria" w:hAnsi="Cambria"/>
          <w:sz w:val="24"/>
          <w:szCs w:val="24"/>
        </w:rPr>
        <w:t xml:space="preserve">[5] Andrea Flamini, Giada Sciarretta, Mario Scuro, Amir Sharif, Alessandro Tomasi, and Silvio Ranise. On cryptographic mechanisms for the selective disclosure of verifiable credentials. Journal of Information Security and Applications, 83:103789, 2024.</w:t>
      </w:r>
    </w:p>
    <w:p>
      <w:pPr>
        <w:spacing w:after="140" w:line="300"/>
        <w:jc w:val="both"/>
      </w:pPr>
      <w:r>
        <w:rPr>
          <w:rFonts w:ascii="Cambria" w:cs="Cambria" w:eastAsia="Cambria" w:hAnsi="Cambria"/>
          <w:sz w:val="24"/>
          <w:szCs w:val="24"/>
        </w:rPr>
        <w:t xml:space="preserve">[6] Abdul Ghafoor, Iraklis Symeonidis, Anna Rydberg, Cecilia Lindahl, and Abdul Qadus Abbasi. Towards empowering stakeholders through decentralized trust and secure livestock data sharing. Cryptography, 9(3):52, 2025.</w:t>
      </w:r>
    </w:p>
    <w:p>
      <w:pPr>
        <w:spacing w:after="140" w:line="300"/>
        <w:jc w:val="both"/>
      </w:pPr>
      <w:r>
        <w:rPr>
          <w:rFonts w:ascii="Cambria" w:cs="Cambria" w:eastAsia="Cambria" w:hAnsi="Cambria"/>
          <w:sz w:val="24"/>
          <w:szCs w:val="24"/>
        </w:rPr>
        <w:t xml:space="preserve">[7] Pranto Kumar Ghosh, Arindom Chakraborty, Mehedi Hasan, Khalid Rashid, and Abdul Hasib Siddique. </w:t>
      </w:r>
      <w:r>
        <w:rPr>
          <w:rFonts w:ascii="Cambria" w:cs="Cambria" w:eastAsia="Cambria" w:hAnsi="Cambria"/>
          <w:color w:val="E6007E"/>
          <w:sz w:val="24"/>
          <w:szCs w:val="24"/>
        </w:rPr>
        <w:t xml:space="preserve">Blockchain application in healthcare systems: A review.</w:t>
      </w:r>
      <w:r>
        <w:rPr>
          <w:rFonts w:ascii="Cambria" w:cs="Cambria" w:eastAsia="Cambria" w:hAnsi="Cambria"/>
          <w:sz w:val="24"/>
          <w:szCs w:val="24"/>
        </w:rPr>
        <w:t xml:space="preserve"> Systems, 11(1):38, 2023.</w:t>
      </w:r>
    </w:p>
    <w:p>
      <w:pPr>
        <w:spacing w:after="140" w:line="300"/>
        <w:jc w:val="both"/>
      </w:pPr>
      <w:r>
        <w:rPr>
          <w:rFonts w:ascii="Cambria" w:cs="Cambria" w:eastAsia="Cambria" w:hAnsi="Cambria"/>
          <w:sz w:val="24"/>
          <w:szCs w:val="24"/>
        </w:rPr>
        <w:t xml:space="preserve">[8] Remy Hellstern, Daniel C Park, Victoria Lemieux, and Guldana Salimjan. Leveraging blockchain-based archival solutions for sensitive documentation: A </w:t>
      </w:r>
      <w:r>
        <w:rPr>
          <w:rFonts w:ascii="Cambria" w:cs="Cambria" w:eastAsia="Cambria" w:hAnsi="Cambria"/>
          <w:b w:val="false"/>
          <w:bCs w:val="false"/>
          <w:sz w:val="24"/>
          <w:szCs w:val="24"/>
        </w:rPr>
        <w:t xml:space="preserve">Xinjiang</w:t>
      </w:r>
      <w:r>
        <w:rPr>
          <w:rFonts w:ascii="Cambria" w:cs="Cambria" w:eastAsia="Cambria" w:hAnsi="Cambria"/>
          <w:sz w:val="24"/>
          <w:szCs w:val="24"/>
        </w:rPr>
        <w:t xml:space="preserve"> case study. Digital Society, 1(1):4, 2022.</w:t>
      </w:r>
    </w:p>
    <w:p>
      <w:pPr>
        <w:spacing w:after="140" w:line="300"/>
        <w:jc w:val="both"/>
      </w:pPr>
      <w:r>
        <w:rPr>
          <w:rFonts w:ascii="Cambria" w:cs="Cambria" w:eastAsia="Cambria" w:hAnsi="Cambria"/>
          <w:sz w:val="24"/>
          <w:szCs w:val="24"/>
        </w:rP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 </w:t>
      </w:r>
      <w:r>
        <w:rPr>
          <w:rFonts w:ascii="Cambria" w:cs="Cambria" w:eastAsia="Cambria" w:hAnsi="Cambria"/>
          <w:b w:val="false"/>
          <w:bCs w:val="false"/>
          <w:sz w:val="24"/>
          <w:szCs w:val="24"/>
        </w:rPr>
        <w:t xml:space="preserve">BMC Nursing</w:t>
      </w:r>
      <w:r>
        <w:rPr>
          <w:rFonts w:ascii="Cambria" w:cs="Cambria" w:eastAsia="Cambria" w:hAnsi="Cambria"/>
          <w:sz w:val="24"/>
          <w:szCs w:val="24"/>
        </w:rPr>
        <w:t xml:space="preserve">, 23(1):564, 2024.</w:t>
      </w:r>
    </w:p>
    <w:p>
      <w:pPr>
        <w:spacing w:after="140" w:line="300"/>
        <w:jc w:val="both"/>
      </w:pPr>
      <w:r>
        <w:rPr>
          <w:rFonts w:ascii="Cambria" w:cs="Cambria" w:eastAsia="Cambria" w:hAnsi="Cambria"/>
          <w:sz w:val="24"/>
          <w:szCs w:val="24"/>
        </w:rPr>
        <w:t xml:space="preserve">[10] Vitor Jesus and Harshvardhan J Pandit. Consent receipts for a usable and auditable web of personal data. </w:t>
      </w:r>
      <w:r>
        <w:rPr>
          <w:rFonts w:ascii="Cambria" w:cs="Cambria" w:eastAsia="Cambria" w:hAnsi="Cambria"/>
          <w:b w:val="false"/>
          <w:bCs w:val="false"/>
          <w:sz w:val="24"/>
          <w:szCs w:val="24"/>
        </w:rPr>
        <w:t xml:space="preserve">IEEE Access</w:t>
      </w:r>
      <w:r>
        <w:rPr>
          <w:rFonts w:ascii="Cambria" w:cs="Cambria" w:eastAsia="Cambria" w:hAnsi="Cambria"/>
          <w:sz w:val="24"/>
          <w:szCs w:val="24"/>
        </w:rPr>
        <w:t xml:space="preserve">, 10:28545–28563, 2022.</w:t>
      </w:r>
    </w:p>
    <w:p>
      <w:pPr>
        <w:spacing w:after="140" w:line="300"/>
        <w:jc w:val="both"/>
      </w:pPr>
      <w:r>
        <w:rPr>
          <w:rFonts w:ascii="Cambria" w:cs="Cambria" w:eastAsia="Cambria" w:hAnsi="Cambria"/>
          <w:sz w:val="24"/>
          <w:szCs w:val="24"/>
        </w:rPr>
        <w:t xml:space="preserve">[11] Rong Jiang, Xue Chen, Yimin Yu, Ying Zhang, and Weiping Ding. Risk and </w:t>
      </w:r>
      <w:r>
        <w:rPr>
          <w:rFonts w:ascii="Cambria" w:cs="Cambria" w:eastAsia="Cambria" w:hAnsi="Cambria"/>
          <w:color w:val="000000"/>
          <w:sz w:val="24"/>
          <w:szCs w:val="24"/>
        </w:rPr>
        <w:t xml:space="preserve">UCON</w:t>
      </w:r>
      <w:r>
        <w:rPr>
          <w:rFonts w:ascii="Cambria" w:cs="Cambria" w:eastAsia="Cambria" w:hAnsi="Cambria"/>
          <w:sz w:val="24"/>
          <w:szCs w:val="24"/>
        </w:rPr>
        <w:t xml:space="preserve">-based access control model for healthcare big data. Journal of Big Data, 10(1):104, 2023.</w:t>
      </w:r>
    </w:p>
    <w:p>
      <w:pPr>
        <w:spacing w:after="140" w:line="300"/>
        <w:jc w:val="both"/>
      </w:pPr>
      <w:r>
        <w:rPr>
          <w:rFonts w:ascii="Cambria" w:cs="Cambria" w:eastAsia="Cambria" w:hAnsi="Cambria"/>
          <w:sz w:val="24"/>
          <w:szCs w:val="24"/>
        </w:rPr>
        <w:t xml:space="preserve">[12] Katya Kaplow, Max Downey, Darren Stewart, Allan B Massie, Jennifer D Motter, Lauren Taylor, John Massarelli, Taylor Matalon, Carolyn Sidoti, Macey L Levan, et al. Data professionals’ attitudes on data privacy, sharing, and consent in healthcare and research. </w:t>
      </w:r>
      <w:r>
        <w:rPr>
          <w:rFonts w:ascii="Cambria" w:cs="Cambria" w:eastAsia="Cambria" w:hAnsi="Cambria"/>
          <w:color w:val="000000"/>
          <w:sz w:val="24"/>
          <w:szCs w:val="24"/>
        </w:rPr>
        <w:t xml:space="preserve">Digital Health</w:t>
      </w:r>
      <w:r>
        <w:rPr>
          <w:rFonts w:ascii="Cambria" w:cs="Cambria" w:eastAsia="Cambria" w:hAnsi="Cambria"/>
          <w:sz w:val="24"/>
          <w:szCs w:val="24"/>
        </w:rPr>
        <w:t xml:space="preserve">, 10:20552076241290964, 2024.</w:t>
      </w:r>
    </w:p>
    <w:p>
      <w:pPr>
        <w:spacing w:after="140" w:line="300"/>
        <w:jc w:val="both"/>
      </w:pPr>
      <w:r>
        <w:rPr>
          <w:rFonts w:ascii="Cambria" w:cs="Cambria" w:eastAsia="Cambria" w:hAnsi="Cambria"/>
          <w:sz w:val="24"/>
          <w:szCs w:val="24"/>
        </w:rPr>
        <w:t xml:space="preserve">[13] Muhammad Irfan Khalid, Mansoor Ahmed, Markus Helfert, and Jungsuk Kim. Privacy-first paradigm for dynamic consent management systems: empowering data subjects through decentralized data controllers and privacy-preserving techniques. Electronics, 12(24):4973, 2023.</w:t>
      </w:r>
    </w:p>
    <w:p>
      <w:pPr>
        <w:spacing w:after="140" w:line="300"/>
        <w:jc w:val="both"/>
      </w:pPr>
      <w:r>
        <w:rPr>
          <w:rFonts w:ascii="Cambria" w:cs="Cambria" w:eastAsia="Cambria" w:hAnsi="Cambria"/>
          <w:sz w:val="24"/>
          <w:szCs w:val="24"/>
        </w:rPr>
        <w:t xml:space="preserve">[14] Alexander Kharlamov, Roland Hohmann, and </w:t>
      </w:r>
      <w:r>
        <w:rPr>
          <w:rFonts w:ascii="Cambria" w:cs="Cambria" w:eastAsia="Cambria" w:hAnsi="Cambria"/>
          <w:color w:val="000000"/>
          <w:sz w:val="24"/>
          <w:szCs w:val="24"/>
        </w:rPr>
        <w:t xml:space="preserve">Glenn</w:t>
      </w:r>
      <w:r>
        <w:rPr>
          <w:rFonts w:ascii="Cambria" w:cs="Cambria" w:eastAsia="Cambria" w:hAnsi="Cambria"/>
          <w:sz w:val="24"/>
          <w:szCs w:val="24"/>
        </w:rPr>
        <w:t xml:space="preserve"> Parry. Data sharing decisions: perceptions and intentions in healthcare. Strategic Change, 32(6):223–237, 2023.</w:t>
      </w:r>
    </w:p>
    <w:p>
      <w:pPr>
        <w:spacing w:after="140" w:line="300"/>
        <w:jc w:val="both"/>
      </w:pPr>
      <w:r>
        <w:rPr>
          <w:rFonts w:ascii="Cambria" w:cs="Cambria" w:eastAsia="Cambria" w:hAnsi="Cambria"/>
          <w:sz w:val="24"/>
          <w:szCs w:val="24"/>
        </w:rPr>
        <w:t xml:space="preserve">[15] Behnam Khayer, Siamak Mirzaei, Hooman Alavizadeh, and Ahmad Salehi Shahraki. Blockchain for secure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review of identity management, access control, and trust mechanisms. IoT, 6(4):65, 2025.</w:t>
      </w:r>
    </w:p>
    <w:p>
      <w:pPr>
        <w:spacing w:after="140" w:line="300"/>
        <w:jc w:val="both"/>
      </w:pPr>
      <w:r>
        <w:rPr>
          <w:rFonts w:ascii="Cambria" w:cs="Cambria" w:eastAsia="Cambria" w:hAnsi="Cambria"/>
          <w:sz w:val="24"/>
          <w:szCs w:val="24"/>
        </w:rPr>
        <w:t xml:space="preserve">[16] Chalima Dimitra Nassar Kyriakidou, Athanasia Maria Papathanasiou, and George C Polyzos. Decentralized identity with applications to security and privacy for the internet of things. Computer Networks and Communications, </w:t>
      </w:r>
      <w:r>
        <w:rPr>
          <w:rFonts w:ascii="Cambria" w:cs="Cambria" w:eastAsia="Cambria" w:hAnsi="Cambria"/>
          <w:b w:val="false"/>
          <w:bCs w:val="false"/>
          <w:sz w:val="24"/>
          <w:szCs w:val="24"/>
        </w:rPr>
        <w:t xml:space="preserve">1(2):</w:t>
      </w:r>
      <w:r>
        <w:rPr>
          <w:rFonts w:ascii="Cambria" w:cs="Cambria" w:eastAsia="Cambria" w:hAnsi="Cambria"/>
          <w:sz w:val="24"/>
          <w:szCs w:val="24"/>
        </w:rPr>
        <w:t xml:space="preserve">244–271, 2023.</w:t>
      </w:r>
    </w:p>
    <w:p>
      <w:pPr>
        <w:spacing w:after="140" w:line="300"/>
        <w:jc w:val="both"/>
      </w:pPr>
      <w:r>
        <w:rPr>
          <w:rFonts w:ascii="Cambria" w:cs="Cambria" w:eastAsia="Cambria" w:hAnsi="Cambria"/>
          <w:sz w:val="24"/>
          <w:szCs w:val="24"/>
        </w:rPr>
        <w:t xml:space="preserve">[17] Lanlan Li, Charles Z Liu, Kejia Huang, Ruiyi Deng, Majed Abdullah Alrowaily, Mansoor Alghamdi, Ibrahim S Alkhazi, and Malek Alrashidi. Trust-aware environmental state consensus for smart agriculture with </w:t>
      </w:r>
      <w:r>
        <w:rPr>
          <w:rFonts w:ascii="Cambria" w:cs="Cambria" w:eastAsia="Cambria" w:hAnsi="Cambria"/>
          <w:color w:val="000000"/>
          <w:sz w:val="24"/>
          <w:szCs w:val="24"/>
        </w:rPr>
        <w:t xml:space="preserve">TEE</w:t>
      </w:r>
      <w:r>
        <w:rPr>
          <w:rFonts w:ascii="Cambria" w:cs="Cambria" w:eastAsia="Cambria" w:hAnsi="Cambria"/>
          <w:sz w:val="24"/>
          <w:szCs w:val="24"/>
        </w:rPr>
        <w:t xml:space="preserve">-enabled sensing and </w:t>
      </w:r>
      <w:r>
        <w:rPr>
          <w:rFonts w:ascii="Cambria" w:cs="Cambria" w:eastAsia="Cambria" w:hAnsi="Cambria"/>
          <w:color w:val="000000"/>
          <w:sz w:val="24"/>
          <w:szCs w:val="24"/>
        </w:rPr>
        <w:t xml:space="preserve">Byzantine</w:t>
      </w:r>
      <w:r>
        <w:rPr>
          <w:rFonts w:ascii="Cambria" w:cs="Cambria" w:eastAsia="Cambria" w:hAnsi="Cambria"/>
          <w:sz w:val="24"/>
          <w:szCs w:val="24"/>
        </w:rPr>
        <w:t xml:space="preserve">-resilient blockchain coordination. Sensors, 26(14):4577, 2026.</w:t>
      </w:r>
    </w:p>
    <w:p>
      <w:pPr>
        <w:spacing w:after="140" w:line="300"/>
        <w:jc w:val="both"/>
      </w:pPr>
      <w:r>
        <w:rPr>
          <w:rFonts w:ascii="Cambria" w:cs="Cambria" w:eastAsia="Cambria" w:hAnsi="Cambria"/>
          <w:sz w:val="24"/>
          <w:szCs w:val="24"/>
        </w:rPr>
        <w:t xml:space="preserve">[18] Lanlan Li, Charles Z Liu, and Sanjeeb Shrestha. Analytical entropy approach for measuring blockchain immutability and tamper-resilient trust. Entropy, 28(6):690, 2026.</w:t>
      </w:r>
    </w:p>
    <w:p>
      <w:pPr>
        <w:spacing w:after="140" w:line="300"/>
        <w:jc w:val="both"/>
      </w:pPr>
      <w:r>
        <w:rPr>
          <w:rFonts w:ascii="Cambria" w:cs="Cambria" w:eastAsia="Cambria" w:hAnsi="Cambria"/>
          <w:sz w:val="24"/>
          <w:szCs w:val="24"/>
        </w:rPr>
        <w:t xml:space="preserve">[19] Richard K Lomotey, Sandra Kumi, and Ralph Deters. Data trusts as a service: Providing a platform for multi-party data sharing. International Journal of Information Management Data Insights, 2(1):100075, 2022.</w:t>
      </w:r>
    </w:p>
    <w:p>
      <w:pPr>
        <w:spacing w:after="140" w:line="300"/>
        <w:jc w:val="both"/>
      </w:pPr>
      <w:r>
        <w:rPr>
          <w:rFonts w:ascii="Cambria" w:cs="Cambria" w:eastAsia="Cambria" w:hAnsi="Cambria"/>
          <w:sz w:val="24"/>
          <w:szCs w:val="24"/>
        </w:rPr>
        <w:t xml:space="preserve">[20] Carlo Mazzocca, Abbas Acar, Selcuk Uluagac, Rebecca Montanari, Paolo Bellavista, and Mauro Conti. A survey on decentralized identifiers and verifiable credentials. IEEE Communications Surveys &amp; Tutorials, </w:t>
      </w:r>
      <w:r>
        <w:rPr>
          <w:rFonts w:ascii="Cambria" w:cs="Cambria" w:eastAsia="Cambria" w:hAnsi="Cambria"/>
          <w:color w:val="000000"/>
          <w:sz w:val="24"/>
          <w:szCs w:val="24"/>
        </w:rPr>
        <w:t xml:space="preserve">27:3641–3671,</w:t>
      </w:r>
      <w:r>
        <w:rPr>
          <w:rFonts w:ascii="Cambria" w:cs="Cambria" w:eastAsia="Cambria" w:hAnsi="Cambria"/>
          <w:sz w:val="24"/>
          <w:szCs w:val="24"/>
        </w:rPr>
        <w:t xml:space="preserve"> 2025.</w:t>
      </w:r>
    </w:p>
    <w:p>
      <w:pPr>
        <w:spacing w:after="140" w:line="300"/>
        <w:jc w:val="both"/>
      </w:pPr>
      <w:r>
        <w:rPr>
          <w:rFonts w:ascii="Cambria" w:cs="Cambria" w:eastAsia="Cambria" w:hAnsi="Cambria"/>
          <w:sz w:val="24"/>
          <w:szCs w:val="24"/>
        </w:rPr>
        <w:t xml:space="preserve">[21] </w:t>
      </w:r>
      <w:r>
        <w:rPr>
          <w:rFonts w:ascii="Cambria" w:cs="Cambria" w:eastAsia="Cambria" w:hAnsi="Cambria"/>
          <w:color w:val="000000"/>
          <w:sz w:val="24"/>
          <w:szCs w:val="24"/>
        </w:rPr>
        <w:t xml:space="preserve">Cindy Welzel, Max Ostermann, Hannah Louise Smith, Timo Minssen, Toralf Kirsten, and Stephen Gilbert. Enabling secure and self determined health data sharing and consent management. npj Digital Medicine, 8(1):560, 2025.</w:t>
      </w:r>
    </w:p>
    <w:p>
      <w:pPr>
        <w:spacing w:after="140" w:line="300"/>
        <w:jc w:val="both"/>
      </w:pPr>
      <w:r>
        <w:rPr>
          <w:rFonts w:ascii="Cambria" w:cs="Cambria" w:eastAsia="Cambria" w:hAnsi="Cambria"/>
          <w:sz w:val="24"/>
          <w:szCs w:val="24"/>
        </w:rPr>
        <w:t xml:space="preserve">[22] Roy McClelland and Colin M Harper. </w:t>
      </w:r>
      <w:r>
        <w:rPr>
          <w:rFonts w:ascii="Cambria" w:cs="Cambria" w:eastAsia="Cambria" w:hAnsi="Cambria"/>
          <w:color w:val="E6007E"/>
          <w:sz w:val="24"/>
          <w:szCs w:val="24"/>
        </w:rPr>
        <w:t xml:space="preserve">Information privacy in healthcare: The vital role of informed consent.</w:t>
      </w:r>
      <w:r>
        <w:rPr>
          <w:rFonts w:ascii="Cambria" w:cs="Cambria" w:eastAsia="Cambria" w:hAnsi="Cambria"/>
          <w:sz w:val="24"/>
          <w:szCs w:val="24"/>
        </w:rPr>
        <w:t xml:space="preserve"> </w:t>
      </w:r>
      <w:r>
        <w:rPr>
          <w:rFonts w:ascii="Cambria" w:cs="Cambria" w:eastAsia="Cambria" w:hAnsi="Cambria"/>
          <w:b w:val="false"/>
          <w:bCs w:val="false"/>
          <w:sz w:val="24"/>
          <w:szCs w:val="24"/>
        </w:rPr>
        <w:t xml:space="preserve">European Journal of Health Law</w:t>
      </w:r>
      <w:r>
        <w:rPr>
          <w:rFonts w:ascii="Cambria" w:cs="Cambria" w:eastAsia="Cambria" w:hAnsi="Cambria"/>
          <w:sz w:val="24"/>
          <w:szCs w:val="24"/>
        </w:rPr>
        <w:t xml:space="preserve">, 30(4):469–480,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[23] Jämes Ménétrey, Christian Göttel, Anum Khurshid, Marcelo Pasin, Pascal Felber, Valerio Schiavoni, and Shahid Raza. Attestation mechanisms for trusted execution environments demystified. In IFIP International Conference on Distributed Applications and Interoperable Systems, pages 95–113. Springer, 2022.</w:t>
      </w:r>
    </w:p>
    <w:p>
      <w:pPr>
        <w:spacing w:after="140" w:line="300"/>
        <w:jc w:val="both"/>
      </w:pPr>
      <w:r>
        <w:rPr>
          <w:rFonts w:ascii="Cambria" w:cs="Cambria" w:eastAsia="Cambria" w:hAnsi="Cambria"/>
          <w:sz w:val="24"/>
          <w:szCs w:val="24"/>
        </w:rPr>
        <w:t xml:space="preserve">[24] Minal R Narkhede, Nilesh I Wankhede, and Akanksha M Kamble. </w:t>
      </w:r>
      <w:r>
        <w:rPr>
          <w:rFonts w:ascii="Cambria" w:cs="Cambria" w:eastAsia="Cambria" w:hAnsi="Cambria"/>
          <w:color w:val="E6007E"/>
          <w:sz w:val="24"/>
          <w:szCs w:val="24"/>
        </w:rPr>
        <w:t xml:space="preserve">Enhancing patient autonomy in data ownership: Privacy models and consent frameworks for healthcare.</w:t>
      </w:r>
      <w:r>
        <w:rPr>
          <w:rFonts w:ascii="Cambria" w:cs="Cambria" w:eastAsia="Cambria" w:hAnsi="Cambria"/>
          <w:sz w:val="24"/>
          <w:szCs w:val="24"/>
        </w:rPr>
        <w:t xml:space="preserve"> Journal of Digital Health, </w:t>
      </w:r>
      <w:r>
        <w:rPr>
          <w:rFonts w:ascii="Cambria" w:cs="Cambria" w:eastAsia="Cambria" w:hAnsi="Cambria"/>
          <w:color w:val="000000"/>
          <w:sz w:val="24"/>
          <w:szCs w:val="24"/>
        </w:rPr>
        <w:t xml:space="preserve">4(1):</w:t>
      </w:r>
      <w:r>
        <w:rPr>
          <w:rFonts w:ascii="Cambria" w:cs="Cambria" w:eastAsia="Cambria" w:hAnsi="Cambria"/>
          <w:sz w:val="24"/>
          <w:szCs w:val="24"/>
        </w:rPr>
        <w:t xml:space="preserve">1–23, 2025.</w:t>
      </w:r>
    </w:p>
    <w:p>
      <w:pPr>
        <w:spacing w:after="140" w:line="300"/>
        <w:jc w:val="both"/>
      </w:pPr>
      <w:r>
        <w:rPr>
          <w:rFonts w:ascii="Cambria" w:cs="Cambria" w:eastAsia="Cambria" w:hAnsi="Cambria"/>
          <w:sz w:val="24"/>
          <w:szCs w:val="24"/>
        </w:rPr>
        <w:t xml:space="preserve">[25] Aleena Nazir, Mubashir Husain Rehmani, Bernard Butler, and Donna O’Shea. Access control in healthcare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comprehensive survey. Engineering Reports, 8(4):e70766, 2026.</w:t>
      </w:r>
    </w:p>
    <w:p>
      <w:pPr>
        <w:spacing w:after="140" w:line="300"/>
        <w:jc w:val="both"/>
      </w:pPr>
      <w:r>
        <w:rPr>
          <w:rFonts w:ascii="Cambria" w:cs="Cambria" w:eastAsia="Cambria" w:hAnsi="Cambria"/>
          <w:sz w:val="24"/>
          <w:szCs w:val="24"/>
        </w:rPr>
        <w:t xml:space="preserve">[26] Thanh Linh Nguyen, Lam Nguyen, Thong Hoang, Dilum Bandara, Qin Wang, Qinghua Lu, Xiwei Xu, Liming Zhu, and Shiping Chen. Blockchain-empowered trustworthy data sharing: Fundamentals, applications, and challenges. ACM Computing Surveys, 57(8):1–36, 2025.</w:t>
      </w:r>
    </w:p>
    <w:p>
      <w:pPr>
        <w:spacing w:after="140" w:line="300"/>
        <w:jc w:val="both"/>
      </w:pPr>
      <w:r>
        <w:rPr>
          <w:rFonts w:ascii="Cambria" w:cs="Cambria" w:eastAsia="Cambria" w:hAnsi="Cambria"/>
          <w:sz w:val="24"/>
          <w:szCs w:val="24"/>
        </w:rPr>
        <w:t xml:space="preserve">[27] Rohini Poolat Parameswarath, Prosanta Gope, and Biplab Sikdar. User-empowered privacy-preserving authentication protocol for electric vehicle charging based on decentralized identity and verifiable credential. </w:t>
      </w:r>
      <w:r>
        <w:rPr>
          <w:rFonts w:ascii="Cambria" w:cs="Cambria" w:eastAsia="Cambria" w:hAnsi="Cambria"/>
          <w:color w:val="E6007E"/>
          <w:sz w:val="24"/>
          <w:szCs w:val="24"/>
        </w:rPr>
        <w:t xml:space="preserve">ACM Transactions on Management Information Systems, 13(4):1–21, 2022.</w:t>
      </w:r>
    </w:p>
    <w:p>
      <w:pPr>
        <w:spacing w:after="140" w:line="300"/>
        <w:jc w:val="both"/>
      </w:pPr>
      <w:r>
        <w:rPr>
          <w:rFonts w:ascii="Cambria" w:cs="Cambria" w:eastAsia="Cambria" w:hAnsi="Cambria"/>
          <w:sz w:val="24"/>
          <w:szCs w:val="24"/>
        </w:rPr>
        <w:t xml:space="preserve">[28] Ahmed M Tawfik, Ayman Al-Ahwal, Adly S Tag Eldien, and Hala H Zayed. </w:t>
      </w:r>
      <w:r>
        <w:rPr>
          <w:rFonts w:ascii="Cambria" w:cs="Cambria" w:eastAsia="Cambria" w:hAnsi="Cambria"/>
          <w:color w:val="E6007E"/>
          <w:sz w:val="24"/>
          <w:szCs w:val="24"/>
        </w:rPr>
        <w:t xml:space="preserve">Blockchain-based access control and privacy preservation in healthcare: A comprehensive survey.</w:t>
      </w:r>
      <w:r>
        <w:rPr>
          <w:rFonts w:ascii="Cambria" w:cs="Cambria" w:eastAsia="Cambria" w:hAnsi="Cambria"/>
          <w:sz w:val="24"/>
          <w:szCs w:val="24"/>
        </w:rPr>
        <w:t xml:space="preserve"> Cluster Computing, 28(8):529, 2025.</w:t>
      </w:r>
    </w:p>
    <w:p>
      <w:pPr>
        <w:spacing w:after="140" w:line="300"/>
        <w:jc w:val="both"/>
      </w:pPr>
      <w:r>
        <w:rPr>
          <w:rFonts w:ascii="Cambria" w:cs="Cambria" w:eastAsia="Cambria" w:hAnsi="Cambria"/>
          <w:sz w:val="24"/>
          <w:szCs w:val="24"/>
        </w:rPr>
        <w:t xml:space="preserve">[29] Leonidas Theodorakopoulos, Alexandra Theodoropoulou, and Constantinos Halkiopoulos. Enhancing decentralized decision-making with big data and blockchain technology: A comprehensive review. Applied Sciences, 14(16):7007, 2024.</w:t>
      </w:r>
    </w:p>
    <w:p>
      <w:pPr>
        <w:spacing w:after="140" w:line="300"/>
        <w:jc w:val="both"/>
      </w:pPr>
      <w:r>
        <w:rPr>
          <w:rFonts w:ascii="Cambria" w:cs="Cambria" w:eastAsia="Cambria" w:hAnsi="Cambria"/>
          <w:sz w:val="24"/>
          <w:szCs w:val="24"/>
        </w:rPr>
        <w:t xml:space="preserve">[30] Mohammad Nawab Turan, Irshad Ahmed Hashimzai, and Mohammad Qaseem Qiam. A blockchain-based framework for secure and transparent environmental data sharing in smart cities: Enhancing trust, integrity, and interoperability in urban sustainability systems. Nata Palemahan: Journal of Environmental Engineering Innovations, 2(2):70–79, 2025.</w:t>
      </w:r>
    </w:p>
    <w:p>
      <w:pPr>
        <w:spacing w:after="140" w:line="300"/>
        <w:jc w:val="both"/>
      </w:pPr>
      <w:r>
        <w:rPr>
          <w:rFonts w:ascii="Cambria" w:cs="Cambria" w:eastAsia="Cambria" w:hAnsi="Cambria"/>
          <w:sz w:val="24"/>
          <w:szCs w:val="24"/>
        </w:rPr>
        <w:t xml:space="preserve">[31] Emily C Webber, David Brick, James P Scibilia, Peter Dehnel, Council on Clinical Information Technology, et al. Electronic communication of the health record and information with pediatric patients and their guardians. </w:t>
      </w:r>
      <w:r>
        <w:rPr>
          <w:rFonts w:ascii="Cambria" w:cs="Cambria" w:eastAsia="Cambria" w:hAnsi="Cambria"/>
          <w:b w:val="false"/>
          <w:bCs w:val="false"/>
          <w:sz w:val="24"/>
          <w:szCs w:val="24"/>
        </w:rPr>
        <w:t xml:space="preserve">Pediatrics, 144(1):e20191359, 2019</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[32] Hongjian Yin, Yiming Zhao, Lei Zhang, Baojun Qiao, Wenbo Chen, and Huaqing Wang. Attribute-based searchable encryption with decentralized key management for healthcare data sharing. </w:t>
      </w:r>
      <w:r>
        <w:rPr>
          <w:rFonts w:ascii="Cambria" w:cs="Cambria" w:eastAsia="Cambria" w:hAnsi="Cambria"/>
          <w:b w:val="false"/>
          <w:bCs w:val="false"/>
          <w:sz w:val="24"/>
          <w:szCs w:val="24"/>
        </w:rPr>
        <w:t xml:space="preserve">Journal of Systems Architecture</w:t>
      </w:r>
      <w:r>
        <w:rPr>
          <w:rFonts w:ascii="Cambria" w:cs="Cambria" w:eastAsia="Cambria" w:hAnsi="Cambria"/>
          <w:sz w:val="24"/>
          <w:szCs w:val="24"/>
        </w:rPr>
        <w:t xml:space="preserve">, 148:103081, 2024.</w:t>
      </w:r>
    </w:p>
    <w:p>
      <w:pPr>
        <w:spacing w:after="140" w:line="300"/>
        <w:jc w:val="both"/>
      </w:pPr>
      <w:r>
        <w:rPr>
          <w:rFonts w:ascii="Cambria" w:cs="Cambria" w:eastAsia="Cambria" w:hAnsi="Cambria"/>
          <w:sz w:val="24"/>
          <w:szCs w:val="24"/>
        </w:rPr>
        <w:t xml:space="preserve">[33] Jie Yin, Yang Xiao, Qian Chen, Xuefeng Liu, Qingqi Pei, Jianying Zhou, et al. </w:t>
      </w:r>
      <w:r>
        <w:rPr>
          <w:rFonts w:ascii="Cambria" w:cs="Cambria" w:eastAsia="Cambria" w:hAnsi="Cambria"/>
          <w:color w:val="000000"/>
          <w:sz w:val="24"/>
          <w:szCs w:val="24"/>
        </w:rPr>
        <w:t xml:space="preserve">DP-DID</w:t>
      </w:r>
      <w:r>
        <w:rPr>
          <w:rFonts w:ascii="Cambria" w:cs="Cambria" w:eastAsia="Cambria" w:hAnsi="Cambria"/>
          <w:sz w:val="24"/>
          <w:szCs w:val="24"/>
        </w:rPr>
        <w:t xml:space="preserve">: A dynamic and proactive decentralized identity system. IEEE Transactions on Information Forensics and Security, </w:t>
      </w:r>
      <w:r>
        <w:rPr>
          <w:rFonts w:ascii="Cambria" w:cs="Cambria" w:eastAsia="Cambria" w:hAnsi="Cambria"/>
          <w:b w:val="false"/>
          <w:bCs w:val="false"/>
          <w:sz w:val="24"/>
          <w:szCs w:val="24"/>
        </w:rPr>
        <w:t xml:space="preserve">20:</w:t>
      </w:r>
      <w:r>
        <w:rPr>
          <w:rFonts w:ascii="Cambria" w:cs="Cambria" w:eastAsia="Cambria" w:hAnsi="Cambria"/>
          <w:sz w:val="24"/>
          <w:szCs w:val="24"/>
        </w:rPr>
        <w:t xml:space="preserve">4999–5014, 2025.</w:t>
      </w:r>
    </w:p>
    <w:p>
      <w:pPr>
        <w:spacing w:after="140" w:line="300"/>
        <w:jc w:val="both"/>
      </w:pPr>
      <w:r>
        <w:rPr>
          <w:rFonts w:ascii="Cambria" w:cs="Cambria" w:eastAsia="Cambria" w:hAnsi="Cambria"/>
          <w:sz w:val="24"/>
          <w:szCs w:val="24"/>
        </w:rPr>
        <w:t xml:space="preserve">[34] </w:t>
      </w:r>
      <w:r>
        <w:rPr>
          <w:rFonts w:ascii="Cambria" w:cs="Cambria" w:eastAsia="Cambria" w:hAnsi="Cambria"/>
          <w:color w:val="000000"/>
          <w:sz w:val="24"/>
          <w:szCs w:val="24"/>
        </w:rPr>
        <w:t xml:space="preserve">Matthew J Page, Joanne E McKenzie, Patrick M Bossuyt, Isabelle Boutron, Tammy C Hoffmann, Cynthia D Mulrow, et al. The PRISMA 2020 statement: an updated guideline for reporting systematic reviews. BMJ, 372:n71, 2021.</w:t>
      </w:r>
    </w:p>
    <w:p>
      <w:pPr>
        <w:spacing w:after="140" w:line="300"/>
        <w:jc w:val="both"/>
      </w:pPr>
      <w:r>
        <w:rPr>
          <w:rFonts w:ascii="Cambria" w:cs="Cambria" w:eastAsia="Cambria" w:hAnsi="Cambria"/>
          <w:color w:val="0000CC"/>
          <w:sz w:val="24"/>
          <w:szCs w:val="24"/>
        </w:rPr>
        <w:t xml:space="preserve">[35] A. Abbasi, M. N. Humeidi, and Q. Wang. Nexa: Enabling Secure, Scalable, and Decentralized Management of Electronic Health Records Using Threshold Cryptography and Public Blockchains. IEEE Access, 2026. doi:10.1109/ACCESS.2026.3677499</w:t>
      </w:r>
    </w:p>
    <w:p>
      <w:pPr>
        <w:spacing w:after="140" w:line="300"/>
        <w:jc w:val="both"/>
      </w:pPr>
      <w:r>
        <w:rPr>
          <w:rFonts w:ascii="Cambria" w:cs="Cambria" w:eastAsia="Cambria" w:hAnsi="Cambria"/>
          <w:color w:val="0000CC"/>
          <w:sz w:val="24"/>
          <w:szCs w:val="24"/>
        </w:rPr>
        <w:t xml:space="preserve">[36] S. Akter and T. F. Sanam. A Blockchain Framework for Secure Healthcare Data Management Using Role-Based Access Control and Smart Contracts. 2025 International Conference on Electrical, Computer and Communication Engineering (ECCE), 2025. doi:10.1109/ECCE64574.2025.11013162</w:t>
      </w:r>
    </w:p>
    <w:p>
      <w:pPr>
        <w:spacing w:after="140" w:line="300"/>
        <w:jc w:val="both"/>
      </w:pPr>
      <w:r>
        <w:rPr>
          <w:rFonts w:ascii="Cambria" w:cs="Cambria" w:eastAsia="Cambria" w:hAnsi="Cambria"/>
          <w:color w:val="0000CC"/>
          <w:sz w:val="24"/>
          <w:szCs w:val="24"/>
        </w:rPr>
        <w:t xml:space="preserve">[37] F. Albalwy, A. Brass, and A. Davies. A Blockchain-based dynamic consent architecture to support clinical genomic data sharing (ConsentChain): Proof-of-concept study. JMIR Medical Informatics, 2021. doi:10.2196/27816</w:t>
      </w:r>
    </w:p>
    <w:p>
      <w:pPr>
        <w:spacing w:after="140" w:line="300"/>
        <w:jc w:val="both"/>
      </w:pPr>
      <w:r>
        <w:rPr>
          <w:rFonts w:ascii="Cambria" w:cs="Cambria" w:eastAsia="Cambria" w:hAnsi="Cambria"/>
          <w:color w:val="0000CC"/>
          <w:sz w:val="24"/>
          <w:szCs w:val="24"/>
        </w:rPr>
        <w:t xml:space="preserve">[38] M. Al Amin, A. Altarawneh, and I. Ray. Informed Consent as Patient Driven Policy for Clinical Diagnosis and Treatment: A Smart Contract Based Approach. Proceedings of the International Conference on Security and Cryptography, 2023. doi:10.5220/0012090600003555</w:t>
      </w:r>
    </w:p>
    <w:p>
      <w:pPr>
        <w:spacing w:after="140" w:line="300"/>
        <w:jc w:val="both"/>
      </w:pPr>
      <w:r>
        <w:rPr>
          <w:rFonts w:ascii="Cambria" w:cs="Cambria" w:eastAsia="Cambria" w:hAnsi="Cambria"/>
          <w:color w:val="0000CC"/>
          <w:sz w:val="24"/>
          <w:szCs w:val="24"/>
        </w:rPr>
        <w:t xml:space="preserve">[39] G. Bhalerao. Decentralized Cryptographic Governance for Cloud-Based Medical Record Infrastructure: A Distributed Ledger Framework for Cyber-Resilient Healthcare Data Sovereignty. 2026 2nd International Conference on Emerging and Intelligent Technologies and Systems (EITS), 2026. doi:10.1109/EITS70066.2026.11609600</w:t>
      </w:r>
    </w:p>
    <w:p>
      <w:pPr>
        <w:spacing w:after="140" w:line="300"/>
        <w:jc w:val="both"/>
      </w:pPr>
      <w:r>
        <w:rPr>
          <w:rFonts w:ascii="Cambria" w:cs="Cambria" w:eastAsia="Cambria" w:hAnsi="Cambria"/>
          <w:color w:val="0000CC"/>
          <w:sz w:val="24"/>
          <w:szCs w:val="24"/>
        </w:rPr>
        <w:t xml:space="preserve">[40] S. Cao, L. Han, G. Liu, T. Zhang, X. Zhang, and X. Yang. A Privacy Set Intersection Protocol for Medical Data Security Sharing. 2025 IEEE International Conference on Big Data (BigData), 2025. doi:10.1109/BigData66926.2025.11402158</w:t>
      </w:r>
    </w:p>
    <w:p>
      <w:pPr>
        <w:spacing w:after="140" w:line="300"/>
        <w:jc w:val="both"/>
      </w:pPr>
      <w:r>
        <w:rPr>
          <w:rFonts w:ascii="Cambria" w:cs="Cambria" w:eastAsia="Cambria" w:hAnsi="Cambria"/>
          <w:color w:val="0000CC"/>
          <w:sz w:val="24"/>
          <w:szCs w:val="24"/>
        </w:rPr>
        <w:t xml:space="preserve">[41] S. Chockalingam, S. Pirbhulal, and H. Abie. Improving Security and Privacy of Cognitive Digital Twins Through Dynamic Consent for Healthcare and Resilient Societies. Lecture Notes in Computer Science, 2026. doi:10.1007/978-3-032-12801-0_20</w:t>
      </w:r>
    </w:p>
    <w:p>
      <w:pPr>
        <w:spacing w:after="140" w:line="300"/>
        <w:jc w:val="both"/>
      </w:pPr>
      <w:r>
        <w:rPr>
          <w:rFonts w:ascii="Cambria" w:cs="Cambria" w:eastAsia="Cambria" w:hAnsi="Cambria"/>
          <w:color w:val="0000CC"/>
          <w:sz w:val="24"/>
          <w:szCs w:val="24"/>
        </w:rPr>
        <w:t xml:space="preserve">[42] </w:t>
      </w:r>
      <w:r>
        <w:rPr>
          <w:rFonts w:ascii="Cambria" w:cs="Cambria" w:eastAsia="Cambria" w:hAnsi="Cambria"/>
          <w:color w:val="E6007E"/>
          <w:sz w:val="24"/>
          <w:szCs w:val="24"/>
        </w:rPr>
        <w:t xml:space="preserve">J. A. Dhanraj, P. Dhongle, R. Tamilamuthan, M. Lakshmanan, N. Ashtankar, and S. R. Hole.</w:t>
      </w:r>
      <w:r>
        <w:rPr>
          <w:rFonts w:ascii="Cambria" w:cs="Cambria" w:eastAsia="Cambria" w:hAnsi="Cambria"/>
          <w:color w:val="0000CC"/>
          <w:sz w:val="24"/>
          <w:szCs w:val="24"/>
        </w:rPr>
        <w:t xml:space="preserve"> Blockchain-Augmented Federated Learning for Secure and Healthcare Diagnosis from Distributed Electronic Health Records. 2026 1st International Conference on Emerging Trends in Advancements and Applications of Computational Intelligence Tech, 2026. doi:10.1109/ETAACT69135.2026.11541890</w:t>
      </w:r>
    </w:p>
    <w:p>
      <w:pPr>
        <w:spacing w:after="140" w:line="300"/>
        <w:jc w:val="both"/>
      </w:pPr>
      <w:r>
        <w:rPr>
          <w:rFonts w:ascii="Cambria" w:cs="Cambria" w:eastAsia="Cambria" w:hAnsi="Cambria"/>
          <w:color w:val="0000CC"/>
          <w:sz w:val="24"/>
          <w:szCs w:val="24"/>
        </w:rPr>
        <w:t xml:space="preserve">[43] </w:t>
      </w:r>
      <w:r>
        <w:rPr>
          <w:rFonts w:ascii="Cambria" w:cs="Cambria" w:eastAsia="Cambria" w:hAnsi="Cambria"/>
          <w:color w:val="E6007E"/>
          <w:sz w:val="24"/>
          <w:szCs w:val="24"/>
        </w:rPr>
        <w:t xml:space="preserve">K. Ekholm, A. Augustinsson, J. Sundström, C. Johansen, M. Storgärds, L. Ljöstad, et al.</w:t>
      </w:r>
      <w:r>
        <w:rPr>
          <w:rFonts w:ascii="Cambria" w:cs="Cambria" w:eastAsia="Cambria" w:hAnsi="Cambria"/>
          <w:color w:val="0000CC"/>
          <w:sz w:val="24"/>
          <w:szCs w:val="24"/>
        </w:rPr>
        <w:t xml:space="preserve"> Implementing electronic informed consent in rare disease genomics. </w:t>
      </w:r>
      <w:r>
        <w:rPr>
          <w:rFonts w:ascii="Cambria" w:cs="Cambria" w:eastAsia="Cambria" w:hAnsi="Cambria"/>
          <w:color w:val="E6007E"/>
          <w:sz w:val="24"/>
          <w:szCs w:val="24"/>
        </w:rPr>
        <w:t xml:space="preserve">Scientific Reports, 2025.</w:t>
      </w:r>
      <w:r>
        <w:rPr>
          <w:rFonts w:ascii="Cambria" w:cs="Cambria" w:eastAsia="Cambria" w:hAnsi="Cambria"/>
          <w:color w:val="0000CC"/>
          <w:sz w:val="24"/>
          <w:szCs w:val="24"/>
        </w:rPr>
        <w:t xml:space="preserve"> doi:10.1038/s41598-025-32740-1</w:t>
      </w:r>
    </w:p>
    <w:p>
      <w:pPr>
        <w:spacing w:after="140" w:line="300"/>
        <w:jc w:val="both"/>
      </w:pPr>
      <w:r>
        <w:rPr>
          <w:rFonts w:ascii="Cambria" w:cs="Cambria" w:eastAsia="Cambria" w:hAnsi="Cambria"/>
          <w:color w:val="0000CC"/>
          <w:sz w:val="24"/>
          <w:szCs w:val="24"/>
        </w:rPr>
        <w:t xml:space="preserve">[44] A. U. Eneh, L. A. C. Ahakonye, J. M. Lee, and D. -S. Kim. Demo: EdgeConsent: On-Chain Attribute-Based Access Control for Data Consent Management. 2026 IEEE International Conference on Blockchain and Cryptocurrency (ICBC), 2026. doi:10.1109/ICBC67748.2026.11575534</w:t>
      </w:r>
    </w:p>
    <w:p>
      <w:pPr>
        <w:spacing w:after="140" w:line="300"/>
        <w:jc w:val="both"/>
      </w:pPr>
      <w:r>
        <w:rPr>
          <w:rFonts w:ascii="Cambria" w:cs="Cambria" w:eastAsia="Cambria" w:hAnsi="Cambria"/>
          <w:color w:val="0000CC"/>
          <w:sz w:val="24"/>
          <w:szCs w:val="24"/>
        </w:rPr>
        <w:t xml:space="preserve">[45] J. C. Ferreira, R. Correia, L. Rosário, and A. Vila. Blockchain Integration for Trust and Consent Management in MCP-Enabled FHIR Systems. 2025 IEEE International Conference on Distributed Ledger Technologies (ICDLT), 2025. doi:10.1109/ICDLT66400.2025.11466653</w:t>
      </w:r>
    </w:p>
    <w:p>
      <w:pPr>
        <w:spacing w:after="140" w:line="300"/>
        <w:jc w:val="both"/>
      </w:pPr>
      <w:r>
        <w:rPr>
          <w:rFonts w:ascii="Cambria" w:cs="Cambria" w:eastAsia="Cambria" w:hAnsi="Cambria"/>
          <w:color w:val="0000CC"/>
          <w:sz w:val="24"/>
          <w:szCs w:val="24"/>
        </w:rPr>
        <w:t xml:space="preserve">[46] D. Ghosh, A.K. Das, S. Prajapat, and B. Sikdar. Blockchain-Enabled Hybrid Quantum-Safe Attribute-Based Access Control Scheme with Attribute Revocation Strategy for Smart Healthcare System. </w:t>
      </w:r>
      <w:r>
        <w:rPr>
          <w:rFonts w:ascii="Cambria" w:cs="Cambria" w:eastAsia="Cambria" w:hAnsi="Cambria"/>
          <w:color w:val="E6007E"/>
          <w:sz w:val="24"/>
          <w:szCs w:val="24"/>
        </w:rPr>
        <w:t xml:space="preserve">Distributed Ledger Technologies: Research and Practice, 2026.</w:t>
      </w:r>
      <w:r>
        <w:rPr>
          <w:rFonts w:ascii="Cambria" w:cs="Cambria" w:eastAsia="Cambria" w:hAnsi="Cambria"/>
          <w:color w:val="0000CC"/>
          <w:sz w:val="24"/>
          <w:szCs w:val="24"/>
        </w:rPr>
        <w:t xml:space="preserve"> doi:10.1145/3827623</w:t>
      </w:r>
    </w:p>
    <w:p>
      <w:pPr>
        <w:spacing w:after="140" w:line="300"/>
        <w:jc w:val="both"/>
      </w:pPr>
      <w:r>
        <w:rPr>
          <w:rFonts w:ascii="Cambria" w:cs="Cambria" w:eastAsia="Cambria" w:hAnsi="Cambria"/>
          <w:color w:val="0000CC"/>
          <w:sz w:val="24"/>
          <w:szCs w:val="24"/>
        </w:rPr>
        <w:t xml:space="preserve">[47] </w:t>
      </w:r>
      <w:r>
        <w:rPr>
          <w:rFonts w:ascii="Cambria" w:cs="Cambria" w:eastAsia="Cambria" w:hAnsi="Cambria"/>
          <w:color w:val="E6007E"/>
          <w:sz w:val="24"/>
          <w:szCs w:val="24"/>
        </w:rPr>
        <w:t xml:space="preserve">J. Hagström, M. Hägglund, M. Holmroos, P. Lähteenmäki, and I. Hörhammer.</w:t>
      </w:r>
      <w:r>
        <w:rPr>
          <w:rFonts w:ascii="Cambria" w:cs="Cambria" w:eastAsia="Cambria" w:hAnsi="Cambria"/>
          <w:color w:val="0000CC"/>
          <w:sz w:val="24"/>
          <w:szCs w:val="24"/>
        </w:rPr>
        <w:t xml:space="preserve"> Minors’ and guardian access to and use of a national patient portal: A retrospective comparative case study of Sweden and Finland. International Journal of Medical Informatics, 2024. doi:10.1016/j.ijmedinf.2024.105465</w:t>
      </w:r>
    </w:p>
    <w:p>
      <w:pPr>
        <w:spacing w:after="140" w:line="300"/>
        <w:jc w:val="both"/>
      </w:pPr>
      <w:r>
        <w:rPr>
          <w:rFonts w:ascii="Cambria" w:cs="Cambria" w:eastAsia="Cambria" w:hAnsi="Cambria"/>
          <w:color w:val="E6007E"/>
          <w:sz w:val="24"/>
          <w:szCs w:val="24"/>
        </w:rPr>
        <w:t xml:space="preserve">[48] H. Gao, X. Wu, H. Huang, Q. Li, and Y. Xing. A Blockchain-Assisted Revocable and Efficient ABSE Scheme for Secure Medical Data Sharing. ACM Transactions on the Web, 20(1):1–29, 2026. doi:10.1145/3771992</w:t>
      </w:r>
    </w:p>
    <w:p>
      <w:pPr>
        <w:spacing w:after="140" w:line="300"/>
        <w:jc w:val="both"/>
      </w:pPr>
      <w:r>
        <w:rPr>
          <w:rFonts w:ascii="Cambria" w:cs="Cambria" w:eastAsia="Cambria" w:hAnsi="Cambria"/>
          <w:color w:val="0000CC"/>
          <w:sz w:val="24"/>
          <w:szCs w:val="24"/>
        </w:rPr>
        <w:t xml:space="preserve">[49] V. Jaiman and V. Urovi. A Consent Model for Blockchain-Based Health Data Sharing Platforms. IEEE Access, 2020. doi:10.1109/ACCESS.2020.3014565</w:t>
      </w:r>
    </w:p>
    <w:p>
      <w:pPr>
        <w:spacing w:after="140" w:line="300"/>
        <w:jc w:val="both"/>
      </w:pPr>
      <w:r>
        <w:rPr>
          <w:rFonts w:ascii="Cambria" w:cs="Cambria" w:eastAsia="Cambria" w:hAnsi="Cambria"/>
          <w:color w:val="0000CC"/>
          <w:sz w:val="24"/>
          <w:szCs w:val="24"/>
        </w:rPr>
        <w:t xml:space="preserve">[50] </w:t>
      </w:r>
      <w:r>
        <w:rPr>
          <w:rFonts w:ascii="Cambria" w:cs="Cambria" w:eastAsia="Cambria" w:hAnsi="Cambria"/>
          <w:color w:val="E6007E"/>
          <w:sz w:val="24"/>
          <w:szCs w:val="24"/>
        </w:rPr>
        <w:t xml:space="preserve">J. Zhao and Q. Su. A threshold traceable delegation authorization scheme for data sharing in healthcare. Computers &amp; Security, 139:103686, 2024.</w:t>
      </w:r>
      <w:r>
        <w:rPr>
          <w:rFonts w:ascii="Cambria" w:cs="Cambria" w:eastAsia="Cambria" w:hAnsi="Cambria"/>
          <w:color w:val="0000CC"/>
          <w:sz w:val="24"/>
          <w:szCs w:val="24"/>
        </w:rPr>
        <w:t xml:space="preserve"> doi:10.1016/j.cose.2023.103686</w:t>
      </w:r>
    </w:p>
    <w:p>
      <w:pPr>
        <w:spacing w:after="140" w:line="300"/>
        <w:jc w:val="both"/>
      </w:pPr>
      <w:r>
        <w:rPr>
          <w:rFonts w:ascii="Cambria" w:cs="Cambria" w:eastAsia="Cambria" w:hAnsi="Cambria"/>
          <w:color w:val="0000CC"/>
          <w:sz w:val="24"/>
          <w:szCs w:val="24"/>
        </w:rPr>
        <w:t xml:space="preserve">[51] H. Li, D. Li, G. Lv, N. Crespi, R. Minerva, W. Shao,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Privacy-Preserving Fine-Grained EMR Access Control for IoMT: A Hybrid RBAC-Smart Contract Scheme With Attribute-Based Authorization. IEEE Internet of Things Journal, 2026. doi:10.1109/JIOT.2025.3633504</w:t>
      </w:r>
    </w:p>
    <w:p>
      <w:pPr>
        <w:spacing w:after="140" w:line="300"/>
        <w:jc w:val="both"/>
      </w:pPr>
      <w:r>
        <w:rPr>
          <w:rFonts w:ascii="Cambria" w:cs="Cambria" w:eastAsia="Cambria" w:hAnsi="Cambria"/>
          <w:color w:val="0000CC"/>
          <w:sz w:val="24"/>
          <w:szCs w:val="24"/>
        </w:rPr>
        <w:t xml:space="preserve">[52] J. Luo, P. Zeng, and X. Wang. Bilateral Privacy-Aware Proxy Re-Encryption With Traceability and Revocation for IoMT. IEEE Internet of Things Journal, 2025. doi:10.1109/JIOT.2025.3616987</w:t>
      </w:r>
    </w:p>
    <w:p>
      <w:pPr>
        <w:spacing w:after="140" w:line="300"/>
        <w:jc w:val="both"/>
      </w:pPr>
      <w:r>
        <w:rPr>
          <w:rFonts w:ascii="Cambria" w:cs="Cambria" w:eastAsia="Cambria" w:hAnsi="Cambria"/>
          <w:color w:val="0000CC"/>
          <w:sz w:val="24"/>
          <w:szCs w:val="24"/>
        </w:rPr>
        <w:t xml:space="preserve">[53] M. M. Madine, K. Salah, R. Jayaraman, I. Yaqoob, Y. Al-Hammadi, S. Ellahham,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Fully Decentralized Multi-Party Consent Management for Secure Sharing of Patient Health Records. IEEE Access, 2020. doi:10.1109/ACCESS.2020.3045048</w:t>
      </w:r>
    </w:p>
    <w:p>
      <w:pPr>
        <w:spacing w:after="140" w:line="300"/>
        <w:jc w:val="both"/>
      </w:pPr>
      <w:r>
        <w:rPr>
          <w:rFonts w:ascii="Cambria" w:cs="Cambria" w:eastAsia="Cambria" w:hAnsi="Cambria"/>
          <w:color w:val="0000CC"/>
          <w:sz w:val="24"/>
          <w:szCs w:val="24"/>
        </w:rPr>
        <w:t xml:space="preserve">[54] V. Maruthi and K. Singh. Enhancing Security and Privacy of IoMT Data for Unconscious Patient With Blockchain. IEEE Transactions on Network and Service Management, 2025. doi:10.1109/TNSM.2025.3602117</w:t>
      </w:r>
    </w:p>
    <w:p>
      <w:pPr>
        <w:spacing w:after="140" w:line="300"/>
        <w:jc w:val="both"/>
      </w:pPr>
      <w:r>
        <w:rPr>
          <w:rFonts w:ascii="Cambria" w:cs="Cambria" w:eastAsia="Cambria" w:hAnsi="Cambria"/>
          <w:color w:val="0000CC"/>
          <w:sz w:val="24"/>
          <w:szCs w:val="24"/>
        </w:rPr>
        <w:t xml:space="preserve">[55] L. Mei, K. Huang, X. Li, H. Wang, and X. Zhang. Efficient Dual-Revocation CP-ABE for Secure and Fine-Grained Data Sharing in IoMT. IEEE Internet of Things Journal, 2026. doi:10.1109/JIOT.2026.3685269</w:t>
      </w:r>
    </w:p>
    <w:p>
      <w:pPr>
        <w:spacing w:after="140" w:line="300"/>
        <w:jc w:val="both"/>
      </w:pPr>
      <w:r>
        <w:rPr>
          <w:rFonts w:ascii="Cambria" w:cs="Cambria" w:eastAsia="Cambria" w:hAnsi="Cambria"/>
          <w:color w:val="0000CC"/>
          <w:sz w:val="24"/>
          <w:szCs w:val="24"/>
        </w:rPr>
        <w:t xml:space="preserve">[56] </w:t>
      </w:r>
      <w:r>
        <w:rPr>
          <w:rFonts w:ascii="Cambria" w:cs="Cambria" w:eastAsia="Cambria" w:hAnsi="Cambria"/>
          <w:color w:val="E6007E"/>
          <w:sz w:val="24"/>
          <w:szCs w:val="24"/>
        </w:rPr>
        <w:t xml:space="preserve">M. Zhang, F. Shao, R. Zheng, M. Liu, and Z. Ji.</w:t>
      </w:r>
      <w:r>
        <w:rPr>
          <w:rFonts w:ascii="Cambria" w:cs="Cambria" w:eastAsia="Cambria" w:hAnsi="Cambria"/>
          <w:color w:val="0000CC"/>
          <w:sz w:val="24"/>
          <w:szCs w:val="24"/>
        </w:rPr>
        <w:t xml:space="preserve"> An Efficient Encryption Scheme with Fully Hidden Access Policy for Medical Data. Electronics, 2023. doi:10.3390/electronics12132930</w:t>
      </w:r>
    </w:p>
    <w:p>
      <w:pPr>
        <w:spacing w:after="140" w:line="300"/>
        <w:jc w:val="both"/>
      </w:pPr>
      <w:r>
        <w:rPr>
          <w:rFonts w:ascii="Cambria" w:cs="Cambria" w:eastAsia="Cambria" w:hAnsi="Cambria"/>
          <w:color w:val="0000CC"/>
          <w:sz w:val="24"/>
          <w:szCs w:val="24"/>
        </w:rPr>
        <w:t xml:space="preserve">[57] D.P. Panagoulias, A.I. Damian, C. Stamate, V. Toderian, P. Butusina, A. De Franceschi,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Blockchain-Enabled Trust and Compliance for Clinical AI: Decentralized Governance Without Decentralized Data Storage. Electronics, 2026. doi:10.3390/electronics15143046</w:t>
      </w:r>
    </w:p>
    <w:p>
      <w:pPr>
        <w:spacing w:after="140" w:line="300"/>
        <w:jc w:val="both"/>
      </w:pPr>
      <w:r>
        <w:rPr>
          <w:rFonts w:ascii="Cambria" w:cs="Cambria" w:eastAsia="Cambria" w:hAnsi="Cambria"/>
          <w:color w:val="0000CC"/>
          <w:sz w:val="24"/>
          <w:szCs w:val="24"/>
        </w:rPr>
        <w:t xml:space="preserve">[58] S. Phuyal, M. Bhandari, R. Bista, and J. C. Ferreira. Enabling Cross-Institution Health Data Sharing in Norway: EUDI Wallets, On-Chain Consent, and openEHR↔FHIR Translation. IEEE Access, 2026. doi:10.1109/ACCESS.2026.3661642</w:t>
      </w:r>
    </w:p>
    <w:p>
      <w:pPr>
        <w:spacing w:after="140" w:line="300"/>
        <w:jc w:val="both"/>
      </w:pPr>
      <w:r>
        <w:rPr>
          <w:rFonts w:ascii="Cambria" w:cs="Cambria" w:eastAsia="Cambria" w:hAnsi="Cambria"/>
          <w:color w:val="0000CC"/>
          <w:sz w:val="24"/>
          <w:szCs w:val="24"/>
        </w:rPr>
        <w:t xml:space="preserve">[59] S. Phuyal, M. Bhandari, R. Bista, and J.C. Ferreira. A Blockchain-Based Architecture for Dynamic and Auditable Patient Consent in Secondary Use of Health Data. Blockchain in Healthcare Today, 2026. doi:10.30953/bhty.v9.491</w:t>
      </w:r>
    </w:p>
    <w:p>
      <w:pPr>
        <w:spacing w:after="140" w:line="300"/>
        <w:jc w:val="both"/>
      </w:pPr>
      <w:r>
        <w:rPr>
          <w:rFonts w:ascii="Cambria" w:cs="Cambria" w:eastAsia="Cambria" w:hAnsi="Cambria"/>
          <w:color w:val="0000CC"/>
          <w:sz w:val="24"/>
          <w:szCs w:val="24"/>
        </w:rPr>
        <w:t xml:space="preserve">[60] M.S. Prashanth, R. Karnati, M.S. Velpuru, and H. Venkateshwara Reddy. Enhancing Health Record Security and Privacy with Blockchain-Based Access Management. Lecture Notes of the Institute for Computer Sciences, Social-Informatics and Telecommunications Engineering, LNICST, 2024. doi:10.1007/978-3-031-66044-3_13</w:t>
      </w:r>
    </w:p>
    <w:p>
      <w:pPr>
        <w:spacing w:after="140" w:line="300"/>
        <w:jc w:val="both"/>
      </w:pPr>
      <w:r>
        <w:rPr>
          <w:rFonts w:ascii="Cambria" w:cs="Cambria" w:eastAsia="Cambria" w:hAnsi="Cambria"/>
          <w:color w:val="0000CC"/>
          <w:sz w:val="24"/>
          <w:szCs w:val="24"/>
        </w:rPr>
        <w:t xml:space="preserve">[61] A. Punia, P. Gulia, N.S. Gill, D. Kaushik, N. Alduaiji, P.K. Shukla,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An access control system for cloud-based healthcare systems driven by blockchain. Journal of Cloud Computing, 2025. doi:10.1186/s13677-025-00831-z</w:t>
      </w:r>
    </w:p>
    <w:p>
      <w:pPr>
        <w:spacing w:after="140" w:line="300"/>
        <w:jc w:val="both"/>
      </w:pPr>
      <w:r>
        <w:rPr>
          <w:rFonts w:ascii="Cambria" w:cs="Cambria" w:eastAsia="Cambria" w:hAnsi="Cambria"/>
          <w:color w:val="0000CC"/>
          <w:sz w:val="24"/>
          <w:szCs w:val="24"/>
        </w:rPr>
        <w:t xml:space="preserve">[62] J. Qiao, N. Wang, J. Fu, L. Deng, J. Wang, and J. Liu. A Lightweight CP-ABE Scheme for EHR Over Cloud Based on Blockchain and Secure Multi-Party Computation. Transactions on Emerging Telecommunications Technologies, 2025. doi:10.1002/ett.70053</w:t>
      </w:r>
    </w:p>
    <w:p>
      <w:pPr>
        <w:spacing w:after="140" w:line="300"/>
        <w:jc w:val="both"/>
      </w:pPr>
      <w:r>
        <w:rPr>
          <w:rFonts w:ascii="Cambria" w:cs="Cambria" w:eastAsia="Cambria" w:hAnsi="Cambria"/>
          <w:color w:val="0000CC"/>
          <w:sz w:val="24"/>
          <w:szCs w:val="24"/>
        </w:rPr>
        <w:t xml:space="preserve">[63] I. Román-Martínez, J. Calvillo-Arbizu, V. J. Mayor-Gallego, G. Madinabeitia-Luque, A. J. Estepa-Alonso, and R. M. Estepa-Alonso. Blockchain-Based Service-Oriented Architecture for Consent Management, Access Control, and Auditing. IEEE Access, 2023. doi:10.1109/ACCESS.2023.3242605</w:t>
      </w:r>
    </w:p>
    <w:p>
      <w:pPr>
        <w:spacing w:after="140" w:line="300"/>
        <w:jc w:val="both"/>
      </w:pPr>
      <w:r>
        <w:rPr>
          <w:rFonts w:ascii="Cambria" w:cs="Cambria" w:eastAsia="Cambria" w:hAnsi="Cambria"/>
          <w:color w:val="E6007E"/>
          <w:sz w:val="24"/>
          <w:szCs w:val="24"/>
        </w:rPr>
        <w:t xml:space="preserve">[64] Hema S., Goli Bulli Sai Reddy, and Shalini R. Patient Centric Cryptographic Protection of Cloud Electronic Health Records. 2026 6th International Conference on Expert Clouds and Applications (ICOECA), 2026. doi:10.1109/ICOECA68095.2026.11485301</w:t>
      </w:r>
    </w:p>
    <w:p>
      <w:pPr>
        <w:spacing w:after="140" w:line="300"/>
        <w:jc w:val="both"/>
      </w:pPr>
      <w:r>
        <w:rPr>
          <w:rFonts w:ascii="Cambria" w:cs="Cambria" w:eastAsia="Cambria" w:hAnsi="Cambria"/>
          <w:color w:val="0000CC"/>
          <w:sz w:val="24"/>
          <w:szCs w:val="24"/>
        </w:rPr>
        <w:t xml:space="preserve">[65] N.M. Sawant and J. Gomes. A Decentralized Solution for Smarter and Safer Healthcare Systems with FabricMedChain. Iranian Journal of Science and Technology - Transactions of Electrical Engineering, 2026. doi:10.1007/s40998-025-00994-0</w:t>
      </w:r>
    </w:p>
    <w:p>
      <w:pPr>
        <w:spacing w:after="140" w:line="300"/>
        <w:jc w:val="both"/>
      </w:pPr>
      <w:r>
        <w:rPr>
          <w:rFonts w:ascii="Cambria" w:cs="Cambria" w:eastAsia="Cambria" w:hAnsi="Cambria"/>
          <w:color w:val="0000CC"/>
          <w:sz w:val="24"/>
          <w:szCs w:val="24"/>
        </w:rPr>
        <w:t xml:space="preserve">[66] M. Shanmugham and C. Senthilkumar. Blockchain Enabled Self-Sovereign Identity and Consent Framework for Secure Healthcare Data Access. 2026 3rd International Conference on Emerging Trends in Engineering and Medical Sciences (ICETEMS), 2026. doi:10.1109/ICETEMS66917.2026.11469586</w:t>
      </w:r>
    </w:p>
    <w:p>
      <w:pPr>
        <w:spacing w:after="140" w:line="300"/>
        <w:jc w:val="both"/>
      </w:pPr>
      <w:r>
        <w:rPr>
          <w:rFonts w:ascii="Cambria" w:cs="Cambria" w:eastAsia="Cambria" w:hAnsi="Cambria"/>
          <w:color w:val="0000CC"/>
          <w:sz w:val="24"/>
          <w:szCs w:val="24"/>
        </w:rPr>
        <w:t xml:space="preserve">[67] </w:t>
      </w:r>
      <w:r>
        <w:rPr>
          <w:rFonts w:ascii="Cambria" w:cs="Cambria" w:eastAsia="Cambria" w:hAnsi="Cambria"/>
          <w:color w:val="E6007E"/>
          <w:sz w:val="24"/>
          <w:szCs w:val="24"/>
        </w:rPr>
        <w:t xml:space="preserve">S. L. Soohoo, M. S. Keller, Y. Chen, D. Hu, S.-C. Huang, T.-T. Kuo, et al.</w:t>
      </w:r>
      <w:r>
        <w:rPr>
          <w:rFonts w:ascii="Cambria" w:cs="Cambria" w:eastAsia="Cambria" w:hAnsi="Cambria"/>
          <w:color w:val="0000CC"/>
          <w:sz w:val="24"/>
          <w:szCs w:val="24"/>
        </w:rPr>
        <w:t xml:space="preserve"> Development of the authentication and authorization processes for the iAgree portal, a platform for patient-controlled data sharing across health systems. JAMIA Open, 2026. doi:10.1093/jamiaopen/ooag111</w:t>
      </w:r>
    </w:p>
    <w:p>
      <w:pPr>
        <w:spacing w:after="140" w:line="300"/>
        <w:jc w:val="both"/>
      </w:pPr>
      <w:r>
        <w:rPr>
          <w:rFonts w:ascii="Cambria" w:cs="Cambria" w:eastAsia="Cambria" w:hAnsi="Cambria"/>
          <w:color w:val="E6007E"/>
          <w:sz w:val="24"/>
          <w:szCs w:val="24"/>
        </w:rPr>
        <w:t xml:space="preserve">[68] T. A. V. Y. Ranaweera, H. N. H. Hewage, H. K. D. W. M. C. B. Hapuhinna, K. L. K. T. Preethilal, A. Senarathne, and L. Ruggahakotuwa. Ensuring Electronic Health Record (EHR) Privacy using Zero Knowledge Proofs (ZKP) and Secure Encryption Schemes on Blockchain. 2023 5th International Conference on Advancements in Computing (ICAC), 2023. doi:10.1109/ICAC60630.2023.10417417</w:t>
      </w:r>
    </w:p>
    <w:p>
      <w:pPr>
        <w:spacing w:after="140" w:line="300"/>
        <w:jc w:val="both"/>
      </w:pPr>
      <w:r>
        <w:rPr>
          <w:rFonts w:ascii="Cambria" w:cs="Cambria" w:eastAsia="Cambria" w:hAnsi="Cambria"/>
          <w:color w:val="0000CC"/>
          <w:sz w:val="24"/>
          <w:szCs w:val="24"/>
        </w:rPr>
        <w:t xml:space="preserve">[69] </w:t>
      </w:r>
      <w:r>
        <w:rPr>
          <w:rFonts w:ascii="Cambria" w:cs="Cambria" w:eastAsia="Cambria" w:hAnsi="Cambria"/>
          <w:color w:val="E6007E"/>
          <w:sz w:val="24"/>
          <w:szCs w:val="24"/>
        </w:rPr>
        <w:t xml:space="preserve">K.-L. Tan, C.-H. Chi, and K.-Y. Lam.</w:t>
      </w:r>
      <w:r>
        <w:rPr>
          <w:rFonts w:ascii="Cambria" w:cs="Cambria" w:eastAsia="Cambria" w:hAnsi="Cambria"/>
          <w:color w:val="0000CC"/>
          <w:sz w:val="24"/>
          <w:szCs w:val="24"/>
        </w:rPr>
        <w:t xml:space="preserve"> Secure and privacy-preserving sharing of personal health records with multi-party pre-authorization verification. Wireless Networks, 2024. doi:10.1007/s11276-022-03114-6</w:t>
      </w:r>
    </w:p>
    <w:p>
      <w:pPr>
        <w:spacing w:after="140" w:line="300"/>
        <w:jc w:val="both"/>
      </w:pPr>
      <w:r>
        <w:rPr>
          <w:rFonts w:ascii="Cambria" w:cs="Cambria" w:eastAsia="Cambria" w:hAnsi="Cambria"/>
          <w:color w:val="0000CC"/>
          <w:sz w:val="24"/>
          <w:szCs w:val="24"/>
        </w:rPr>
        <w:t xml:space="preserve">[70] A. Teeda and Y.V. Subba Rao. A Patient-Centric Blockchain Based Electronic Health Records for Data Privacy and Confidentiality. Lecture Notes in Networks and Systems, 2026. doi:10.1007/978-3-032-08246-6_15</w:t>
      </w:r>
    </w:p>
    <w:p>
      <w:pPr>
        <w:spacing w:after="140" w:line="300"/>
        <w:jc w:val="both"/>
      </w:pPr>
      <w:r>
        <w:rPr>
          <w:rFonts w:ascii="Cambria" w:cs="Cambria" w:eastAsia="Cambria" w:hAnsi="Cambria"/>
          <w:color w:val="0000CC"/>
          <w:sz w:val="24"/>
          <w:szCs w:val="24"/>
        </w:rPr>
        <w:t xml:space="preserve">[71] </w:t>
      </w:r>
      <w:r>
        <w:rPr>
          <w:rFonts w:ascii="Cambria" w:cs="Cambria" w:eastAsia="Cambria" w:hAnsi="Cambria"/>
          <w:color w:val="E6007E"/>
          <w:sz w:val="24"/>
          <w:szCs w:val="24"/>
        </w:rPr>
        <w:t xml:space="preserve">D. Tith, J.-S. Lee, H. Suzuki, W. M. A. B. Wijesundara, N. Taira, T. Obi, et al.</w:t>
      </w:r>
      <w:r>
        <w:rPr>
          <w:rFonts w:ascii="Cambria" w:cs="Cambria" w:eastAsia="Cambria" w:hAnsi="Cambria"/>
          <w:color w:val="0000CC"/>
          <w:sz w:val="24"/>
          <w:szCs w:val="24"/>
        </w:rPr>
        <w:t xml:space="preserve"> Patient consent management by a purpose-based consent model for electronic health record based on blockchain technology. Healthcare Informatics Research, 2020. doi:10.4258/hir.2020.26.4.265</w:t>
      </w:r>
    </w:p>
    <w:p>
      <w:pPr>
        <w:spacing w:after="140" w:line="300"/>
        <w:jc w:val="both"/>
      </w:pPr>
      <w:r>
        <w:rPr>
          <w:rFonts w:ascii="Cambria" w:cs="Cambria" w:eastAsia="Cambria" w:hAnsi="Cambria"/>
          <w:color w:val="0000CC"/>
          <w:sz w:val="24"/>
          <w:szCs w:val="24"/>
        </w:rPr>
        <w:t xml:space="preserve">[72] G. Tremper, T. Brenner, M. Ben Amor, T. Kussel, and M. Lablans. Mainzelliste: Ten years of pseudonymization, record linkage, and informed consent management. Patterns, 2026. doi:10.1016/j.patter.2025.101432</w:t>
      </w:r>
    </w:p>
    <w:p>
      <w:pPr>
        <w:spacing w:after="140" w:line="300"/>
        <w:jc w:val="both"/>
      </w:pPr>
      <w:r>
        <w:rPr>
          <w:rFonts w:ascii="Cambria" w:cs="Cambria" w:eastAsia="Cambria" w:hAnsi="Cambria"/>
          <w:color w:val="0000CC"/>
          <w:sz w:val="24"/>
          <w:szCs w:val="24"/>
        </w:rPr>
        <w:t xml:space="preserve">[73] </w:t>
      </w:r>
      <w:r>
        <w:rPr>
          <w:rFonts w:ascii="Cambria" w:cs="Cambria" w:eastAsia="Cambria" w:hAnsi="Cambria"/>
          <w:color w:val="E6007E"/>
          <w:sz w:val="24"/>
          <w:szCs w:val="24"/>
        </w:rPr>
        <w:t xml:space="preserve">C.-H. Tseng, Y.-H. Hsieh, H.-Y. Lin, and S.-M. Yuan.</w:t>
      </w:r>
      <w:r>
        <w:rPr>
          <w:rFonts w:ascii="Cambria" w:cs="Cambria" w:eastAsia="Cambria" w:hAnsi="Cambria"/>
          <w:color w:val="0000CC"/>
          <w:sz w:val="24"/>
          <w:szCs w:val="24"/>
        </w:rPr>
        <w:t xml:space="preserve"> EMR-Chain: Decentralized Electronic Medical Record Exchange System. Technologies, 2025. doi:10.3390/technologies13100446</w:t>
      </w:r>
    </w:p>
    <w:p>
      <w:pPr>
        <w:spacing w:after="140" w:line="300"/>
        <w:jc w:val="both"/>
      </w:pPr>
      <w:r>
        <w:rPr>
          <w:rFonts w:ascii="Cambria" w:cs="Cambria" w:eastAsia="Cambria" w:hAnsi="Cambria"/>
          <w:color w:val="0000CC"/>
          <w:sz w:val="24"/>
          <w:szCs w:val="24"/>
        </w:rPr>
        <w:t xml:space="preserve">[74] </w:t>
      </w:r>
      <w:r>
        <w:rPr>
          <w:rFonts w:ascii="Cambria" w:cs="Cambria" w:eastAsia="Cambria" w:hAnsi="Cambria"/>
          <w:color w:val="E6007E"/>
          <w:sz w:val="24"/>
          <w:szCs w:val="24"/>
        </w:rPr>
        <w:t xml:space="preserve">J. Wagner, H. Schneiderheinze, M. Wurlitzer, O. Köckritz, N. Dittberner, M. Bialke, et al.</w:t>
      </w:r>
      <w:r>
        <w:rPr>
          <w:rFonts w:ascii="Cambria" w:cs="Cambria" w:eastAsia="Cambria" w:hAnsi="Cambria"/>
          <w:color w:val="0000CC"/>
          <w:sz w:val="24"/>
          <w:szCs w:val="24"/>
        </w:rPr>
        <w:t xml:space="preserve"> Integration of Trusted Third Party Software into an EDC System for Data Protection - Compliant Identity Management, Consent Management and Pseudonymization in Medical Research Studies. Studies in Health Technology and Informatics, 2024. doi:10.3233/SHTI240840</w:t>
      </w:r>
    </w:p>
    <w:p>
      <w:pPr>
        <w:spacing w:after="140" w:line="300"/>
        <w:jc w:val="both"/>
      </w:pPr>
      <w:r>
        <w:rPr>
          <w:rFonts w:ascii="Cambria" w:cs="Cambria" w:eastAsia="Cambria" w:hAnsi="Cambria"/>
          <w:color w:val="0000CC"/>
          <w:sz w:val="24"/>
          <w:szCs w:val="24"/>
        </w:rPr>
        <w:t xml:space="preserve">[75] Y. Wu, C. Liu, L. Sebald, P. Nguyen, and Y. Yesha. Apply Trust Computing and Privacy Preserving Smart Contracts to Manage, Share, and Analyze Multi-site Clinical Trial Data. </w:t>
      </w:r>
      <w:r>
        <w:rPr>
          <w:rFonts w:ascii="Cambria" w:cs="Cambria" w:eastAsia="Cambria" w:hAnsi="Cambria"/>
          <w:color w:val="E6007E"/>
          <w:sz w:val="24"/>
          <w:szCs w:val="24"/>
        </w:rPr>
        <w:t xml:space="preserve">In Proceedings of the International Conference on Deep Learning, Big Data and Blockchain (DBB 2022), Lecture Notes in Networks and Systems, vol. 541, pages 3–14. Springer, 2023.</w:t>
      </w:r>
      <w:r>
        <w:rPr>
          <w:rFonts w:ascii="Cambria" w:cs="Cambria" w:eastAsia="Cambria" w:hAnsi="Cambria"/>
          <w:color w:val="0000CC"/>
          <w:sz w:val="24"/>
          <w:szCs w:val="24"/>
        </w:rPr>
        <w:t xml:space="preserve"> doi:10.1007/978-3-031-16035-6_1</w:t>
      </w:r>
    </w:p>
    <w:p>
      <w:pPr>
        <w:spacing w:after="140" w:line="300"/>
        <w:jc w:val="both"/>
      </w:pPr>
      <w:r>
        <w:rPr>
          <w:rFonts w:ascii="Cambria" w:cs="Cambria" w:eastAsia="Cambria" w:hAnsi="Cambria"/>
          <w:color w:val="0000CC"/>
          <w:sz w:val="24"/>
          <w:szCs w:val="24"/>
        </w:rPr>
        <w:t xml:space="preserve">[76] </w:t>
      </w:r>
      <w:r>
        <w:rPr>
          <w:rFonts w:ascii="Cambria" w:cs="Cambria" w:eastAsia="Cambria" w:hAnsi="Cambria"/>
          <w:color w:val="E6007E"/>
          <w:sz w:val="24"/>
          <w:szCs w:val="24"/>
        </w:rPr>
        <w:t xml:space="preserve">Z. Wu and D. Zhang. HealthDID: An efficient and authorizable multi-party privacy-preserving EMR sharing system based on DID. Computer Standards &amp; Interfaces, 93:103967, 2025.</w:t>
      </w:r>
      <w:r>
        <w:rPr>
          <w:rFonts w:ascii="Cambria" w:cs="Cambria" w:eastAsia="Cambria" w:hAnsi="Cambria"/>
          <w:color w:val="0000CC"/>
          <w:sz w:val="24"/>
          <w:szCs w:val="24"/>
        </w:rPr>
        <w:t xml:space="preserve"> doi:10.1016/j.csi.2024.103967</w:t>
      </w:r>
    </w:p>
    <w:p>
      <w:pPr>
        <w:spacing w:after="140" w:line="300"/>
        <w:jc w:val="both"/>
      </w:pPr>
      <w:r>
        <w:rPr>
          <w:rFonts w:ascii="Cambria" w:cs="Cambria" w:eastAsia="Cambria" w:hAnsi="Cambria"/>
          <w:color w:val="0000CC"/>
          <w:sz w:val="24"/>
          <w:szCs w:val="24"/>
        </w:rPr>
        <w:t xml:space="preserve">[77] G. Xu, C. Qi, W. Dong, L. Gong, S. Liu, S. Chen,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A Privacy-Preserving Medical Data Sharing Scheme Based on Blockchain. IEEE Journal of Biomedical and Health Informatics, 2023. doi:10.1109/JBHI.2022.3203577</w:t>
      </w:r>
    </w:p>
    <w:p>
      <w:pPr>
        <w:spacing w:after="140" w:line="300"/>
        <w:jc w:val="both"/>
      </w:pPr>
      <w:r>
        <w:rPr>
          <w:rFonts w:ascii="Cambria" w:cs="Cambria" w:eastAsia="Cambria" w:hAnsi="Cambria"/>
          <w:color w:val="0000CC"/>
          <w:sz w:val="24"/>
          <w:szCs w:val="24"/>
        </w:rPr>
        <w:t xml:space="preserve">[78] L. Zhang, H. Kan, and H. Huang. Patient-centered cross-enterprise document sharing and dynamic consent framework using consortium blockchain and ciphertext-policy attribute-based encryption. ACM International Conference Proceeding Series, 2022. doi:10.1145/3528416.3530228</w:t>
      </w:r>
    </w:p>
    <w:p>
      <w:pPr>
        <w:spacing w:after="140" w:line="300"/>
        <w:jc w:val="both"/>
      </w:pPr>
      <w:r>
        <w:rPr>
          <w:rFonts w:ascii="Cambria" w:cs="Cambria" w:eastAsia="Cambria" w:hAnsi="Cambria"/>
          <w:color w:val="0000CC"/>
          <w:sz w:val="24"/>
          <w:szCs w:val="24"/>
        </w:rPr>
        <w:t xml:space="preserve">[79] S. Phuyal, M. Bhandari, R. Bista, and J.C. Ferreira. HL7 FHIR consent for healthcare data sharing: challenges, opportunities and integrity implications. International Journal of Medical Informatics, 2026. doi:10.1016/j.ijmedinf.2026.106405</w:t>
      </w:r>
    </w:p>
    <w:p>
      <w:pPr>
        <w:spacing w:after="140" w:line="300"/>
        <w:jc w:val="both"/>
      </w:pPr>
      <w:r>
        <w:rPr>
          <w:rFonts w:ascii="Cambria" w:cs="Cambria" w:eastAsia="Cambria" w:hAnsi="Cambria"/>
          <w:color w:val="0000CC"/>
          <w:sz w:val="24"/>
          <w:szCs w:val="24"/>
        </w:rPr>
        <w:t xml:space="preserve">[80] </w:t>
      </w:r>
      <w:r>
        <w:rPr>
          <w:rFonts w:ascii="Cambria" w:cs="Cambria" w:eastAsia="Cambria" w:hAnsi="Cambria"/>
          <w:color w:val="E6007E"/>
          <w:sz w:val="24"/>
          <w:szCs w:val="24"/>
        </w:rPr>
        <w:t xml:space="preserve">S. Phuyal, M. Bhandari, R. Correia Bezerra, R. Bista, and J. C. Ferreira. Dynamic Consent for Secondary Use of Health Data: Challenges and Opportunities Under European Law. JMIR Medical Informatics,</w:t>
      </w:r>
      <w:r>
        <w:rPr>
          <w:rFonts w:ascii="Cambria" w:cs="Cambria" w:eastAsia="Cambria" w:hAnsi="Cambria"/>
          <w:color w:val="0000CC"/>
          <w:sz w:val="24"/>
          <w:szCs w:val="24"/>
        </w:rPr>
        <w:t xml:space="preserve"> 2026. doi:10.2196/93348</w:t>
      </w:r>
    </w:p>
    <w:p>
      <w:pPr>
        <w:spacing w:after="140" w:line="300"/>
        <w:jc w:val="both"/>
      </w:pPr>
      <w:r>
        <w:rPr>
          <w:rFonts w:ascii="Cambria" w:cs="Cambria" w:eastAsia="Cambria" w:hAnsi="Cambria"/>
          <w:color w:val="0000CC"/>
          <w:sz w:val="24"/>
          <w:szCs w:val="24"/>
        </w:rPr>
        <w:t xml:space="preserve">[81] J. Vinnakota, T. Raheem, and G. Hossain. Secure AI-Driven eConsent Platforms: Enhancing Trust, Compliance, and Participation in Clinical Research. 2026 IEEE 2nd International Conference on Secure IoT, Assured and Trusted Computing (SATC), 2026. doi:10.1109/SATC69565.2026.11542223</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00000"/>
      <w:sz w:val="32"/>
      <w:szCs w:val="32"/>
    </w:rPr>
  </w:style>
  <w:style w:type="paragraph" w:styleId="Heading2">
    <w:name w:val="Heading 2"/>
    <w:basedOn w:val="Normal"/>
    <w:next w:val="Normal"/>
    <w:qFormat/>
    <w:pPr>
      <w:outlineLvl w:val="1"/>
    </w:pPr>
    <w:rPr>
      <w:rFonts w:ascii="Cambria" w:cs="Cambria" w:eastAsia="Cambria" w:hAnsi="Cambria"/>
      <w:b/>
      <w:bCs/>
      <w:color w:val="000000"/>
      <w:sz w:val="28"/>
      <w:szCs w:val="28"/>
    </w:rPr>
  </w:style>
  <w:style w:type="paragraph" w:styleId="Heading3">
    <w:name w:val="Heading 3"/>
    <w:basedOn w:val="Normal"/>
    <w:next w:val="Normal"/>
    <w:qFormat/>
    <w:pPr>
      <w:outlineLvl w:val="2"/>
    </w:pPr>
    <w:rPr>
      <w:rFonts w:ascii="Cambria" w:cs="Cambria" w:eastAsia="Cambria" w:hAnsi="Cambria"/>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653d234c264cb2d0ab9db9e87f0f9f11e93ed8.png"/><Relationship Id="rId9" Type="http://schemas.openxmlformats.org/officeDocument/2006/relationships/image" Target="media/ccd72e2e58b0dc6514d20c963b8b7becc3c295e6.png"/><Relationship Id="rId10" Type="http://schemas.openxmlformats.org/officeDocument/2006/relationships/image" Target="media/6ced11ccfd209f2b169059f007bfc6c558821a7a.png"/><Relationship Id="rId11" Type="http://schemas.openxmlformats.org/officeDocument/2006/relationships/image" Target="media/f4b6ea28e0e666686476222a6b1b89d73384aab9.png"/><Relationship Id="rId12" Type="http://schemas.openxmlformats.org/officeDocument/2006/relationships/image" Target="media/ee2ce06eb84fb3d2a932120266e3fed69179cb8c.png"/><Relationship Id="rId13" Type="http://schemas.openxmlformats.org/officeDocument/2006/relationships/image" Target="media/2b536558d832546ec393dd67925c929dd6236fad.png"/><Relationship Id="rId14" Type="http://schemas.openxmlformats.org/officeDocument/2006/relationships/image" Target="media/e698f47fea018ba4e2802cc16cd6dfd9035c7463.png"/><Relationship Id="rId15" Type="http://schemas.openxmlformats.org/officeDocument/2006/relationships/image" Target="media/580bfb808c41b68f58dd6143da2bda07a4fdfcd6.png"/><Relationship Id="rId16" Type="http://schemas.openxmlformats.org/officeDocument/2006/relationships/image" Target="media/cfb68299954ed8f8f5e10a9a9db637b9bb1e6943.png"/><Relationship Id="rId17" Type="http://schemas.openxmlformats.org/officeDocument/2006/relationships/image" Target="media/afac86a350f9945eeb94b9ee246e19d29bb41335.png"/><Relationship Id="rId18" Type="http://schemas.openxmlformats.org/officeDocument/2006/relationships/image" Target="media/57269d3037ae27a47832f78cc97338fc97672c78.png"/><Relationship Id="rId19" Type="http://schemas.openxmlformats.org/officeDocument/2006/relationships/image" Target="media/ee95cfbafdc45fc97602cba6ccc94f86e621b2e0.png"/><Relationship Id="rId20" Type="http://schemas.openxmlformats.org/officeDocument/2006/relationships/image" Target="media/8a0259851c9ce9543a4dd4e70fbf6ef776d64c4f.png"/><Relationship Id="rId21" Type="http://schemas.openxmlformats.org/officeDocument/2006/relationships/image" Target="media/751a1c2ff4c695ebcf2d04aee2d3822c664dbd66.png"/><Relationship Id="rId22" Type="http://schemas.openxmlformats.org/officeDocument/2006/relationships/image" Target="media/fcbfc7caea7791f142b62cd810e09ae43c0a3029.png"/><Relationship Id="rId23" Type="http://schemas.openxmlformats.org/officeDocument/2006/relationships/image" Target="media/098992a49f33b5863197c094b0274b3a570ac6b0.png"/><Relationship Id="rId24" Type="http://schemas.openxmlformats.org/officeDocument/2006/relationships/image" Target="media/340cd7ece83aa7b471f90497fa4ab20abba8cb78.png"/><Relationship Id="rId25" Type="http://schemas.openxmlformats.org/officeDocument/2006/relationships/image" Target="media/29a8d803374a279180f0fb7569fd71a96e4828cc.png"/><Relationship Id="rId26" Type="http://schemas.openxmlformats.org/officeDocument/2006/relationships/image" Target="media/93e2e5b518189f1af9628f404919fff014730a4c.png"/><Relationship Id="rId27" Type="http://schemas.openxmlformats.org/officeDocument/2006/relationships/image" Target="media/0c260341434b1a3d96e8ec816e8fdf21bc280008.png"/><Relationship Id="rId28" Type="http://schemas.openxmlformats.org/officeDocument/2006/relationships/image" Target="media/3b43f208c34e619a9b1fcd7a8da9990014f117c8.png"/><Relationship Id="rId29" Type="http://schemas.openxmlformats.org/officeDocument/2006/relationships/image" Target="media/86a2658ddba90ee4c38a66206a6a68c15d95f581.png"/><Relationship Id="rId30" Type="http://schemas.openxmlformats.org/officeDocument/2006/relationships/image" Target="media/b042baccd1b6ddb409d02825dcbf0a0b42cf8600.png"/><Relationship Id="rId31" Type="http://schemas.openxmlformats.org/officeDocument/2006/relationships/image" Target="media/b08ef3c27e50bcebac919f21b9b3c4430a015386.png"/><Relationship Id="rId32" Type="http://schemas.openxmlformats.org/officeDocument/2006/relationships/image" Target="media/5aab1f9956758b1489f12e56e316ce914adfc234.png"/><Relationship Id="rId33" Type="http://schemas.openxmlformats.org/officeDocument/2006/relationships/image" Target="media/dca988adf54061cfd18e3b65d04cc93b4c0821a5.png"/><Relationship Id="rId34" Type="http://schemas.openxmlformats.org/officeDocument/2006/relationships/image" Target="media/ced20419b26ad52dabc386ca8fa03e512cf67f8c.png"/><Relationship Id="rId35" Type="http://schemas.openxmlformats.org/officeDocument/2006/relationships/image" Target="media/e56b4f992bdd903593631381fadd9d088590b949.png"/><Relationship Id="rId36" Type="http://schemas.openxmlformats.org/officeDocument/2006/relationships/image" Target="media/31dcbc50059ae2791ce05a42c041185014378f3f.png"/><Relationship Id="rId37" Type="http://schemas.openxmlformats.org/officeDocument/2006/relationships/image" Target="media/ce3dcc9a910c6fc9b80e1215a4025c2e03d7ae91.png"/><Relationship Id="rId38" Type="http://schemas.openxmlformats.org/officeDocument/2006/relationships/image" Target="media/8f7d48ee1d3a925ebd1d5709598063d3ff8e3925.png"/><Relationship Id="rId39" Type="http://schemas.openxmlformats.org/officeDocument/2006/relationships/image" Target="media/379af060121c595b8dab938b017503bf01d94543.png"/><Relationship Id="rId40" Type="http://schemas.openxmlformats.org/officeDocument/2006/relationships/image" Target="media/3a13ccfef28f9583bfb8ffa6fad6c0cd87ee4e3f.png"/><Relationship Id="rId41" Type="http://schemas.openxmlformats.org/officeDocument/2006/relationships/image" Target="media/c67c351664df141a74ad4841b37c3e4adf06cdc8.png"/><Relationship Id="rId42" Type="http://schemas.openxmlformats.org/officeDocument/2006/relationships/image" Target="media/6b2eed335569e4023d73a2acfc049e4652246425.png"/><Relationship Id="rId43" Type="http://schemas.openxmlformats.org/officeDocument/2006/relationships/image" Target="media/0dab734b3591fc6e44f28d70c229863ac765dd6c.png"/><Relationship Id="rId44" Type="http://schemas.openxmlformats.org/officeDocument/2006/relationships/image" Target="media/77a7b903f3de550876bb41810cdf2d1e7c0ac7f2.png"/><Relationship Id="rId45" Type="http://schemas.openxmlformats.org/officeDocument/2006/relationships/image" Target="media/2f0f0886862a384327500130debd3ae79225e0b4.png"/><Relationship Id="rId46" Type="http://schemas.openxmlformats.org/officeDocument/2006/relationships/image" Target="media/05da8f4effe706cf5aafdd89f16572da00d8acd2.png"/><Relationship Id="rId47" Type="http://schemas.openxmlformats.org/officeDocument/2006/relationships/image" Target="media/18110f2d94411825c7d788fe5ccde19f68a450f5.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Un-named</cp:lastModifiedBy>
  <cp:revision>1</cp:revision>
  <dcterms:created xsi:type="dcterms:W3CDTF">2026-09-29T09:50:17.388Z</dcterms:created>
  <dcterms:modified xsi:type="dcterms:W3CDTF">2026-09-29T09:50:17.388Z</dcterms:modified>
</cp:coreProperties>
</file>

<file path=docProps/custom.xml><?xml version="1.0" encoding="utf-8"?>
<Properties xmlns="http://schemas.openxmlformats.org/officeDocument/2006/custom-properties" xmlns:vt="http://schemas.openxmlformats.org/officeDocument/2006/docPropsVTypes"/>
</file>