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00"/>
          <w:sz w:val="28"/>
          <w:szCs w:val="28"/>
        </w:rPr>
        <w:t xml:space="preserve">Abstract</w:t>
      </w:r>
    </w:p>
    <w:p>
      <w:pPr>
        <w:spacing w:after="140" w:line="300"/>
        <w:jc w:val="both"/>
      </w:pPr>
      <w:r>
        <w:rPr>
          <w:rFonts w:ascii="Cambria" w:cs="Cambria" w:eastAsia="Cambria" w:hAnsi="Cambria"/>
          <w:color w:val="000000"/>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establish these conditions individually, and several combine three or four of them, but no reviewed system evaluates in every access decision who the participants are, whether they hold the authority to approve, whether the required collective approval has been obtained, whether the requested purpose and data scope match the consent, and whether the consent is still valid at the time of the request, and none assures that conjunction formally.</w:t>
      </w:r>
    </w:p>
    <w:p>
      <w:pPr>
        <w:spacing w:after="140" w:line="300"/>
        <w:jc w:val="both"/>
      </w:pPr>
      <w:r>
        <w:rPr>
          <w:rFonts w:ascii="Cambria" w:cs="Cambria" w:eastAsia="Cambria" w:hAnsi="Cambria"/>
          <w:color w:val="000000"/>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a trust-centric consent model (RO1), decentralised identity and authority trust using decentralised identifiers and verifiable credentials (RO2), trustworthy multi-party authorisation through a threshold N over the guardian set G (RO3), policy- and context-aware access control (RO4), temporal and lifecycle trust with expiry and revocation (RO5), and formal security assurance with empirical validation (RO6). A systematic literature review of 44 primary studies, of which 25 were analysed in depth, structured by six requirements, shows that no reviewed study satisfies all six requirements together and that the strongest multi-party and policy mechanisms provide no formal assurance of the authorisation decision. The framework is realised through a Model–View–Controller architecture, six procedures with their algorithms, and a prototype deployed on the Ethereum Sepolia testnet, in which consent activation and revocation are anchored as verifiable transactions and every access decision is the conjunction of the five trust predicates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17</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18</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30</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34</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42</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48</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55</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60</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63</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66</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70</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72</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72</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74</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75</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75</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78</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79</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80</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85</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86</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89</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89</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91</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95</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96</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103</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104</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104</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106</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109</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109</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109</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111</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114</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114</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115</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115</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118</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119</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119</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120</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123</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124</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125</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126</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127</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130</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131</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132</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134</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135</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136</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136</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141</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142</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144</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144</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148</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150</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154</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159</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160</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164</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166</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166</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168</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169</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171</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171</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171</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174</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176</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177</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177</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177</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181</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182</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000000"/>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000000"/>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000000"/>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000000"/>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000000"/>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w:t>
      </w:r>
      <w:r>
        <w:rPr>
          <w:rFonts w:ascii="Cambria" w:cs="Cambria" w:eastAsia="Cambria" w:hAnsi="Cambria"/>
          <w:color w:val="000000"/>
          <w:sz w:val="24"/>
          <w:szCs w:val="24"/>
        </w:rPr>
        <w:t xml:space="preserve">resources [2, 7, 3, 20, 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000000"/>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000000"/>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w:t>
      </w:r>
      <w:r>
        <w:rPr>
          <w:rFonts w:ascii="Cambria" w:cs="Cambria" w:eastAsia="Cambria" w:hAnsi="Cambria"/>
          <w:color w:val="000000"/>
          <w:sz w:val="24"/>
          <w:szCs w:val="24"/>
        </w:rPr>
        <w:t xml:space="preserve">but in most systems consent remains a passive artefact indicating that a permission or approval has been created, and even where it is represented as an evaluable object [71, 37, 44, 58] its evaluation is not conjoined with a multi-party authority condition and is not formally assured</w:t>
      </w:r>
      <w:r>
        <w:rPr>
          <w:rFonts w:ascii="Cambria" w:cs="Cambria" w:eastAsia="Cambria" w:hAnsi="Cambria"/>
          <w:sz w:val="24"/>
          <w:szCs w:val="24"/>
        </w:rPr>
        <w:t xml:space="preserve">.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000000"/>
          <w:sz w:val="24"/>
          <w:szCs w:val="24"/>
        </w:rPr>
        <w:t xml:space="preserve">The central problem addressed by this research is therefore the absence of a mechanism in which identity, authority, multi-party approval, policy, temporal and lifecycle conditions are conjoined in every access decision and in which that conjunction is assured both formally and empirically; the review in Chapter 2 shows that the individual conditions, and several partial combinations of them [58, 61, 45], already exist.</w:t>
      </w:r>
      <w:r>
        <w:rPr>
          <w:rFonts w:ascii="Cambria" w:cs="Cambria" w:eastAsia="Cambria" w:hAnsi="Cambria"/>
          <w:sz w:val="24"/>
          <w:szCs w:val="24"/>
        </w:rPr>
        <w:t xml:space="preserve"> </w:t>
      </w:r>
      <w:r>
        <w:rPr>
          <w:rFonts w:ascii="Cambria" w:cs="Cambria" w:eastAsia="Cambria" w:hAnsi="Cambria"/>
          <w:color w:val="000000"/>
          <w:sz w:val="24"/>
          <w:szCs w:val="24"/>
        </w:rPr>
        <w:t xml:space="preserve">Existing approaches provide important technological components, including decentralised identity and verifiable credentials [58, 76], blockchain-based consent records [53, 71], multi-party approval mechanisms of several kinds [53, 61, 69, 43], and policy-based access control [44, 57, 63, 15], as reviewed in Chapter 2.</w:t>
      </w:r>
      <w:r>
        <w:rPr>
          <w:rFonts w:ascii="Cambria" w:cs="Cambria" w:eastAsia="Cambria" w:hAnsi="Cambria"/>
          <w:sz w:val="24"/>
          <w:szCs w:val="24"/>
        </w:rPr>
        <w:t xml:space="preserve"> </w:t>
      </w:r>
      <w:r>
        <w:rPr>
          <w:rFonts w:ascii="Cambria" w:cs="Cambria" w:eastAsia="Cambria" w:hAnsi="Cambria"/>
          <w:color w:val="000000"/>
          <w:sz w:val="24"/>
          <w:szCs w:val="24"/>
        </w:rPr>
        <w:t xml:space="preserve">However, these mechanisms are usually investigated separately, and where they are combined in one system [58, 61, 45, 66] the combination excludes multi-party approval as a standing condition of the decision and is neither formally proved nor tested as an authorisation decision.</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00"/>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000000"/>
          <w:sz w:val="24"/>
          <w:szCs w:val="24"/>
        </w:rPr>
        <w:t xml:space="preserve">The purpose of this section is to explain why a trust-oriented authorisation framework is required and to introduce its dimensions. It should be noted at the outset that, in addition to the four foundational dimensions RO1 to RO4 that are introduced below, the proposed framework has been extended to incorporate temporal validity and lifecycle trust (RO5), which was originally planned for the next stage.</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(the Patient Consent Management Platform for History Access by Authorised Healthcare Providers described in Section 6.8), encompassing per-dimension denial scenarios, guardian signature-rejection tests, and tests of tampered and expired zero-knowledge proofs,</w:t>
      </w:r>
      <w:r>
        <w:rPr>
          <w:rFonts w:ascii="Cambria" w:cs="Cambria" w:eastAsia="Cambria" w:hAnsi="Cambria"/>
          <w:color w:val="000000"/>
          <w:sz w:val="24"/>
          <w:szCs w:val="24"/>
        </w:rPr>
        <w:t xml:space="preserve"> together with </w:t>
      </w:r>
      <w:r>
        <w:rPr>
          <w:rFonts w:ascii="Cambria" w:cs="Cambria" w:eastAsia="Cambria" w:hAnsi="Cambria"/>
          <w:color w:val="000000"/>
          <w:sz w:val="24"/>
          <w:szCs w:val="24"/>
        </w:rPr>
        <w:t xml:space="preserve">a live negative evaluation on the Ethereum Sepolia testnet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Formal security analysis, by contrast,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000000"/>
          <w:sz w:val="24"/>
          <w:szCs w:val="24"/>
        </w:rPr>
        <w:t xml:space="preserve">The term Trust Computing is used in this report to denote the evaluation of trust as a computable outcome of explicitly verified conditions on identity, authority, collective approval, policy and lifecycle, and it should be distinguished from trusted computing in the hardware sense, such as trusted execution environments and attestation, which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000000"/>
          <w:sz w:val="24"/>
          <w:szCs w:val="24"/>
        </w:rPr>
        <w:t xml:space="preserve">Multi-party authorisation concerns whether the required threshold of independently verified participants, defined by the patient in the consent object, has jointly established the authorisation condition at the time of each access decision rather than only at registration or in an emergency.</w:t>
      </w:r>
      <w:r>
        <w:rPr>
          <w:rFonts w:ascii="Cambria" w:cs="Cambria" w:eastAsia="Cambria" w:hAnsi="Cambria"/>
          <w:sz w:val="24"/>
          <w:szCs w:val="24"/>
        </w:rPr>
        <w:t xml:space="preserve">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000000"/>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000000"/>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000000"/>
          <w:sz w:val="24"/>
          <w:szCs w:val="24"/>
        </w:rPr>
        <w:t xml:space="preserve">The remainder of this report is organised as follows. Chapter 2 presents the systematic literature review and derives six requirements for trustworthy multi-party consent authorisation, Chapter 3 formulates the research gap and research questions, Chapter 4 states the research objectives, Chapter 5 describes the MVC-based research architecture, Chapter 6 presents the proposed solution, its algorithms and the live HALAH demonstration, and Chapters 7 to 9 report the current progress, publications and the research plan for the next stage.</w:t>
      </w:r>
    </w:p>
    <w:p>
      <w:pPr>
        <w:spacing w:after="140" w:line="300"/>
        <w:jc w:val="both"/>
      </w:pPr>
      <w:r>
        <w:rPr>
          <w:rFonts w:ascii="Cambria" w:cs="Cambria" w:eastAsia="Cambria" w:hAnsi="Cambria"/>
          <w:color w:val="000000"/>
          <w:sz w:val="24"/>
          <w:szCs w:val="24"/>
        </w:rPr>
        <w:t xml:space="preserve">It should be noted that the scope of the current stage is bounded. The HALAH prototype is deployed on the Ethereum Sepolia testnet with synthetic healthcare records, the guardian approval rule is currently implemented as N-of-N over the guardian set G, and the security properties of the framework are demonstrated through scenario-based, negative and adversarial testing rather than through formal proof, which is deferred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RO1: Trust-Centric Consent Model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RO4: Policy- and Context-Aware Access Control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w:t>
      </w:r>
      <w:r>
        <w:rPr>
          <w:rFonts w:ascii="Cambria" w:cs="Cambria" w:eastAsia="Cambria" w:hAnsi="Cambria"/>
          <w:color w:val="000000"/>
          <w:sz w:val="24"/>
          <w:szCs w:val="24"/>
        </w:rPr>
        <w:t xml:space="preserve">blockchain-based consent governance, decentralised identity and authority, multi-party authorisation, policy- and context-aware access control, temporal validity and consent lifecycle, and formal security assurance and empirical validation</w:t>
      </w:r>
      <w:r>
        <w:rPr>
          <w:rFonts w:ascii="Cambria" w:cs="Cambria" w:eastAsia="Cambria" w:hAnsi="Cambria"/>
          <w:sz w:val="24"/>
          <w:szCs w:val="24"/>
        </w:rPr>
        <w:t xml:space="preserve">.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A trustworthy framework therefore requires that consent is represented as a structured object whose components, namely the participating identities, the authority requirements, the permitted purpose and data scope, the temporal validity, the jurisdiction and the supporting evidence, can be evaluated independently at the time of each request. This is important because the same consent may be valid for one request and invalid for another, depending on who is asking, for what purpose and at what time.</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This requirement goes beyond a workflow in which several people click an approval button.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Even when the identities are valid and the required approvals have been obtained, an access request should be granted only if it conforms to the purpose and the data scope that the patient authorised, and to the contextual constraints that apply to the request, such as the jurisdiction in which the data may be used. A framework should evaluate every request against these constraints rather than relying on the existence of a valid consent record. </w:t>
      </w:r>
      <w:r>
        <w:rPr>
          <w:rFonts w:ascii="Cambria" w:cs="Cambria" w:eastAsia="Cambria" w:hAnsi="Cambria"/>
          <w:color w:val="000000"/>
          <w:sz w:val="24"/>
          <w:szCs w:val="24"/>
        </w:rPr>
        <w:t xml:space="preserve">This is important because many unauthorised disclosures in practice are caused not by unknown requesters but by legitimate requesters who exceed the scope of what was permitted, which is the insider risk that risk-aware and usage-control models seek to address [11].</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000000"/>
          <w:sz w:val="24"/>
          <w:szCs w:val="24"/>
        </w:rPr>
        <w:t xml:space="preserve">The review corpus comprises the 44 primary studies [35]–[78] that were identified, screened and coded through the process described in the remainder of this section, together with three secondary studies [79, 80, 81] that were retained for background only and that are not counted as primary evidence. All 44 primary studies were published between 2020 and 2026, which is the publication period fixed in the review protocol. Of the 44 studies, 19 were retrieved through IEEE Xplore, 21 through Scopus, three through ProQuest and one through the ACM Digital Library, after the duplicate records that these databases share with SpringerLink, ScienceDirect and Web of Science had been removed. In the remainder of this chapter, each primary study is referred to by the label Sn (S1 to S44) together with its reference number, so that the reader can move between the tables, the text and the reference list without ambiguity. Of these 44 studies, 25 are analysed in depth in Section 2.4 and 19 are retained as supporting evidence, as explained in Section 2.3.6.</w:t>
      </w:r>
    </w:p>
    <w:p>
      <w:pPr>
        <w:pStyle w:val="Heading3"/>
        <w:spacing w:after="160" w:before="280"/>
      </w:pPr>
      <w:r>
        <w:rPr>
          <w:rFonts w:ascii="Cambria" w:cs="Cambria" w:eastAsia="Cambria" w:hAnsi="Cambria"/>
          <w:color w:val="000000"/>
          <w:sz w:val="24"/>
          <w:szCs w:val="24"/>
        </w:rPr>
        <w:t xml:space="preserve">2.3.1  Review Design and Reporting Framework</w:t>
      </w:r>
    </w:p>
    <w:p>
      <w:pPr>
        <w:spacing w:after="140" w:line="300"/>
        <w:jc w:val="both"/>
      </w:pPr>
      <w:r>
        <w:rPr>
          <w:rFonts w:ascii="Cambria" w:cs="Cambria" w:eastAsia="Cambria" w:hAnsi="Cambria"/>
          <w:color w:val="000000"/>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In particular, the review considered not only whether a study addresses consent representation, identity, multi-party approval, policy enforcement, temporal validity or security assurance, but also whether these mechanisms are integrated into a single authorisation decision that can be trusted.</w:t>
      </w:r>
    </w:p>
    <w:p>
      <w:pPr>
        <w:spacing w:after="140" w:line="300"/>
        <w:jc w:val="both"/>
      </w:pPr>
      <w:r>
        <w:rPr>
          <w:rFonts w:ascii="Cambria" w:cs="Cambria" w:eastAsia="Cambria" w:hAnsi="Cambria"/>
          <w:color w:val="000000"/>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000000"/>
          <w:sz w:val="24"/>
          <w:szCs w:val="24"/>
        </w:rPr>
        <w:t xml:space="preserve">Screening and coding were performed by a review panel of six members, each of whom was responsible for one perspective of the review, namely review methodology, trust modelling, identity and multi-party authorisation, policy and temporal enforcement, formal and empirical assurance, and a chair who issued the final decision on each record.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All panel decisions were entered in a decision log (D-001 to D-166) that records the date, the subject, the position of each panel member, the evidence cited and the outcome, and the author retained the right to ratify, veto or reopen any decision by its identifier. The counts reported in this chapter are those of the checkpoint of 10 September 2026 (decision D-166).</w:t>
      </w:r>
    </w:p>
    <w:p>
      <w:pPr>
        <w:pStyle w:val="Heading3"/>
        <w:spacing w:after="160" w:before="280"/>
      </w:pPr>
      <w:r>
        <w:rPr>
          <w:rFonts w:ascii="Cambria" w:cs="Cambria" w:eastAsia="Cambria" w:hAnsi="Cambria"/>
          <w:color w:val="000000"/>
          <w:sz w:val="24"/>
          <w:szCs w:val="24"/>
        </w:rPr>
        <w:t xml:space="preserve">2.3.2  Questions for Review</w:t>
      </w:r>
    </w:p>
    <w:p>
      <w:pPr>
        <w:spacing w:after="140" w:line="300"/>
        <w:jc w:val="both"/>
      </w:pPr>
      <w:r>
        <w:rPr>
          <w:rFonts w:ascii="Cambria" w:cs="Cambria" w:eastAsia="Cambria" w:hAnsi="Cambria"/>
          <w:color w:val="000000"/>
          <w:sz w:val="24"/>
          <w:szCs w:val="24"/>
        </w:rPr>
        <w:t xml:space="preserve">This systematic literature review is guided by the following seven questions, </w:t>
      </w:r>
      <w:r>
        <w:rPr>
          <w:rFonts w:ascii="Cambria" w:cs="Cambria" w:eastAsia="Cambria" w:hAnsi="Cambria"/>
          <w:color w:val="000000"/>
          <w:sz w:val="24"/>
          <w:szCs w:val="24"/>
        </w:rPr>
        <w:t xml:space="preserve">which correspond to the six sub-research questions and the six research objectives of this study, the sixth of which is addressed by two review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00"/>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00"/>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00"/>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00"/>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00"/>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00"/>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00"/>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This question is not a review question in its own right, because it operationalises the research gap rather than a separate objective, and it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00"/>
          <w:sz w:val="24"/>
          <w:szCs w:val="24"/>
        </w:rPr>
        <w:t xml:space="preserve">2.3.3  Search Databases and Search Strategy</w:t>
      </w:r>
    </w:p>
    <w:p>
      <w:pPr>
        <w:spacing w:after="140" w:line="300"/>
        <w:jc w:val="both"/>
      </w:pPr>
      <w:r>
        <w:rPr>
          <w:rFonts w:ascii="Cambria" w:cs="Cambria" w:eastAsia="Cambria" w:hAnsi="Cambria"/>
          <w:color w:val="000000"/>
          <w:sz w:val="24"/>
          <w:szCs w:val="24"/>
        </w:rPr>
        <w:t xml:space="preserve">The literature search was conducted using the following seven academic databases: 1) IEEE Xplore, 2) SpringerLink, 3) ProQuest Science and Technology, 4) ScienceDirect, 5) Scopus, 6) Web of Science, and 7) ACM Digital Library. In addition, Google Scholar was used as a discovery arm for snowballing and for testing the sensitivity of the search, but not as a structured retrieval source; its results are reported under the PRISMA 2020 heading of records identified through other methods and are not summed into the database total.</w:t>
      </w:r>
    </w:p>
    <w:p>
      <w:pPr>
        <w:spacing w:after="140" w:line="300"/>
        <w:jc w:val="both"/>
      </w:pPr>
      <w:r>
        <w:rPr>
          <w:rFonts w:ascii="Cambria" w:cs="Cambria" w:eastAsia="Cambria" w:hAnsi="Cambria"/>
          <w:color w:val="000000"/>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00"/>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00"/>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00"/>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It should also be noted that the review protocol originally listed eight family-specific sensitivity queries for IEEE Xplore; these were superseded by the single master query and were never executed, and this is declared as a documented deviation from the protocol rather than an unexecuted step.</w:t>
      </w:r>
    </w:p>
    <w:p>
      <w:pPr>
        <w:pStyle w:val="Heading3"/>
        <w:spacing w:after="160" w:before="280"/>
      </w:pPr>
      <w:r>
        <w:rPr>
          <w:rFonts w:ascii="Cambria" w:cs="Cambria" w:eastAsia="Cambria" w:hAnsi="Cambria"/>
          <w:color w:val="000000"/>
          <w:sz w:val="24"/>
          <w:szCs w:val="24"/>
        </w:rPr>
        <w:t xml:space="preserve">2.3.4  Search Period and Search Execution</w:t>
      </w:r>
    </w:p>
    <w:p>
      <w:pPr>
        <w:spacing w:after="140" w:line="300"/>
        <w:jc w:val="both"/>
      </w:pPr>
      <w:r>
        <w:rPr>
          <w:rFonts w:ascii="Cambria" w:cs="Cambria" w:eastAsia="Cambria" w:hAnsi="Cambria"/>
          <w:color w:val="000000"/>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fall outside this period by design and are considered only as background through snowballing, and this date-range decision is recorded in the protocol.</w:t>
      </w:r>
    </w:p>
    <w:p>
      <w:pPr>
        <w:spacing w:after="140" w:line="300"/>
        <w:jc w:val="both"/>
      </w:pPr>
      <w:r>
        <w:rPr>
          <w:rFonts w:ascii="Cambria" w:cs="Cambria" w:eastAsia="Cambria" w:hAnsi="Cambria"/>
          <w:color w:val="000000"/>
          <w:sz w:val="24"/>
          <w:szCs w:val="24"/>
        </w:rPr>
        <w:t xml:space="preserve">The searches were executed on 24 and 25 August 2026 for IEEE Xplore, Scopus, Web of Science, ProQuest, ScienceDirect, SpringerLink and Google Scholar, and on 5 September 2026 for the ACM Digital Library, </w:t>
      </w:r>
      <w:r>
        <w:rPr>
          <w:rFonts w:ascii="Cambria" w:cs="Cambria" w:eastAsia="Cambria" w:hAnsi="Cambria"/>
          <w:color w:val="000000"/>
          <w:sz w:val="24"/>
          <w:szCs w:val="24"/>
        </w:rPr>
        <w:t xml:space="preserve">which was added as a late arm after the six other database searches had been frozen, and this late addition is declared as a limitation of the search strategy</w:t>
      </w:r>
      <w:r>
        <w:rPr>
          <w:rFonts w:ascii="Cambria" w:cs="Cambria" w:eastAsia="Cambria" w:hAnsi="Cambria"/>
          <w:color w:val="000000"/>
          <w:sz w:val="24"/>
          <w:szCs w:val="24"/>
        </w:rPr>
        <w:t xml:space="preserve">. Each query was frozen with a search identifier and a version number (IEEE-M v2, SCOPUS-M v3, WOS-M v2, PROQ-M v2, SD-M v2, SPR-M v3, GS-M v2 and ACM-M v1) before its export was accepted, and a changed query was always recorded as a new version rather than overwriting the previous one. Superseded versions were archived with their cause; for example, the first two Scopus versions were rejected because a subject-area limit had removed the medical-venue records, and an initial ProQuest run over the full text was rejected because its scope was inconsistent with the title, abstract and keyword scope of the other databases.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00"/>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ProQuest returned 1,180 records, ScienceDirect 65 records (23 after within-source deduplication), Scopus 2,133 records, Web of Science 1,137 records, which had to be exported by e-mail because the direct download was blocked by the library proxy, and the ACM Digital Library 40 records.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000000"/>
          <w:sz w:val="24"/>
          <w:szCs w:val="24"/>
        </w:rPr>
        <w:t xml:space="preserve">The purpose of the sentinel test was to validate the recall of the master query before it was frozen. Twelve sentinel papers that were already known to be relevant to the review questions, each representing one trust dimension, were defined in advance, and the frozen query was tested for whether it retrieved each of them. The four healthcare-scoped sentinels, namely Madine et al. [53], Jaiman and Urovi [49], Tith et al. [71] and Albalwy et al. [37], were retrieved by the master query, the first two through IEEE Xplore and all four through Scopus, Web of Science and ProQuest, and all four were present in the merged register. The sentinels that were not retrieved were diagnosed individually: </w:t>
      </w:r>
      <w:r>
        <w:rPr>
          <w:rFonts w:ascii="Cambria" w:cs="Cambria" w:eastAsia="Cambria" w:hAnsi="Cambria"/>
          <w:color w:val="000000"/>
          <w:sz w:val="24"/>
          <w:szCs w:val="24"/>
        </w:rPr>
        <w:t xml:space="preserve">in five of the eight cases the paper is not healthcare-scoped in its title, abstract and keywords, or it is an identity-generic study in which healthcare is only an application domain, so that the healthcare block of the query correctly excludes it; one sentinel lacks the trust and multi-party terms of the third block; one is the 2016 MedRec proposal, which lies outside the date range by design; and for one sentinel the cause of the miss had not been established at the checkpoint and is recorded as an open item</w:t>
      </w:r>
      <w:r>
        <w:rPr>
          <w:rFonts w:ascii="Cambria" w:cs="Cambria" w:eastAsia="Cambria" w:hAnsi="Cambria"/>
          <w:color w:val="000000"/>
          <w:sz w:val="24"/>
          <w:szCs w:val="24"/>
        </w:rPr>
        <w:t xml:space="preserve">. These misses were therefore attributed to venue or scope and not to a defect of the query, and the protocol rule that no query is tuned to rescue a single paper was observed; such papers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00"/>
          <w:sz w:val="24"/>
          <w:szCs w:val="24"/>
        </w:rPr>
        <w:t xml:space="preserve">2.3.5  Eligibility Criteria</w:t>
      </w:r>
    </w:p>
    <w:p>
      <w:pPr>
        <w:spacing w:after="140" w:line="300"/>
        <w:jc w:val="both"/>
      </w:pPr>
      <w:r>
        <w:rPr>
          <w:rFonts w:ascii="Cambria" w:cs="Cambria" w:eastAsia="Cambria" w:hAnsi="Cambria"/>
          <w:color w:val="000000"/>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00"/>
          <w:sz w:val="24"/>
          <w:szCs w:val="24"/>
        </w:rPr>
        <w:t xml:space="preserve">A study was included if it satisfied all of the following criteria:</w:t>
      </w:r>
    </w:p>
    <w:p>
      <w:pPr>
        <w:spacing w:after="140" w:line="300"/>
        <w:jc w:val="both"/>
      </w:pPr>
      <w:r>
        <w:rPr>
          <w:rFonts w:ascii="Cambria" w:cs="Cambria" w:eastAsia="Cambria" w:hAnsi="Cambria"/>
          <w:color w:val="000000"/>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00"/>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00"/>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00"/>
          <w:sz w:val="24"/>
          <w:szCs w:val="24"/>
        </w:rPr>
        <w:t xml:space="preserve">4. IC4: Peer-reviewed journal or conference paper.</w:t>
      </w:r>
    </w:p>
    <w:p>
      <w:pPr>
        <w:spacing w:after="140" w:line="300"/>
        <w:jc w:val="both"/>
      </w:pPr>
      <w:r>
        <w:rPr>
          <w:rFonts w:ascii="Cambria" w:cs="Cambria" w:eastAsia="Cambria" w:hAnsi="Cambria"/>
          <w:color w:val="000000"/>
          <w:sz w:val="24"/>
          <w:szCs w:val="24"/>
        </w:rPr>
        <w:t xml:space="preserve">5. IC5: Available in English.</w:t>
      </w:r>
    </w:p>
    <w:p>
      <w:pPr>
        <w:spacing w:after="140" w:line="300"/>
        <w:jc w:val="both"/>
      </w:pPr>
      <w:r>
        <w:rPr>
          <w:rFonts w:ascii="Cambria" w:cs="Cambria" w:eastAsia="Cambria" w:hAnsi="Cambria"/>
          <w:color w:val="000000"/>
          <w:sz w:val="24"/>
          <w:szCs w:val="24"/>
        </w:rPr>
        <w:t xml:space="preserve">6. IC6: Full text available for final inclusion.</w:t>
      </w:r>
    </w:p>
    <w:p>
      <w:pPr>
        <w:spacing w:after="140" w:line="300"/>
        <w:jc w:val="both"/>
      </w:pPr>
      <w:r>
        <w:rPr>
          <w:rFonts w:ascii="Cambria" w:cs="Cambria" w:eastAsia="Cambria" w:hAnsi="Cambria"/>
          <w:color w:val="000000"/>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00"/>
          <w:sz w:val="24"/>
          <w:szCs w:val="24"/>
        </w:rPr>
        <w:t xml:space="preserve">A study was excluded if it satisfied one or more of the following criteria:</w:t>
      </w:r>
    </w:p>
    <w:p>
      <w:pPr>
        <w:spacing w:after="140" w:line="300"/>
        <w:jc w:val="both"/>
      </w:pPr>
      <w:r>
        <w:rPr>
          <w:rFonts w:ascii="Cambria" w:cs="Cambria" w:eastAsia="Cambria" w:hAnsi="Cambria"/>
          <w:color w:val="000000"/>
          <w:sz w:val="24"/>
          <w:szCs w:val="24"/>
        </w:rPr>
        <w:t xml:space="preserve">1. EC1: Outside healthcare.</w:t>
      </w:r>
    </w:p>
    <w:p>
      <w:pPr>
        <w:spacing w:after="140" w:line="300"/>
        <w:jc w:val="both"/>
      </w:pPr>
      <w:r>
        <w:rPr>
          <w:rFonts w:ascii="Cambria" w:cs="Cambria" w:eastAsia="Cambria" w:hAnsi="Cambria"/>
          <w:color w:val="000000"/>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00"/>
          <w:sz w:val="24"/>
          <w:szCs w:val="24"/>
        </w:rPr>
        <w:t xml:space="preserve">3. EC3: Blockchain consensus but not authorization trust.</w:t>
      </w:r>
    </w:p>
    <w:p>
      <w:pPr>
        <w:spacing w:after="140" w:line="300"/>
        <w:jc w:val="both"/>
      </w:pPr>
      <w:r>
        <w:rPr>
          <w:rFonts w:ascii="Cambria" w:cs="Cambria" w:eastAsia="Cambria" w:hAnsi="Cambria"/>
          <w:color w:val="000000"/>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00"/>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00"/>
          <w:sz w:val="24"/>
          <w:szCs w:val="24"/>
        </w:rPr>
        <w:t xml:space="preserve">6. EC6: Duplicate publication.</w:t>
      </w:r>
    </w:p>
    <w:p>
      <w:pPr>
        <w:spacing w:after="140" w:line="300"/>
        <w:jc w:val="both"/>
      </w:pPr>
      <w:r>
        <w:rPr>
          <w:rFonts w:ascii="Cambria" w:cs="Cambria" w:eastAsia="Cambria" w:hAnsi="Cambria"/>
          <w:color w:val="000000"/>
          <w:sz w:val="24"/>
          <w:szCs w:val="24"/>
        </w:rPr>
        <w:t xml:space="preserve">7. EC7: Secondary review (kept separately for background/snowballing).</w:t>
      </w:r>
    </w:p>
    <w:p>
      <w:pPr>
        <w:spacing w:after="140" w:line="300"/>
        <w:jc w:val="both"/>
      </w:pPr>
      <w:r>
        <w:rPr>
          <w:rFonts w:ascii="Cambria" w:cs="Cambria" w:eastAsia="Cambria" w:hAnsi="Cambria"/>
          <w:color w:val="000000"/>
          <w:sz w:val="24"/>
          <w:szCs w:val="24"/>
        </w:rPr>
        <w:t xml:space="preserve">8. EC8: Full text unobtainable after reasonable attempts.</w:t>
      </w:r>
    </w:p>
    <w:p>
      <w:pPr>
        <w:spacing w:after="140" w:line="300"/>
        <w:jc w:val="both"/>
      </w:pPr>
      <w:r>
        <w:rPr>
          <w:rFonts w:ascii="Cambria" w:cs="Cambria" w:eastAsia="Cambria" w:hAnsi="Cambria"/>
          <w:color w:val="000000"/>
          <w:sz w:val="24"/>
          <w:szCs w:val="24"/>
        </w:rPr>
        <w:t xml:space="preserve">9. EC9: Superficial mention of healthcare or consent; no evidence for SLR questions.</w:t>
      </w:r>
    </w:p>
    <w:p>
      <w:pPr>
        <w:spacing w:after="140" w:line="300"/>
        <w:jc w:val="both"/>
      </w:pPr>
      <w:r>
        <w:rPr>
          <w:rFonts w:ascii="Cambria" w:cs="Cambria" w:eastAsia="Cambria" w:hAnsi="Cambria"/>
          <w:color w:val="000000"/>
          <w:sz w:val="24"/>
          <w:szCs w:val="24"/>
        </w:rPr>
        <w:t xml:space="preserve">Two rules governed the application of these criteria. First, a study was never excluded because it does not support the proposed research gap; the criteria concern relevance, document type and availability only, and a study whose findings contradict or weaken the gap was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00"/>
          <w:sz w:val="24"/>
          <w:szCs w:val="24"/>
        </w:rPr>
        <w:t xml:space="preserve">2.3.6  Screening and Study Selection</w:t>
      </w:r>
    </w:p>
    <w:p>
      <w:pPr>
        <w:spacing w:after="140" w:line="300"/>
        <w:jc w:val="both"/>
      </w:pPr>
      <w:r>
        <w:rPr>
          <w:rFonts w:ascii="Cambria" w:cs="Cambria" w:eastAsia="Cambria" w:hAnsi="Cambria"/>
          <w:color w:val="000000"/>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00"/>
          <w:sz w:val="24"/>
          <w:szCs w:val="24"/>
        </w:rPr>
        <w:t xml:space="preserve">In the identification stage, the seven database searches returned 9,256 records (IEEE Xplore 1,806; SpringerLink 2,895; ProQuest 1,180; ScienceDirect 65; Scopus 2,133; Web of Science 1,137; ACM Digital Library 40).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w:t>
      </w:r>
      <w:r>
        <w:rPr>
          <w:rFonts w:ascii="Cambria" w:cs="Cambria" w:eastAsia="Cambria" w:hAnsi="Cambria"/>
          <w:color w:val="000000"/>
          <w:sz w:val="24"/>
          <w:szCs w:val="24"/>
        </w:rPr>
        <w:t xml:space="preserve">422 within-source duplicates from the SpringerLink and ScienceDirect sub-queries, together with the one IEEE Xplore record that was not captured at the export boundary (423 records in total),</w:t>
      </w:r>
      <w:r>
        <w:rPr>
          <w:rFonts w:ascii="Cambria" w:cs="Cambria" w:eastAsia="Cambria" w:hAnsi="Cambria"/>
          <w:color w:val="000000"/>
          <w:sz w:val="24"/>
          <w:szCs w:val="24"/>
        </w:rPr>
        <w:t xml:space="preserve"> and 2,794 cross-database duplicates were removed by DOI and normalised-title matching, leaving 6,039 unique records.</w:t>
      </w:r>
    </w:p>
    <w:p>
      <w:pPr>
        <w:spacing w:after="140" w:line="300"/>
        <w:jc w:val="both"/>
      </w:pPr>
      <w:r>
        <w:rPr>
          <w:rFonts w:ascii="Cambria" w:cs="Cambria" w:eastAsia="Cambria" w:hAnsi="Cambria"/>
          <w:color w:val="000000"/>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00"/>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The remaining 588 records, 575 of them from SpringerLink, could not be screened at this stage because the SpringerLink export does not contain abstracts; these records were marked as pending and were not advanced, and they are reported as such in the flow diagram rather than being counted as screened or excluded. Therefore, 1,800 records advanced to full-text retrieval.</w:t>
      </w:r>
    </w:p>
    <w:p>
      <w:pPr>
        <w:spacing w:after="140" w:line="300"/>
        <w:jc w:val="both"/>
      </w:pPr>
      <w:r>
        <w:rPr>
          <w:rFonts w:ascii="Cambria" w:cs="Cambria" w:eastAsia="Cambria" w:hAnsi="Cambria"/>
          <w:color w:val="000000"/>
          <w:sz w:val="24"/>
          <w:szCs w:val="24"/>
        </w:rPr>
        <w:t xml:space="preserve">Because the full-text pool of 1,800 records was too large to be read exhaustively within the study period, it was prioritised by signal detectors applied to the title and abstract of each record for the seven trust dimensions T1 to T7, the consent-core terms, formal-verification terms and evaluation terms.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All 39 Tier A records were assessed at full text. Tier B and Tier C records were then read in a targeted order under a dimension-level saturation rule, under which saturation of a dimension is declared when eight consecutively coded studies carrying a positive signal for that dimension yield no new mechanism class for it; saturation is declared per dimension and never for the corpus as a whole.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00"/>
          <w:sz w:val="24"/>
          <w:szCs w:val="24"/>
        </w:rPr>
        <w:t xml:space="preserve">Therefore, 1,735 of the 1,800 records sought at full text had not been assessed at the checkpoint, in addition to the 588 pending-abstract records that had not been screened. The completeness of the corpus is consequently bounded by the dimension-level saturation rule rather than by exhaustive reading, and this is declared as a limitation of the review that is carried into the interpretation of the synthesis in Section 2.5.</w:t>
      </w:r>
    </w:p>
    <w:p>
      <w:pPr>
        <w:spacing w:after="140" w:line="300"/>
        <w:jc w:val="both"/>
      </w:pPr>
      <w:r>
        <w:rPr>
          <w:rFonts w:ascii="Cambria" w:cs="Cambria" w:eastAsia="Cambria" w:hAnsi="Cambria"/>
          <w:color w:val="000000"/>
          <w:sz w:val="24"/>
          <w:szCs w:val="24"/>
        </w:rPr>
        <w:t xml:space="preserve">At the checkpoint, one full text could not be retrieved after five documented retrieval routes (EC8), and 64 full texts had been assessed for eligibility. Of these, 17 were excluded with reasons: nine under EC9 (superficial healthcare or consent relevance, including several studies in which consent was only a clinical procedure or a machine-learning metric), three under EC1 (outside healthcare), two under EC5 (non-peer-reviewed items), two under EC2 (no authorisation relevance) and one under EC4 (identity authentication only). Three studies were classified as secondary reviews under EC7 and retained for background [79, 80, 81]. The remaining 44 studies were included as primary studies and coded in full; of these, 23 are classified as core studies and 21 as supporting studies under the synthesis rule described in Section 2.3.7. Every included study also passed the quality gate described in Section 2.3.7, and the studies that fell exactly on the boundary of the gate were retained and tested in a sensitivity analysis rather than being excluded. For the in-depth review of Section 2.4, the 23 core studies are analysed together with the two highest-quality supporting studies, Albalwy et al. [37] and Li et al. [51], each with a quality score of 7.0, giving 25 analysed studies; the remaining 19 supporting studies are retained as reference evidence and are cited in the supporting-evidence paragraph of each review stream. This bound was adopted so that the review concentrates on the studies that bear most directly on the research gap while every included study remains traceable in Table 2 and in the reference list.</w:t>
      </w:r>
    </w:p>
    <w:p>
      <w:pPr>
        <w:keepNext/>
        <w:spacing w:after="60" w:before="140"/>
        <w:jc w:val="center"/>
      </w:pPr>
      <w:r>
        <w:drawing>
          <wp:inline distT="0" distB="0" distL="0" distR="0">
            <wp:extent cx="5715000" cy="4857750"/>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857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spacing w:after="140" w:line="300"/>
        <w:jc w:val="both"/>
      </w:pPr>
      <w:r>
        <w:rPr>
          <w:rFonts w:ascii="Cambria" w:cs="Cambria" w:eastAsia="Cambria" w:hAnsi="Cambria"/>
          <w:color w:val="000000"/>
          <w:sz w:val="24"/>
          <w:szCs w:val="24"/>
        </w:rPr>
        <w:t xml:space="preserve">Figure 2 presents the PRISMA 2020 flow diagram for this review, which summarises the identification, screening, eligibility and inclusion stages described above, including the records identified through the Google Scholar discovery arm, the pending-abstract records that were not advanced, the full text that could not be retrieved, and the reasons for exclusion at the full-text stage. The chain of counts in the diagram is internally consistent: 9,256 minus 2,794 minus 423 gives the 6,039 titles screened; 6,039 minus 2,910 gives the 3,129 records advanced to the abstract stage; 3,129 minus 741 minus 588 gives the 1,800 full texts sought; 39 plus 1,066 plus 695 gives the same 1,800; and the 64 full texts assessed comprise the 44 included primary studies, the three secondary studies and the 17 excluded reports.</w:t>
      </w:r>
    </w:p>
    <w:p>
      <w:pPr>
        <w:pStyle w:val="Heading3"/>
        <w:spacing w:after="160" w:before="280"/>
      </w:pPr>
      <w:r>
        <w:rPr>
          <w:rFonts w:ascii="Cambria" w:cs="Cambria" w:eastAsia="Cambria" w:hAnsi="Cambria"/>
          <w:color w:val="000000"/>
          <w:sz w:val="24"/>
          <w:szCs w:val="24"/>
        </w:rPr>
        <w:t xml:space="preserve">2.3.7  Data Extraction, Quality Assessment and Synthesis</w:t>
      </w:r>
    </w:p>
    <w:p>
      <w:pPr>
        <w:spacing w:after="140" w:line="300"/>
        <w:jc w:val="both"/>
      </w:pPr>
      <w:r>
        <w:rPr>
          <w:rFonts w:ascii="Cambria" w:cs="Cambria" w:eastAsia="Cambria" w:hAnsi="Cambria"/>
          <w:color w:val="000000"/>
          <w:sz w:val="24"/>
          <w:szCs w:val="24"/>
        </w:rPr>
        <w:t xml:space="preserve">The included studies were analysed using a predefined data extraction form that was implemented as the screening register of the workbook. For every study, the extracted information included the bibliographic record, the document type, the coding of the seven trust dimensions and the seven requirements defined below, the page reference and evidence note on which each positive coding rests, technology flags (blockchain, decentralised identifier, verifiable credential, threshold mechanism, policy model, revocation mechanism, formal method, prototype and dataset), the eight quality assessment items, the evidence tier, the gap-impact verdict, the reviewer and any recorded dissent.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00"/>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00"/>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with Partial awarded for a threat discussion only; the statement that a system is secure is not evidence.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000000"/>
          <w:sz w:val="24"/>
          <w:szCs w:val="24"/>
        </w:rPr>
        <w:t xml:space="preserve">Each study that passed the relevance criteria at the full-text stage was additionally evaluated against eight quality assessment items</w:t>
      </w:r>
      <w:r>
        <w:rPr>
          <w:rFonts w:ascii="Cambria" w:cs="Cambria" w:eastAsia="Cambria" w:hAnsi="Cambria"/>
          <w:color w:val="000000"/>
          <w:sz w:val="24"/>
          <w:szCs w:val="24"/>
        </w:rPr>
        <w:t xml:space="preserve"> scored 1 for Yes, 0.5 for Partial and 0 for No. 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and QA4 asks whether the proposed methodology is validated by a proof of concept or an implementation. A study was included when the sum of QA1 to QA4 was at least 3.0. The remaining four items, QA5 to QA8, do not affect inclusion but inform the evidence tier assigned to each study, </w:t>
      </w:r>
      <w:r>
        <w:rPr>
          <w:rFonts w:ascii="Cambria" w:cs="Cambria" w:eastAsia="Cambria" w:hAnsi="Cambria"/>
          <w:color w:val="000000"/>
          <w:sz w:val="24"/>
          <w:szCs w:val="24"/>
        </w:rPr>
        <w:t xml:space="preserve">namely evidence Tier A for strong direct evidence, evidence Tier B for direct evidence with limitations, evidence Tier C for a supporting mechanism and Background for the secondary studies. It should be noted that these evidence tiers are distinct from the full-text priority tiers of Section 2.3.6, which use the same letters but rank records for reading order only</w:t>
      </w:r>
      <w:r>
        <w:rPr>
          <w:rFonts w:ascii="Cambria" w:cs="Cambria" w:eastAsia="Cambria" w:hAnsi="Cambria"/>
          <w:color w:val="000000"/>
          <w:sz w:val="24"/>
          <w:szCs w:val="24"/>
        </w:rPr>
        <w:t xml:space="preserve">. It should be noted that a low quality score was never treated as evidence for or against the research gap; studies with low scores were retained and their influence was tested in a sensitivity analysis. Quality items were scored for every included study and for exclusions in which the relevance gate corroborated the decision, </w:t>
      </w:r>
      <w:r>
        <w:rPr>
          <w:rFonts w:ascii="Cambria" w:cs="Cambria" w:eastAsia="Cambria" w:hAnsi="Cambria"/>
          <w:color w:val="000000"/>
          <w:sz w:val="24"/>
          <w:szCs w:val="24"/>
        </w:rPr>
        <w:t xml:space="preserve">but not for studies excluded as outside healthcare (EC1) or on document type, duplication, secondary status or unavailability (EC5 to EC8), because these criteria precede quality assessment in the protocol</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included studies were divided into core and supporting studies for the synthesis. The distinction was adopted at decision D-164 and tightened at decision D-166 to the following rule: a study is a core study if, and only if, its gap-impact verdict is contradicts, weakens or narrows, or its T3 coding is Yes or Partial. Under this rule, 23 of the 44 included studies are core studies and 21 are supporting studies. The distinction does not affect the PRISMA inclusion counts; supporting studies are reviewed in Section 2.4 and cited as corroboration, while the core studies carry the argument of the synthesis in Section 2.5.</w:t>
      </w:r>
    </w:p>
    <w:p>
      <w:pPr>
        <w:spacing w:after="140" w:line="300"/>
        <w:jc w:val="both"/>
      </w:pPr>
      <w:r>
        <w:rPr>
          <w:rFonts w:ascii="Cambria" w:cs="Cambria" w:eastAsia="Cambria" w:hAnsi="Cambria"/>
          <w:color w:val="000000"/>
          <w:sz w:val="24"/>
          <w:szCs w:val="24"/>
        </w:rPr>
        <w:t xml:space="preserve">Coding and synthesis were performed by the six-member review panel described in Section 2.3.1. For each full text, the panel executed a fixed review template in which the first member verified the completeness of the full text and the bibliographic identity of the record and applied the eligibility and quality gates, the second member coded consent representation and trust modelling, the third member coded identity, authority and multi-party authorisation, the fourth member coded policy, temporal and lifecycle enforcement, the fifth member coded formal assurance and empirical validation, and the chair issued the final decision and the gap-impact verdict. Where a member disagreed with the final decision, the dissent was recorded in the register against the study together with the reason, and the chair's decision stood subject to the author's ratification; a dissent was never removed from the log, so that the boundary cases remain visible in the sensitivity analysis.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00"/>
          <w:sz w:val="24"/>
          <w:szCs w:val="24"/>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44 shortlisted studies was analysed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A study was placed in the stream in which its principal contribution lies, even though most studies touch on more than one requirement, and the extent to which each study addresses every requirement is recorded in the study tables of Section 2.4. The studies are listed in Table 2 in the order of their labels S1 to S44, together with their reference numbers [35] to [78]. The studies in each stream are reviewed in the next section, and their issues and limitations with respect to the key requirements defined in Section 2.2 are discussed. The last column of Table 2 states whether the study is analysed in depth in Section 2.4 or retained as supporting evidence.</w:t>
      </w:r>
    </w:p>
    <w:p>
      <w:pPr>
        <w:spacing w:after="140" w:line="300"/>
        <w:jc w:val="both"/>
      </w:pPr>
      <w:r>
        <w:rPr>
          <w:rFonts w:ascii="Cambria" w:cs="Cambria" w:eastAsia="Cambria" w:hAnsi="Cambria"/>
          <w:color w:val="000000"/>
          <w:sz w:val="24"/>
          <w:szCs w:val="24"/>
        </w:rPr>
        <w:t xml:space="preserve">Figure 3 profiles the 44 included studies by publication year and by review stream.</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900"/>
        <w:gridCol w:w="600"/>
        <w:gridCol w:w="3340"/>
        <w:gridCol w:w="1600"/>
        <w:gridCol w:w="110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3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1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c>
          <w:tcPr>
            <w:tcW w:type="dxa" w:w="11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Role</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Akter and Sanam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[36]</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Framework for Secure Healthcare Data Management Using Role-Based Access Control and Smart Contracts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Bhalerao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[39]</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Decentralized Cryptographic Governance for Cloud-Based Medical Record Infrastructure: A Distributed Ledger Framework for Cyber-Resilient Healthcare Data Sovereignty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Cao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[40]</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 Set Intersection Protocol for Medical Data Security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Chockalingam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[41]</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Improving Security and Privacy of Cognitive Digital Twins Through Dynamic Consent for Healthcare and Resilient Societies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Dhanraj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[42]</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Blockchain-Augmented Federated Learning for Secure and Healthcare Diagnosis from Distributed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Ferreira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[45]</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Integration for Trust and Consent Management in MCP-Enabled FHIR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Ghosh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[46]</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Hybrid Quantum-Safe Attribute-Based Access Control Scheme with Attribute Revocation Strategy for Smart Healthcare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Gao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[48]</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Blockchain-Assisted Revocable and Efficient ABSE Scheme for Secure Medical Data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Luo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[52]</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Bilateral Privacy-Aware Proxy Re-Encryption With Traceability and Revocation for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[56]</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Efficient Encryption Scheme with Fully Hidden Access Policy for Medical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Prashanth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[60]</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Health Record Security and Privacy with Blockchain-Based Access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Qiao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[62]</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Lightweight CP-ABE Scheme for EHR Over Cloud Based on Blockchain and Secure Multi-Party Computation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Sawant and Gomes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[65]</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Decentralized Solution for Smarter and Safer Healthcare Systems with FabricMedChain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Shanmugham and Senthilkumar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[66]</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Enabled Self-Sovereign Identity and Consent Framework for Secure Healthcare Data Access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Ranaweera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[68]</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Ensuring Electronic Health Record (EHR) Privacy using Zero Knowledge Proofs (ZKP) and Secure Encryption Schemes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Teeda and Subba Rao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[70]</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Blockchain Based Electronic Health Records for Data Privacy and Confidentiality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Wagner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[74]</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Integration of Trusted Third Party Software into an EDC System for Data Protection - Compliant Identity Management, Consent Management and Pseudonymization in Medical Research Studies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Xu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[77]</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Privacy-Preserving Medical Data Sharing Scheme Based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(2022)</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[78]</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Patient-centered cross-enterprise document sharing and dynamic consent framework using consortium blockchain and ciphertext-policy attribute-based encryption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bl>
    <w:p>
      <w:pPr>
        <w:spacing w:after="180"/>
      </w:pPr>
    </w:p>
    <w:p>
      <w:pPr>
        <w:keepNext/>
        <w:spacing w:after="60" w:before="140"/>
        <w:jc w:val="center"/>
      </w:pPr>
      <w:r>
        <w:drawing>
          <wp:inline distT="0" distB="0" distL="0" distR="0">
            <wp:extent cx="5715000" cy="2076450"/>
            <wp:effectExtent t="0" r="0" b="0" l="0"/>
            <wp:docPr id="1" name="gfig2a.png" descr="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 title="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76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w:t>
      </w:r>
    </w:p>
    <w:p>
      <w:pPr>
        <w:pStyle w:val="Heading2"/>
        <w:spacing w:after="160" w:before="280"/>
      </w:pPr>
      <w:r>
        <w:rPr>
          <w:rFonts w:ascii="Cambria" w:cs="Cambria" w:eastAsia="Cambria" w:hAnsi="Cambria"/>
          <w:color w:val="000000"/>
          <w:sz w:val="24"/>
          <w:szCs w:val="24"/>
        </w:rPr>
        <w:t xml:space="preserve">2.4  Review</w:t>
      </w:r>
    </w:p>
    <w:p>
      <w:pPr>
        <w:spacing w:after="140" w:line="300"/>
        <w:jc w:val="both"/>
      </w:pPr>
      <w:r>
        <w:rPr>
          <w:rFonts w:ascii="Cambria" w:cs="Cambria" w:eastAsia="Cambria" w:hAnsi="Cambria"/>
          <w:color w:val="000000"/>
          <w:sz w:val="24"/>
          <w:szCs w:val="24"/>
        </w:rPr>
        <w:t xml:space="preserve">This section reviews the 44 primary studies that were shortlisted in Section 2.3.8. The review is organised by the six key requirements of Section 2.2, so that Sections 2.4.1 to 2.4.6 correspond to Req 1 to Req 6 respectively. It should be noted that the 44 included studies are not all discussed individually. Following the synthesis rule ratified by the coding panel (D-166), 23 studies were classified as core, because their full-text evidence contradicts, weakens or narrows the research gap or because they involve more than one authorising party (T3 graded Yes or Partial), and the remaining 21 were classified as supporting. The in-depth review in this section therefore covers 25 analysed studies, namely the 23 core studies together with the two supporting studies with the highest quality-assessment score, Albalwy et al. [37] and Li et al. [51], each scored 7.0 of 8. The other 19 supporting studies remain included in the review corpus and in Table 2, but they are cited only in a short closing paragraph of the stream to which they were assigned, which states in general terms what they corroborate. Each subsection reviews the analysed studies that were assigned to that stream, states their issues and limitations with respect to the requirement in question, and ends with a table that summarises the analysed studies and records their commitment to all six requirements, where √ denotes that the requirement is satisfied, ~ denotes that it is partially satisfied and × denotes that it is not satisfied, as coded from the full texts using the codebook described in Section 2.3.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25 analysed studies only. In addition, a small number of studies outside the healthcare consent domain, concerning archival record-keeping [8], blockchain data integrity [17], attested execution environments [23] and decentralised decision-making [29], were consulted as background for the supporting requirements of Section 2.2 and are not part of the review corpus.</w:t>
      </w:r>
    </w:p>
    <w:p>
      <w:pPr>
        <w:keepNext/>
        <w:spacing w:after="60" w:before="140"/>
        <w:jc w:val="center"/>
      </w:pPr>
      <w:r>
        <w:drawing>
          <wp:inline distT="0" distB="0" distL="0" distR="0">
            <wp:extent cx="5334000" cy="4095750"/>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095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00"/>
          <w:sz w:val="24"/>
          <w:szCs w:val="24"/>
        </w:rPr>
        <w:t xml:space="preserve">2.4.1  Consent Representation and Blockchain-Based Consent Governance</w:t>
      </w:r>
    </w:p>
    <w:p>
      <w:pPr>
        <w:spacing w:after="140" w:line="300"/>
        <w:jc w:val="both"/>
      </w:pPr>
      <w:r>
        <w:rPr>
          <w:rFonts w:ascii="Cambria" w:cs="Cambria" w:eastAsia="Cambria" w:hAnsi="Cambria"/>
          <w:color w:val="000000"/>
          <w:sz w:val="24"/>
          <w:szCs w:val="24"/>
        </w:rPr>
        <w:t xml:space="preserve">This section reviews the two analysed studies whose main contribution is the representation and governance of patient consent, both of which are deployed platforms rather than research prototypes; the ten supporting studies assigned to this stream, most of which govern consent on a blockchain, are cited at the end of the section.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The full-text coding shows that all twelve studies assigned to this stream, including the two analysed here, were graded Partial on Req 1 and that none was graded Yes. In this context, three situations recur across the stream: consent that is represented but absent from the decision, consent that is present in the decision but reduced to a boolean flag, and consent that is held in a registry whose status is displayed or queried but never enforced. The two analysed studies illustrate the first and the third of these situations in production settings.</w:t>
      </w:r>
    </w:p>
    <w:p>
      <w:pPr>
        <w:spacing w:after="140" w:line="300"/>
        <w:jc w:val="both"/>
      </w:pPr>
      <w:r>
        <w:rPr>
          <w:rFonts w:ascii="Cambria" w:cs="Cambria" w:eastAsia="Cambria" w:hAnsi="Cambria"/>
          <w:color w:val="000000"/>
          <w:sz w:val="24"/>
          <w:szCs w:val="24"/>
        </w:rPr>
        <w:t xml:space="preserve">Soohoo et al. [67] describe the authentication and authorisation module of the iAgree patient-controlled data-sharing portal, deployed across three United States health systems, with OAuth2, SMART on FHIR and one-time-password identity that was tested with matched and unmatched accounts, and with a permissioned Ethereum audit contract. Consent is a preference matrix of data category by recipient type whose enforcement is outside the scope of the paper, so that the consent object is represented but absent from the access decision that the paper describes. A single patient decides, and the involvement of several institutions does not make the decision multi-party. Authorisation is OAuth2 delegation with no separate authority evidence for researchers, the one-hour window is a session token rather than a consent validity period, and revocation is append-only and untested. The evaluation consists of functional tests of identity matching and contains no formal method and no allow or deny correctness case for the preference matrix itself.</w:t>
      </w:r>
    </w:p>
    <w:p>
      <w:pPr>
        <w:spacing w:after="140" w:line="300"/>
        <w:jc w:val="both"/>
      </w:pPr>
      <w:r>
        <w:rPr>
          <w:rFonts w:ascii="Cambria" w:cs="Cambria" w:eastAsia="Cambria" w:hAnsi="Cambria"/>
          <w:color w:val="000000"/>
          <w:sz w:val="24"/>
          <w:szCs w:val="24"/>
        </w:rPr>
        <w:t xml:space="preserve">Tremper et al. [72] report ten years of the Mainzelliste pseudonymisation, record-linkage and consent-management service, an open-source production tool in use since 2015, with multi-tenant role-based access control, per-request token validation, modular FHIR consent directives scoped by use type and an automated consent-check capability. The consent object is the richest in this stream, yet the paper specifies no check semantics, no term list and no allow or deny protocol, so that the way in which a directive is evaluated at the time of a request cannot be established from the publication. Consent withdrawal is implemented at the registry level through an API delete, with no downstream enforcement shown, and no temporal validity is evaluated. The reason for each request is captured for audit but not adjudicated. It should be noted that the secure multi-party computation parties of the service perform record linkage rather than authorisation, and that the security evidence is an independent penetration test and a secure development process rather than a formal analysis.</w:t>
      </w:r>
    </w:p>
    <w:p>
      <w:pPr>
        <w:spacing w:after="140" w:line="300"/>
        <w:jc w:val="both"/>
      </w:pPr>
      <w:r>
        <w:rPr>
          <w:rFonts w:ascii="Cambria" w:cs="Cambria" w:eastAsia="Cambria" w:hAnsi="Cambria"/>
          <w:color w:val="000000"/>
          <w:sz w:val="24"/>
          <w:szCs w:val="24"/>
        </w:rPr>
        <w:t xml:space="preserve">Taken together, the two analysed studies show that the representation of consent and the evaluation of consent have been developed apart even in production systems. In both, the consent object is comparatively rich, a preference matrix of data category by recipient type in iAgree [67] and FHIR consent directives scoped by use type in Mainzelliste [72], yet in neither case does the paper specify the semantics by which an access decision evaluates that object: enforcement is out of scope in the first and unspecified in the second. In addition, neither study verifies its own authorisation decisions, since the functional tests of Soohoo et al. [67] and the penetration test of Tremper et al. [72] contain no allow or deny correctness case, and Req 6 is graded Partial for both. Neither study involves more than one authorising party, and Req 3 is graded No for both, as it is for all twelve studies assigned to this stream. The closest single-party analogues of the consent object C = (I, A, P, T, L, E) required by the proposed framework are found not here but in Section 2.4.2, in the on-chain consent object of Phuyal et al. [58], and in the patient-driven policy of Al Amin et al. [38] in Section 2.4.3. Therefore, Req 1 is partially addressed in this stream, but consent as an object that is evaluated on every request against identity, authority, purpose, scope, time and jurisdiction is not provided by either of the reviewed consent-governance platforms. Table 3 presents a summary of the analysed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evidence. Ten further studies were assigned to this stream and coded but are not discussed individually [36], [39], [41], [42], [60], [65], [68], [70], [74], [78]. They corroborate the pattern described above rather than alter it: where consent enters the access decision it enters as a per-record boolean grant [36], [60]; where consent is bound to cryptographic operations, the conditions are fixed at encryption or key-issuance time and cannot be re-evaluated at the time of the request [70], [78]; where the consent object is rich, as in the gICS directives integrated into REDCap [74], its state is displayed and queried but no access decision depends on it; consent is absent from the formalised decision function of the largest measurement campaign in the stream [65] and is reduced to a logged event with a gas cost in [42]; the zero-knowledge and homomorphic-encryption workflow of [68] evaluates a free-text reason rather than a purpose term; and the two conceptual designs [39], [41] remain unimplemented. All ten supporting studies were graded Partial on Req 1 and No on Req 3, and none of them provides a formal security analysis, the closest being the threat model and simulated attacks of [65].</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2.4.2  Decentralised Identity and Authority Trust</w:t>
      </w:r>
    </w:p>
    <w:p>
      <w:pPr>
        <w:spacing w:after="140" w:line="300"/>
        <w:jc w:val="both"/>
      </w:pPr>
      <w:r>
        <w:rPr>
          <w:rFonts w:ascii="Cambria" w:cs="Cambria" w:eastAsia="Cambria" w:hAnsi="Cambria"/>
          <w:color w:val="000000"/>
          <w:sz w:val="24"/>
          <w:szCs w:val="24"/>
        </w:rPr>
        <w:t xml:space="preserve">This section reviews the three analysed studies whose main contribution is the decentralised verification of the participants in a consent decision; the two supporting studies assigned to this stream are cited at the end of the section. Req 2 requires that the patient, the guardians, the healthcare professional and the institution can be identified without a single central identity provider, and that establishing who a participant is (identity) is treated separately from establishing what that participant may do (authority), each with its own evidence.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Across the 44 included studies, T2 was graded Yes in only 10 studies and Partial in 34; that is, in more than three quarters of the corpus a verified identity, a platform role or an administratively assigned attribute stands in for authority over a particular patient's data.</w:t>
      </w:r>
    </w:p>
    <w:p>
      <w:pPr>
        <w:spacing w:after="140" w:line="300"/>
        <w:jc w:val="both"/>
      </w:pPr>
      <w:r>
        <w:rPr>
          <w:rFonts w:ascii="Cambria" w:cs="Cambria" w:eastAsia="Cambria" w:hAnsi="Cambria"/>
          <w:color w:val="000000"/>
          <w:sz w:val="24"/>
          <w:szCs w:val="24"/>
        </w:rPr>
        <w:t xml:space="preserve">Phuyal et al. [58] present the most integrated system in the corpus, a simulated Norwegian cross-institution exchange in which patients and professionals hold EUDI-compatible wallets with W3C decentralised identifiers and verifiable credentials, consent is an executable on-chain object carrying the patient identifier, the requester identifier, the data scope and an expiry together with an ACTIVE or REVOKED state on a Hyperledger Besu ledger, and access proofs are generated with Groth16 circuits. Identity verification checks the issuer registry, the signature and the credential expiry, and, importantly for Req 2, a licensing-body credential asserts the professional's role, specialisation and scope of practice, which the system verifies separately from authentication. This is the strongest Req 2 evidence in the corpus. Revocation is enforced at run time in 1.45 seconds and subsequent access returns an error, and allow and deny cases are tested over 100 runs per workflow. The limitations are equally precise: a single patient grants a bilateral data-sharing agreement and there is no multi-party approval, the expiry field is stored on the ledger but the access algorithm checks only state and proof, purpose exists only at the user-interface level, and there is no threat model, formal verification or adversarial test. The companion architecture of Phuyal et al. [59]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and the proxy or guardian delegation mentioned as an option is substitution rather than joint approval.</w:t>
      </w:r>
    </w:p>
    <w:p>
      <w:pPr>
        <w:spacing w:after="140" w:line="300"/>
        <w:jc w:val="both"/>
      </w:pPr>
      <w:r>
        <w:rPr>
          <w:rFonts w:ascii="Cambria" w:cs="Cambria" w:eastAsia="Cambria" w:hAnsi="Cambria"/>
          <w:color w:val="000000"/>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Its limitations with respect to the later requirements are that the patient and requester co-signature on a request is bilateral authentication rather than independent approval, purpose is logged in the transaction record but never evaluated, scope is at the hospital level, the token expiry enforced at the validator is a session bound rather than a consent validity window, revocation of the access list does not invalidate tokens already issued, and the security discussion is narrative.</w:t>
      </w:r>
    </w:p>
    <w:p>
      <w:pPr>
        <w:spacing w:after="140" w:line="300"/>
        <w:jc w:val="both"/>
      </w:pPr>
      <w:r>
        <w:rPr>
          <w:rFonts w:ascii="Cambria" w:cs="Cambria" w:eastAsia="Cambria" w:hAnsi="Cambria"/>
          <w:color w:val="000000"/>
          <w:sz w:val="24"/>
          <w:szCs w:val="24"/>
        </w:rPr>
        <w:t xml:space="preserve">In summary, identity is the strongest dimension of this stream, with T1 graded Yes in two of the three analysed studies and Partial in the design-only architecture of Phuyal et al. [59], and authority verified with its own evidence is found in Phuyal et al. [58] through licensing-body credentials and in Tseng et al. [73] through authority-issued roles. The remaining eight Yes gradings for T2 among the 44 included studies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analysed study that comes closest to an evaluable consent object, Phuyal et al. [58], is a single-party design, it is not formally assured, and it is the only one of the three analysed studies that verifies allow and deny outcomes. Therefore, the literature provides mature mechanisms for decentralised identity and increasingly for credential-based authority, but it does not yet combine separated identity and authority evidence with multi-party approval, policy evaluation and formal assurance in one decision. Table 4 presents a summary of the analysed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evidence. Two further studies were assigned to this stream and corroborate these findings without altering them [45], [66]. Ferreira et al. [45] design the widest authorisation predicate in the corpus, in which a single call conjoins the subject, the purpose, the scope and the time over the current consent state, and Shanmugham and Senthilkumar [66] propose a consent token carrying an identifier, a role, a scope, a validity interval and a three-state lifecycle that is the closest single-party structural analogue of the consent object required by the proposed framework. In both, however, case-specific authority reduces to a credential together with the consent state, the guardians named in [45] are a key-recovery mechanism rather than co-authorisers, no denial after revocation or expiry is tested, and neither study is formally assured, so that both were graded Partial on Req 2 and No on Req 3.</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2.4.3  Multi-Party Authorisation and Collaborative Consent</w:t>
      </w:r>
    </w:p>
    <w:p>
      <w:pPr>
        <w:spacing w:after="140" w:line="300"/>
        <w:jc w:val="both"/>
      </w:pPr>
      <w:r>
        <w:rPr>
          <w:rFonts w:ascii="Cambria" w:cs="Cambria" w:eastAsia="Cambria" w:hAnsi="Cambria"/>
          <w:color w:val="000000"/>
          <w:sz w:val="24"/>
          <w:szCs w:val="24"/>
        </w:rPr>
        <w:t xml:space="preserve">This section reviews the eight analysed studies of stream 3, whose main contribution involves the participation of more than one party in a consent or access decision. Req 3 requires that, where a single party cannot lawfully authorise access on its own, a predefined number of designated parties must each provide an independently verifiable approval, and that this threshold condition is represented within the consent object and can be checked by any party at a later time. An earlier version of this review, which was based on the background corpus [1]–[34], stated that multi-party joint authorisation of patient data access had not been realised in the literature. The full-text coding of the present corpus does not support that statement, and it is withdrawn. Across the 44 included studies, T3 (at least two distinct independent participants must approve) was graded Yes in 6 studies, Partial in 4 and No in 34, and the coding panel ratified six distinct mechanism classes of multi-party authorisation. 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00"/>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combined with expiry enforced inside the decision predicate, since stale attestations stop counting, and with explicit revocation of claims and removal of guardians. However, on the normal path a single patient key authorises access, so that joint approval is an availability fallback conditioned on the absence of the principal rather than a condition of every decision. In addition, the guardians hold no key shares: the decryption key is split between the patient and the regulatory agency, which can decrypt with its own shares, so the joint guarantee holds at the smart-contract layer only. The paper contains no formal analysis, no dataset and no allow or deny correctness matrix. A related design is threshold key custody. Abbasi et al. [35] present Nexa, a public-blockchain record system in which a Shamir (5, 3) threshold protects each record key; a clinical access combines the requester's own share with two automated oracle shares released on the basis of the current on-chain role, so there is a single authorisation locus and no human co-approval, the patient's share is not required, and the institutional multi-signature for bulk access is proposed but outside the prototype. The prototype is public and measured, but no authorisation decision is verified. The threshold over patient-designated relatives of Maruthi and Singh [54], reviewed in Section 2.4.6, belongs to the same custody class.</w:t>
      </w:r>
    </w:p>
    <w:p>
      <w:pPr>
        <w:spacing w:after="140" w:line="300"/>
        <w:jc w:val="both"/>
      </w:pPr>
      <w:r>
        <w:rPr>
          <w:rFonts w:ascii="Cambria" w:cs="Cambria" w:eastAsia="Cambria" w:hAnsi="Cambria"/>
          <w:color w:val="000000"/>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What the threshold gates is asymmetric: the admission of a trial record to the ledger requires a majority of investigators and the revocation of a consent requires half of them, whereas the consent grant itself is submitted unilaterally by the patient. Moreover, each investigator's vote consists of recomputing and confirming the hash of the message, so the threshold is a threshold of integrity verifiers rather than of authorisers, and the voters act for the institution rather than for the patient. The third class is institutional custodian approval conjoined with a policy engine. Punia et al. [61] implement MedXBlock, a permissioned Ethereum access-control system in which an M-of-N multi-signature contract over registered doctors and administrators, for example two of three, governs high-sensitivity and cross-departmental requests, and in which an implemented hybrid attribute- and role-based policy engine evaluates a conjunctive grant predicate with deny-by-default over a stateful policy store. This is the only study among the 44 included studies in which multi-party approval and an enforced policy predicate co-occur. Even so, the threshold is scoped, since ordinary access is token-only, it is defeasible, since a single emergency officer can bypass it, and it sits outside the grant predicate as a separate orchestration layer; the patient enters the predicate as a boolean consent attribute rather than as an authoriser;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00"/>
          <w:sz w:val="24"/>
          <w:szCs w:val="24"/>
        </w:rPr>
        <w:t xml:space="preserve">The fourth class appoints witnesses. 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and without t shares no key and no plaintext exist. This is the first threshold in the corpus whose authorisers are appointed by the patient for the patient's own access decision, and expiry is checked at the point of approval. The joint approval is nevertheless a pre-delegated contingency for the case in which the patient is unable to act, the verifiers evaluate identity, grant, time and revocation but not purpose or data scope, since attribute-based policy is explicitly future work, only the secure multi-party computation layer is implemented while the identity, wallet and ledger layers are not, and the security argument is a STRIDE and LINDDUN enumeration with no proof over the authorisation protocol. The fifth class, reviewed in Section 2.4.6, is the consumer-side delegated threshold of Zhao and Su [50], in which l of d already-authorised clinicians jointly authorise an out-of-policy requester; the delegates are consumer-side rather than patient-side parties, and the scheme has no time, lifecycle or purpose term.</w:t>
      </w:r>
    </w:p>
    <w:p>
      <w:pPr>
        <w:spacing w:after="140" w:line="300"/>
        <w:jc w:val="both"/>
      </w:pPr>
      <w:r>
        <w:rPr>
          <w:rFonts w:ascii="Cambria" w:cs="Cambria" w:eastAsia="Cambria" w:hAnsi="Cambria"/>
          <w:color w:val="000000"/>
          <w:sz w:val="24"/>
          <w:szCs w:val="24"/>
        </w:rPr>
        <w:t xml:space="preserve">The sixth class is register-verified guardian co-consent at consent registration, and it is the only class found in deployed systems. Ekholm et al. [43] report the implementation of electronic informed consent in rare disease genomics on a commercial platform used by three genomic medicine centres in Sweden: the consent of a minor is valid only when all legal guardians, one or two, have signed, and guardianship is verified in real time against the national Population Register, with 61 paediatric trio consents obtained under this rule. This is a deployed n-of-n guardian condition with authority verified separately from the national electronic identity used for authentication, and it is the cleanest separation of identity and authority in the corpus. Its locus is, however, the registration of consent and not the access decision: the only decision-time touchpoint is an interface that answers whether a valid consent exists, without purpose, scope or time parameters, the platform is centralised, and the paper provides no formal or authorisation-correctness evidence. Hagström et al. [47] examine, in a retrospective comparative case study of the national patient portals of Sweden and Finland, how guardian proxy access to a minor's record is gated jointly by a healthcare professional's assessment of the minor's capacity and by the minor's own consent, with register-verified guardianship and age windows whose enforcement is demonstrated by the absence of use within blocked windows and by the consent of 95.8 per cent of capable minors to disclosure.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The only multi-party element is a two-of-two multi-signature wallet in the experimental harness in which every member must sign to store a consent; the members are not named, the mechanism gates registration rather than access, it is absent from the model, no purpose term exists, and the Goerli deployment reports no measured result or allow or deny case. The panel recorded it as a candidate class only.</w:t>
      </w:r>
    </w:p>
    <w:p>
      <w:pPr>
        <w:spacing w:after="140" w:line="300"/>
        <w:jc w:val="both"/>
      </w:pPr>
      <w:r>
        <w:rPr>
          <w:rFonts w:ascii="Cambria" w:cs="Cambria" w:eastAsia="Cambria" w:hAnsi="Cambria"/>
          <w:color w:val="000000"/>
          <w:sz w:val="24"/>
          <w:szCs w:val="24"/>
        </w:rPr>
        <w:t xml:space="preserve">The position of the literature with respect to Req 3 can therefore be stated precisely. What exists is multi-party authorisation in six forms: joint approval on a contingency path when the principal is absent [53, 69]; guardian or bilateral co-consent at the time of consent registration [43, 47, 38]; institution-side thresholds over record admission and consent revocation [75]; custodial M-of-N approval around, but not inside, a policy predicate [61]; a patient-appointed witness threshold welded to key release [69]; and threshold key custody or delegation among custodians, relatives or clinicians [35, 54, 50]. In this context, the sentence that multi-party authorisation does not exist in the literature is no longer defensible and is not made in this review. What does not exist in any of the 44 included studies is a threshold predicate over the guardian set G with threshold N that is constitutive of the access decision, that is, one evaluated on every access request, in a decentralised exchange, as a conjunct of the same predicate that evaluates the policy conditions of purpose and data scope, the temporal validity and the jurisdiction of the consent object C, with allow and deny correctness evidence and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and the two T3-positive studies elsewhere that carry a proof [50, 54] prove the threshold gate or confidentiality in isolation, so that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analysed studies in this stream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2.4.4  Policy- and Context-Aware Access Control</w:t>
      </w:r>
    </w:p>
    <w:p>
      <w:pPr>
        <w:spacing w:after="140" w:line="300"/>
        <w:jc w:val="both"/>
      </w:pPr>
      <w:r>
        <w:rPr>
          <w:rFonts w:ascii="Cambria" w:cs="Cambria" w:eastAsia="Cambria" w:hAnsi="Cambria"/>
          <w:color w:val="000000"/>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This section reviews the four analysed studies of stream 4 against Req 4. The question asked of each study is not whether a policy exists, but whether purpose, data scope, requester role and contextual constraints influence the decision at the time of access, and whether the evaluated policy is bound to the consent object rather than to the requester alone.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00"/>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However, the consent tuple carries no temporal element, withdrawal is implemented in chaincode but its effect on subsequent access is not tested, identity rests on the Fabric membership service without decentralised identifiers or authority credentials, and the prototype on four nodes reports functional targets without quantitative results, attack cases or a formal argument. Jaiman and Urovi [49] developed a consent model for blockchain-based health data sharing platforms in which the purpose of a request is matched inside the smart contract against the patient's consent using the Data Use Ontology and the Automatable Discovery and Access Matrix ontology, and denial is tested across several requester profiles.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w:t>
      </w:r>
    </w:p>
    <w:p>
      <w:pPr>
        <w:spacing w:after="140" w:line="300"/>
        <w:jc w:val="both"/>
      </w:pPr>
      <w:r>
        <w:rPr>
          <w:rFonts w:ascii="Cambria" w:cs="Cambria" w:eastAsia="Cambria" w:hAnsi="Cambria"/>
          <w:color w:val="000000"/>
          <w:sz w:val="24"/>
          <w:szCs w:val="24"/>
        </w:rPr>
        <w:t xml:space="preserve">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The evaluation is a rigid exact-match of hashes rather than a policy engine,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 The proof of concept is deployed in a production environment with measured throughput and open source code, but no adversarial or systematic allow-and-deny tests are reported. 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w:t>
      </w:r>
    </w:p>
    <w:p>
      <w:pPr>
        <w:spacing w:after="140" w:line="300"/>
        <w:jc w:val="both"/>
      </w:pPr>
      <w:r>
        <w:rPr>
          <w:rFonts w:ascii="Cambria" w:cs="Cambria" w:eastAsia="Cambria" w:hAnsi="Cambria"/>
          <w:color w:val="000000"/>
          <w:sz w:val="24"/>
          <w:szCs w:val="24"/>
        </w:rPr>
        <w:t xml:space="preserve">Across the 44 included studies, T4 is coded Yes in 16, Partial in 22 and No in 6, so a policy or attribute condition influences the access decision in a substantial share of the reviewed systems and the requirement cannot be described as unaddressed. The nature of the policy is, however, narrower than Req 4 demands. In most of the T4-positive studies the evaluated policy is bound to the requester, namely to a role, a department, an institution or an attribute set, as in Punia et al. [61], Li et al. [51], the attribute-based access control of Ghosh et al. [46] and the attribute-based encryption schemes of stream 6. Purpose-of-use enters the evaluated decision in only seven of the 44 included studies [37, 44, 45, 49, 57, 63, 71], and purpose and data scope are jointly present in the decision by design in fewer still, namely Albalwy et al. [37], Eneh et al. [44], Tith et al. [71] and the supporting study [45]. Contextual constraints such as jurisdiction appear only as a rule field in Eneh et al. [44].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and that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It is the absence of purpose-of-use and data-scope constraints that are carried by the consent object C itself and evaluated together with the identity, authority and multi-party conditions, with evidence that requests outside the authorised scope are refused. Table 6 presents a summary of the four analysed studies of stream 4 and their commitment to the key requirements.</w:t>
      </w:r>
    </w:p>
    <w:p>
      <w:pPr>
        <w:spacing w:after="140" w:line="300"/>
        <w:jc w:val="both"/>
      </w:pPr>
      <w:r>
        <w:rPr>
          <w:rFonts w:ascii="Cambria" w:cs="Cambria" w:eastAsia="Cambria" w:hAnsi="Cambria"/>
          <w:color w:val="000000"/>
          <w:sz w:val="24"/>
          <w:szCs w:val="24"/>
        </w:rPr>
        <w:t xml:space="preserve">Supporting evidence. One further included study of stream 4 was coded but is not discussed individually. The quantum-safe attribute-based access control scheme of Ghosh et al. [46] corroborates the finding that an attribute policy can operate inside the access decision and be enforced cryptographically, with attribute revocation checked at every access; it also confirms the residual deficit, since the policy carries no purpose-of-use or data-scope term, one fully trusted authority issues and verifies both identity and authority, and the security analysis is argued without a theorem or tool.</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2.4.5  Temporal Validity and Consent Lifecycle</w:t>
      </w:r>
    </w:p>
    <w:p>
      <w:pPr>
        <w:spacing w:after="140" w:line="300"/>
        <w:jc w:val="both"/>
      </w:pPr>
      <w:r>
        <w:rPr>
          <w:rFonts w:ascii="Cambria" w:cs="Cambria" w:eastAsia="Cambria" w:hAnsi="Cambria"/>
          <w:color w:val="000000"/>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This section reviews the four analysed studies of stream 5, namely Eneh et al. [44], Li et al. [51], Panagoulias et al. [57] and Hema et al. [64], and draws on the lifecycle evidence recorded for the analysed studies of the other streams.</w:t>
      </w:r>
    </w:p>
    <w:p>
      <w:pPr>
        <w:spacing w:after="140" w:line="300"/>
        <w:jc w:val="both"/>
      </w:pPr>
      <w:r>
        <w:rPr>
          <w:rFonts w:ascii="Cambria" w:cs="Cambria" w:eastAsia="Cambria" w:hAnsi="Cambria"/>
          <w:color w:val="000000"/>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The lifecycle is nevertheless limited to an active flag and the temporal bounds, without pending, suspended or renewed states; identity is a wallet address with an attribute registry whose issuance governance is unspecified; a single patient authors the rules; there is no threat model; and the evaluation is a two-page demonstration on a local network with gas measurements and an integration test suite. Hema et al. [64] took a different route in a patient-centric cryptographic protection scheme for cloud EHRs, in which the patient's signed consent token, the requester role and the expiry time are inputs to the key derivation function, so that once the expiry has passed the decryption key cannot be reconstructed and revocation likewise causes derivation to fail without re-encryption. Temporal validity is thus not merely evaluated but made cryptographically unreachable, and authority is separated from identity through role-scoped keys. However, there is no lifecycle state machine, the consent is issued by a single patient key, identity relies on a commercial authentication service without credentials, the security argument is an adversary model with a probabilistic statement rather than a proof, and only operation latency is measured. Panagoulias et al. [57] proposed a blockchain-enabled governance overlay for clinical artificial intelligence pipelines in which a formal policy object carries identifiers, roles, purposes, a validity window and a revoked flag with a version number, and access is allowed only if the policy is valid at time t and the role and purpose conditions hold. Revocation is enforced mid-stream at decision time and is verified through a consent-drift metric over 43,500 simulated attempts across nine scenarios, with denials recorded as ledger events. The temporal conjunct is implemented but interval-bound denials are not separately exercised, the lifecycle is a binary active or revoked state, the ledger is a single-node hash chain without consensus, identity is inherited from an existing clinical identity provider, and the authors explicitly declare that no formal verification was performed.</w:t>
      </w:r>
    </w:p>
    <w:p>
      <w:pPr>
        <w:spacing w:after="140" w:line="300"/>
        <w:jc w:val="both"/>
      </w:pPr>
      <w:r>
        <w:rPr>
          <w:rFonts w:ascii="Cambria" w:cs="Cambria" w:eastAsia="Cambria" w:hAnsi="Cambria"/>
          <w:color w:val="000000"/>
          <w:sz w:val="24"/>
          <w:szCs w:val="24"/>
        </w:rPr>
        <w:t xml:space="preserve">The fourth analysed study illustrates a pattern that the coding panel describes as displacement, in which time is enforced on an artefact issued to the requester rather than on the consent itself. Li et al. [51] presented a hybrid role-based and smart-contract scheme with attribute-based authorisation for IoMT records, in which the expiry of a signed credential is compared with the current time at every sharing interaction and a grant ledger records authorisations; the credential window is enforced, but the consent or authorisation object itself carries no enforced validity window and there is no consent state machine. The same displacement is observed in the short-lived tokens of Tseng et al. [73] in stream 2, whose expiry is checked by the token validator while revocation of the access-control list does not invalidate tokens already issued. In both cases the enforced time belongs to a credential or a token, and the consent object is left without a validity interval of its own.</w:t>
      </w:r>
    </w:p>
    <w:p>
      <w:pPr>
        <w:spacing w:after="140" w:line="300"/>
        <w:jc w:val="both"/>
      </w:pPr>
      <w:r>
        <w:rPr>
          <w:rFonts w:ascii="Cambria" w:cs="Cambria" w:eastAsia="Cambria" w:hAnsi="Cambria"/>
          <w:color w:val="000000"/>
          <w:sz w:val="24"/>
          <w:szCs w:val="24"/>
        </w:rPr>
        <w:t xml:space="preserve">Across the 44 included studies, T5 is coded Yes in 10 and T6 in 11, while Req 5, which requires enforcement in the decision, is Yes in 8; among the 25 analysed studies the corresponding counts are 8, 7 and 8, so that every study coded Yes on Req 5 belongs to the analysed set. The distinction between recorded and enforced time explains most of the Partial codes. Albalwy et al. [37], for example, store a struct timestamp in the consent record and apply time only to the download link, so that the consent tuple itself has no validity interval. A parallel distinction separates named state machines from ad hoc revocation flags. Named states with constrained transitions appear in Phuyal et al. [58] (active and revoked with an audited emergency override), Wu et al. [75] (approved, pending, completed and revoked with investigator-verified transitions) and Punia et al. [61], although in the last case the states belong to policies and tokens rather than to the consent. By contrast, Abbasi et al. [35] enforce a role status without consent states, and even Madine et al. [53], with four transitions that affect the decision, define no named state set. Where revocation is enforced at scheme level, as in the immediate ciphertext update of Mei et al. [55], its cost is measured but its effect on a revoked requester is not exercised; among the analysed studies a post-revocation denial is actually demonstrated only by Phuyal et al. [58], Panagoulias et al. [57] and Eneh et al. [44]. In this context, the residual deficit for Req 5 is not the absence of decision-time temporal enforcement, which Eneh et al. [44], Hema et al. [64] and Panagoulias et al. [57] each achieve in isolation. It is the absence of verified temporal and lifecycle enforcement at the level of the consent object in a deployed multi-institution exchange, together with the fact that the three stream-5 systems which enforce time inside the decision are all single-party, and that of the eight analysed studies coded Yes on Req 5, including the multi-party designs of Madine et al. [53] and Punia et al. [61], only the encryption scheme of Mei et al. [55] carries a formal proof, and that proof concerns the static encryption predicate rather than the consent decision. Table 7 presents a summary of the analysed stream-5 studies and their commitment to the key requirements.</w:t>
      </w:r>
    </w:p>
    <w:p>
      <w:pPr>
        <w:spacing w:after="140" w:line="300"/>
        <w:jc w:val="both"/>
      </w:pPr>
      <w:r>
        <w:rPr>
          <w:rFonts w:ascii="Cambria" w:cs="Cambria" w:eastAsia="Cambria" w:hAnsi="Cambria"/>
          <w:color w:val="000000"/>
          <w:sz w:val="24"/>
          <w:szCs w:val="24"/>
        </w:rPr>
        <w:t xml:space="preserve">Supporting evidence. One further included study of stream 5 was coded but is not discussed individually. The revocable attribute-based encryption scheme of Xu et al. [77], organised in key epochs for hospital-to-hospital sharing, corroborates the displacement pattern, since revocation is realised by key rollover so that a revoked user retains access until the epoch ends, the word consent does not appear and keyword matching is a discovery mechanism rather than an approval. The distinction between recorded and enforced time is likewise corroborated by supporting studies of the other streams in which a timestamp is stored, logged or used only as a replay window without being read by the decision [46], [60], [62], [78], or in which automatic expiry is claimed without specifying where the clock is read [68], [70]; a post-revocation denial is reported outside the analysed set only in results captioned as illustrative [45] or in a single narrated scenario [68], and named consent states gating the decision appear in one further supporting study [66].</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2.4.6  Formal Security Assurance and Empirical Validation</w:t>
      </w:r>
    </w:p>
    <w:p>
      <w:pPr>
        <w:spacing w:after="140" w:line="300"/>
        <w:jc w:val="both"/>
      </w:pPr>
      <w:r>
        <w:rPr>
          <w:rFonts w:ascii="Cambria" w:cs="Cambria" w:eastAsia="Cambria" w:hAnsi="Cambria"/>
          <w:color w:val="000000"/>
          <w:sz w:val="24"/>
          <w:szCs w:val="24"/>
        </w:rPr>
        <w:t xml:space="preserve">Req 6 has two components. The first is that the security properties of the authorisation mechanism are formally defined and demonstrated, through a security proof, a model, a verification tool or an explicit adversary model with a theorem; under the codebook, the statement that a system is secure is not evidence, and a threat discussion alone is coded Partial.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Stream 6 gathers the four analysed studies in which formal argument is a principal contribution, namely Zhao and Su [50], Maruthi and Singh [54], Mei et al. [55] and Wu and Zhang [76], all of them cryptographic constructions published in security and network journals.</w:t>
      </w:r>
    </w:p>
    <w:p>
      <w:pPr>
        <w:spacing w:after="140" w:line="300"/>
        <w:jc w:val="both"/>
      </w:pPr>
      <w:r>
        <w:rPr>
          <w:rFonts w:ascii="Cambria" w:cs="Cambria" w:eastAsia="Cambria" w:hAnsi="Cambria"/>
          <w:color w:val="000000"/>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authorisation is thereby cleanly separated from the DID challenge-response authentication.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This is the first complete formal assurance in the corpus. What is proven, however, concerns the identity and authority fragment only. There is no theorem of the form that access is granted only under stated conditions, and the proofs cannot cover policy, temporal or lifecycle conjuncts because the system has none: access is all-or-nothing per authorising owner, the only time values are index and document fields that no algorithm reads, and there is no revocation, withdrawal or state. The term multi-party denotes several stakeholders whose privacy requirements are satisfied simultaneously, not several parties authorising one decision. The evaluation is a rigorous and reproducible performance study with a public repository, but without allow-and-deny tests, executed attacks or a dataset. Zhao and Su [50] proposed a threshold traceable delegation authorisation scheme in which the data owner delegates to l of d already-authorised users, each of whom must run an authorisation algorithm bound to a private key before an out-of-policy requester can restore the data; unforgeability below the threshold rests on the bilinear Diffie-Hellman assumption and confidentiality is proven under an IND-CPA game with reduction. The proof covers the threshold gate in isolation, the delegates are consumer-side clinicians rather than patient-side stakeholders, there is no time, expiry, revocation or state, and the Java benchmark measures performance only. Maruthi and Singh [54] addressed the unconscious patient with a threshold proxy re-encryption scheme in which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 The collective mechanism is genuine and decision-time, but policy and temporal conditions are both absent, so the proof again covers a narrow predicate. Mei et al. [55] proposed a dual-revocation ciphertext-policy attribute-based encryption scheme for IoMT in which a direct mode terminates access immediately through a ciphertext update, a construction the authors motivate by patient consent withdrawal, with user-level and attribute-level granularity and an IND-CPA reduction under the q-BDHE assumption; the scheme has no audit element and no multi-party approval, and the proof concerns the static encryption predicate.</w:t>
      </w:r>
    </w:p>
    <w:p>
      <w:pPr>
        <w:spacing w:after="140" w:line="300"/>
        <w:jc w:val="both"/>
      </w:pPr>
      <w:r>
        <w:rPr>
          <w:rFonts w:ascii="Cambria" w:cs="Cambria" w:eastAsia="Cambria" w:hAnsi="Cambria"/>
          <w:color w:val="000000"/>
          <w:sz w:val="24"/>
          <w:szCs w:val="24"/>
        </w:rPr>
        <w:t xml:space="preserve">Two observations follow at corpus level. First, formal assurance in the sense of the workbook's Req6 is coded Yes in only 4 of the 25 analysed studies, all of them in this stream, and in 6 of the 44 included studies, the remaining two being supporting encryption schemes of this stream. In every case the proven property attaches to a narrow predicate: an identity-and-authority fragment in HealthDID [76], a threshold gate in Zhao and Su [50] and Maruthi and Singh [54], or a static attribute policy in the encryption scheme of Mei et al. [55]. Conversely,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and Panagoulias et al. [57], whose decision is the best verified in the corpus, self-declare that no formal method was applied. The coding panel records this as an inverse relation between predicate breadth and assurance strength, and the quadrant in which a broad conjunctive predicate is also formally assured is empty. Structured threat models in the STRIDE or LINDDUN style, as in Tan et al. [69], Phuyal et al. [59] and Panagoulias et al. [57], are valuable but were coded Partial because they enumerate threats without demonstrating properties.</w:t>
      </w:r>
    </w:p>
    <w:p>
      <w:pPr>
        <w:spacing w:after="140" w:line="300"/>
        <w:jc w:val="both"/>
      </w:pPr>
      <w:r>
        <w:rPr>
          <w:rFonts w:ascii="Cambria" w:cs="Cambria" w:eastAsia="Cambria" w:hAnsi="Cambria"/>
          <w:color w:val="000000"/>
          <w:sz w:val="24"/>
          <w:szCs w:val="24"/>
        </w:rPr>
        <w:t xml:space="preserve">Second, empirical validation in the sense of the workbook's Req7 is coded Yes in only 5 of the 44 included studies, Partial in 35 and No in 4; all five Yes codes fall within the analysed set, where the distribution is Yes in 5 of the 25, Partial in 19 and No in 1. The meaning of evaluation in the corpus is instructive. In the large majority of the Partial cases, evaluation means throughput, latency, gas cost, block time or encryption timing. Abbasi et al. [35] measure hundreds to a thousand transactions per operation on a public test network with a published repository and a Synthea-generated dataset, yet execute no allow-or-deny test. Punia et al. [61] instrument 100 transactions and narrate, but do not run, the single denial scenario. The four cryptographic studies of this stream report benchmarks of their primitives without exercising a single denial. The pattern, described by the panel as built and measured but never validated as an authorisation decision, is the dominant form of evidence.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and Hagström et al. [47] show that age windows in a national portal are enforced in practice. No study executes an adversarial campaign against the authorisation decision itself; where adversarial testing exists it targets ledger integrity, as in Panagoulias et al. [57],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analysed stream-6 studies and their commitment to the key requirements.</w:t>
      </w:r>
    </w:p>
    <w:p>
      <w:pPr>
        <w:spacing w:after="140" w:line="300"/>
        <w:jc w:val="both"/>
      </w:pPr>
      <w:r>
        <w:rPr>
          <w:rFonts w:ascii="Cambria" w:cs="Cambria" w:eastAsia="Cambria" w:hAnsi="Cambria"/>
          <w:color w:val="000000"/>
          <w:sz w:val="24"/>
          <w:szCs w:val="24"/>
        </w:rPr>
        <w:t xml:space="preserve">Supporting evidence. Five further included studies of stream 6 were coded but are not discussed individually. The revocable attribute-based searchable encryption scheme of Gao et al. [48] and the bilateral proxy re-encryption scheme of Luo et al. [52] are the two remaining studies coded Yes on formal assurance among the 44 included studies, and they corroborate the first observation, since each proof concerns a static encryption predicate, the threshold among authorisation nodes in [48] is key-management resilience rather than approval and the bilateral matching in [52] is policy symmetry rather than co-approval. The private set intersection protocol of Cao et al. [40], the lightweight multi-authority CP-ABE scheme of Qiao et al. [62] and the policy-hiding encryption scheme of Zhang et al. [56] were coded Partial on formal assurance because their proofs do not reach the authorisation decision, and all five corroborate the second observation, since their evaluations are timing benchmarks or simulations without allow-and-deny or attack tests.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2.4.7  Comparative Analysis of Existing Approaches</w:t>
      </w:r>
    </w:p>
    <w:p>
      <w:pPr>
        <w:spacing w:after="140" w:line="300"/>
        <w:jc w:val="both"/>
      </w:pPr>
      <w:r>
        <w:rPr>
          <w:rFonts w:ascii="Cambria" w:cs="Cambria" w:eastAsia="Cambria" w:hAnsi="Cambria"/>
          <w:color w:val="000000"/>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and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from the guardian and agency approvals of Madine et al. [53] and the patient-appointed verifiers of Tan et al. [69] to the delegated threshold of Zhao and Su [50], the institutional multi-signature of Punia et al. [61], the kin threshold of Maruthi and Singh [54] and the deployed guardian co-consent of Ekholm et al. [43]. Policy engines operate inside the decision in Punia et al. [61] and Román-Martínez et al. [63]; temporal validity is enforced inside the decision by Eneh et al. [44], Hema et al. [64] and Madine et al. [53]; formal proofs are given for the identity fragment of HealthDID [76] and for several threshold and encryption schemes; and verified allow-and-deny behaviour is reported by Panagoulias et al. [57] and Phuyal et al. [58].</w:t>
      </w:r>
    </w:p>
    <w:p>
      <w:pPr>
        <w:spacing w:after="140" w:line="300"/>
        <w:jc w:val="both"/>
      </w:pPr>
      <w:r>
        <w:rPr>
          <w:rFonts w:ascii="Cambria" w:cs="Cambria" w:eastAsia="Cambria" w:hAnsi="Cambria"/>
          <w:color w:val="000000"/>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prove nothing; the systems that provide multi-party approval carry no purpose or data-scope condition and no formal argument; and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namely that the identity, authority, multi-party, policy and temporal conditions hold together and that this conjunction is both formally argued and empirically tested.</w:t>
      </w:r>
    </w:p>
    <w:p>
      <w:pPr>
        <w:spacing w:after="140" w:line="300"/>
        <w:jc w:val="both"/>
      </w:pPr>
      <w:r>
        <w:rPr>
          <w:rFonts w:ascii="Cambria" w:cs="Cambria" w:eastAsia="Cambria" w:hAnsi="Cambria"/>
          <w:color w:val="000000"/>
          <w:sz w:val="24"/>
          <w:szCs w:val="24"/>
        </w:rPr>
        <w:t xml:space="preserve">Table 9 summarises the position of the 25 analysed studies against the six key requirements and positions the proposed framework relative to the existing literature. The analysed studies are the 23 core studies ratified by the coding panel, that is, the studies whose coding narrows, weakens or contradicts one of the deficits of the gap statement or which carry a multi-party signal (T3 Yes or Partial), together with the two highest-quality supporting studies, Albalwy et al. [37] and Li et al. [51]. The 19 remaining supporting studies are cited in the supporting-evidence paragraphs of Sections 2.4.1 to 2.4.6 and are excluded from the matrix so that the comparison rests on the studies closest to the research problem.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the analysed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 Albalwy et al. (2021)</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 Li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000000"/>
          <w:sz w:val="24"/>
          <w:szCs w:val="24"/>
        </w:rPr>
        <w:t xml:space="preserve">The matrix supports four observations. First, counting only full satisfaction, Req 1 is met by 12 of the 25 analysed studies, Req 2 by 7, Req 3 by 6, Req 4 by 10, Req 5 by 8 and Req 6 by 9; no requirement is unaddressed, but none is met by a majority of the analysed studies, and Req 1, at 12 of 25, comes closest. Second, no study satisfies all six requirements together. The largest number of requirements fully satisfied by a single study is four, reached by Madine et al. [53] on Req 1, Req 2, Req 3 and Req 5 and by Panagoulias et al. [57] on Req 1, Req 4, Req 5 and Req 6; six studies (Abbasi, Al Amin, Hagström, Madine, Punia and Wu et al. [75]) carry no cross in any column, but each of them relies on Partial codes for at least two requirements, and five studies (Abbasi, Phuyal et al. [59], Soohoo, Tremper and Wu et al. [75]) fully satisfy no requirement at all. Third, the pairs of requirements that co-occur most often are Req 1 with Req 4 (seven studies: Albalwy, Eneh, Jaiman and Urovi, Panagoulias, Román-Martínez, Hema and Tith) and Req 4 with Req 5 (six studies: Eneh, Li, Mei, Panagoulias, Punia and Hema), which reflects the maturity of single-party consent objects with purpose and time conditions. By contrast, Req 2 and Req 4 never co-occur in full, Req 3 co-occurs with Req 4 only in Punia et al. [61], and Req 3 co-occurs with Req 6 only in the two cryptographic threshold schemes of Zhao and Su [50] and Maruthi and Singh [54], both of which have no policy or temporal enforcement. Two triples are the most frequent, each found in three studies: Req 1 with Req 4 and Req 5, in Eneh et al. [44], Panagoulias et al. [57] and Hema et al. [64], all of them single-party systems, and Req 1 with Req 4 and Req 6, in Albalwy et al. [37], Jaiman and Urovi [49] and Panagoulias et al. [57], all of them single-party systems whose Req 6 tick rests on empirical validation rather than a formal proof. The triples that include Req 3 are Req 1, Req 2 and Req 3 in Madine et al. [53] and Tan et al. [69], neither of which enforces purpose or data scope or provides a formal argument, and Req 3, Req 4 and Req 5 in Punia et al. [61], where the threshold lies outside the policy predicate and no purpose term exists. Fourth, the two quadruples among the analysed studies are disjoint in exactly the way the gap predicts: Madine et al. [53] combine multi-party approval with identity, consent representation and time but not with policy or assurance, while Panagoulias et al. [57] combine consent representation, policy, time and validation but not with multi-party approval or identity depth.</w:t>
      </w:r>
    </w:p>
    <w:p>
      <w:pPr>
        <w:spacing w:after="140" w:line="300"/>
        <w:jc w:val="both"/>
      </w:pPr>
      <w:r>
        <w:rPr>
          <w:rFonts w:ascii="Cambria" w:cs="Cambria" w:eastAsia="Cambria" w:hAnsi="Cambria"/>
          <w:color w:val="000000"/>
          <w:sz w:val="24"/>
          <w:szCs w:val="24"/>
        </w:rPr>
        <w:t xml:space="preserve">The comparison therefore indicates that the principal contribution of the proposed framework is not the replacement of existing technologies, each of which the literature has developed to a high standard in isolation. Rather, it lies in establishing an explicit and verifiable relationship among them, so that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It is this integrated position, represented by the final row of Table 9, that no reviewed study occupies, and the next section states the resulting research gap requirement by requirement.</w:t>
      </w:r>
    </w:p>
    <w:p>
      <w:pPr>
        <w:pStyle w:val="Heading2"/>
        <w:spacing w:after="160" w:before="280"/>
      </w:pPr>
      <w:r>
        <w:rPr>
          <w:rFonts w:ascii="Cambria" w:cs="Cambria" w:eastAsia="Cambria" w:hAnsi="Cambria"/>
          <w:color w:val="000000"/>
          <w:sz w:val="24"/>
          <w:szCs w:val="24"/>
        </w:rPr>
        <w:t xml:space="preserve">2.5  Synthesis and Research Gap</w:t>
      </w:r>
    </w:p>
    <w:p>
      <w:pPr>
        <w:spacing w:after="140" w:line="300"/>
        <w:jc w:val="both"/>
      </w:pPr>
      <w:r>
        <w:rPr>
          <w:rFonts w:ascii="Cambria" w:cs="Cambria" w:eastAsia="Cambria" w:hAnsi="Cambria"/>
          <w:color w:val="000000"/>
          <w:sz w:val="24"/>
          <w:szCs w:val="24"/>
        </w:rPr>
        <w:t xml:space="preserve">The synthesis below draws on the coding of all 44 included studies, whereas the in-depth discussion of Section 2.4 concentrated on the 25 analysed studies; the corpus-level counts are therefore reported over 44 unless stated otherwise. </w:t>
      </w:r>
      <w:r>
        <w:rPr>
          <w:rFonts w:ascii="Cambria" w:cs="Cambria" w:eastAsia="Cambria" w:hAnsi="Cambria"/>
          <w:color w:val="000000"/>
          <w:sz w:val="24"/>
          <w:szCs w:val="24"/>
        </w:rPr>
        <w:t xml:space="preserve">This section synthesises the review of the 44 primary studies presented in Section 2.4 against the six requirements defined in Section 2.2. Across the corpus, the requirement that is most often satisfied is the representation of consent as an evaluable authorisation object (Req 1), which 14 studies satisfy fully and 30 satisfy in part. Policy- and context-aware enforcement (Req 4) is satisfied fully by 13 studies, in part by 25 and not at all by 6, and temporal validity and lifecycle control (Req 5) is satisfied fully by 8 studies, in part by 26 and not at all by 10. Decentralised verification of identity and authority (Req 2) is satisfied fully by 7 studies and in part by 35, and only 2 studies describe no identity mechanism at all. Multi-party authorisation through a verifiable threshold (Req 3) is the least satisfied requirement: 6 studies satisfy it fully, 4 satisfy it in part and 34 do not address it. With respect to Req 6, formal security assurance of the authorisation decision is provided by 6 studies and argued informally by 17, while 21 studies offer no security analysis beyond assertion; empirical validation is complete in 5 studies, partial in 35 and absent in 4. It should be noted that these proportions are consistent with the signal prevalence in the </w:t>
      </w:r>
      <w:r>
        <w:rPr>
          <w:rFonts w:ascii="Cambria" w:cs="Cambria" w:eastAsia="Cambria" w:hAnsi="Cambria"/>
          <w:color w:val="000000"/>
          <w:sz w:val="24"/>
          <w:szCs w:val="24"/>
        </w:rPr>
        <w:t xml:space="preserve">wider full-text pool of 1,800 records described in Section 2.3.6</w:t>
      </w:r>
      <w:r>
        <w:rPr>
          <w:rFonts w:ascii="Cambria" w:cs="Cambria" w:eastAsia="Cambria" w:hAnsi="Cambria"/>
          <w:color w:val="000000"/>
          <w:sz w:val="24"/>
          <w:szCs w:val="24"/>
        </w:rPr>
        <w:t xml:space="preserve">, in which only 8% of the records carry a multi-party signal,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000000"/>
          <w:sz w:val="24"/>
          <w:szCs w:val="24"/>
        </w:rPr>
        <w:t xml:space="preserve">The most important correction that the review imposes on the framing of this research concerns multi-party authorisation. An earlier version of this chapter, built on a smaller corpus, stated that multi-party authorisation of patient consent does not exist in the literature.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Ekholm et al. [43] and Hagström et al. [47] </w:t>
      </w:r>
      <w:r>
        <w:rPr>
          <w:rFonts w:ascii="Cambria" w:cs="Cambria" w:eastAsia="Cambria" w:hAnsi="Cambria"/>
          <w:color w:val="000000"/>
          <w:sz w:val="24"/>
          <w:szCs w:val="24"/>
        </w:rPr>
        <w:t xml:space="preserve">report deployed platforms in which all legal guardians must</w:t>
      </w:r>
      <w:r>
        <w:rPr>
          <w:rFonts w:ascii="Cambria" w:cs="Cambria" w:eastAsia="Cambria" w:hAnsi="Cambria"/>
          <w:color w:val="000000"/>
          <w:sz w:val="24"/>
          <w:szCs w:val="24"/>
        </w:rPr>
        <w:t xml:space="preserve"> co-</w:t>
      </w:r>
      <w:r>
        <w:rPr>
          <w:rFonts w:ascii="Cambria" w:cs="Cambria" w:eastAsia="Cambria" w:hAnsi="Cambria"/>
          <w:color w:val="000000"/>
          <w:sz w:val="24"/>
          <w:szCs w:val="24"/>
        </w:rPr>
        <w:t xml:space="preserve">sign at consent registration, on a commercial research platform in [43] and, in [47], as a condition of guardian proxy access in national patient portals that is gated also by a professional's capacity assessment and the minor's own consent, and guardianship is verified against a population register</w:t>
      </w:r>
      <w:r>
        <w:rPr>
          <w:rFonts w:ascii="Cambria" w:cs="Cambria" w:eastAsia="Cambria" w:hAnsi="Cambria"/>
          <w:color w:val="000000"/>
          <w:sz w:val="24"/>
          <w:szCs w:val="24"/>
        </w:rPr>
        <w:t xml:space="preserve">; the co-consent is a validity condition of the registered consent and not a predicate evaluated on each subsequent access request. In addition, Maruthi and Singh [54] distribute a threshold key among patient-designated relatives, and Abbasi et al. [35] among automated oracles, so that the threshold protects key custody rather than expressing an authorisation judgement. Therefore, multi-party approval exists in the reviewed literature as a contingency path, a registration-time co-consent, an institution-side admission gate, a custodial M-of-N, a witness or notary threshold, or a key-share reconstruction. In no reviewed study is it a constitutive predicate that every access decision must satisfy together with the identity, policy and temporal conditions, and in no study is the approving set both defined by the patient and evaluated on every request.</w:t>
      </w:r>
    </w:p>
    <w:p>
      <w:pPr>
        <w:spacing w:after="140" w:line="300"/>
        <w:jc w:val="both"/>
      </w:pPr>
      <w:r>
        <w:rPr>
          <w:rFonts w:ascii="Cambria" w:cs="Cambria" w:eastAsia="Cambria" w:hAnsi="Cambria"/>
          <w:color w:val="000000"/>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In most other studies the time element is a stored timestamp [37, 71], an expiry field that the decision algorithm never reads [58], a session or token lifetime rather than a consent validity window [73, 67, 51], or a claimed auto-expiry with no enforcement locus [68, 70]. </w:t>
      </w:r>
      <w:r>
        <w:rPr>
          <w:rFonts w:ascii="Cambria" w:cs="Cambria" w:eastAsia="Cambria" w:hAnsi="Cambria"/>
          <w:color w:val="000000"/>
          <w:sz w:val="24"/>
          <w:szCs w:val="24"/>
        </w:rPr>
        <w:t xml:space="preserve">Verified revocation with an observed denial is reported by Panagoulias et al. [57] and Phuyal et al. [58], in a demonstration by Eneh et al. [44], and in a single narrated scenario in [68]</w:t>
      </w:r>
      <w:r>
        <w:rPr>
          <w:rFonts w:ascii="Cambria" w:cs="Cambria" w:eastAsia="Cambria" w:hAnsi="Cambria"/>
          <w:color w:val="000000"/>
          <w:sz w:val="24"/>
          <w:szCs w:val="24"/>
        </w:rPr>
        <w:t xml:space="preserve">; elsewhere revocation is specified and its cost measured, but its effect on a subsequent request is not exercised [61, 62, 60]. The gap under Req 5 is therefore not the absence of temporal mechanisms but the enforcement, at the consent object itself and verified at decision time, of the validity interval, revocation and state transitions in a multi-institution exchange.</w:t>
      </w:r>
    </w:p>
    <w:p>
      <w:pPr>
        <w:spacing w:after="140" w:line="300"/>
        <w:jc w:val="both"/>
      </w:pPr>
      <w:r>
        <w:rPr>
          <w:rFonts w:ascii="Cambria" w:cs="Cambria" w:eastAsia="Cambria" w:hAnsi="Cambria"/>
          <w:color w:val="000000"/>
          <w:sz w:val="24"/>
          <w:szCs w:val="24"/>
        </w:rPr>
        <w:t xml:space="preserve">Formal assurance of the authorisation decision is almost absent, and where it exists it is narrow. The six studies with a formal proof, Wu and Zhang [76], Zhao and Su [50], Maruthi and Singh [54], Mei et al. [55], Gao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A larger group of studies builds and measures a decision path without verifying a single authorisation decision [61, 35, 65, 72, 78, 36]; Sawant and Gomes [65] run the broadest measurement campaign in the corpus and report no outcome for the access-control function that they formalise. When the formal and empirical halves of Req 6 are combined, eleven studies reach a tick in the combined column of the tables of Section 2.4, but no study combines a formal proof of its decision with a systematic empirical test of that decision.</w:t>
      </w:r>
    </w:p>
    <w:p>
      <w:pPr>
        <w:spacing w:after="140" w:line="300"/>
        <w:jc w:val="both"/>
      </w:pPr>
      <w:r>
        <w:rPr>
          <w:rFonts w:ascii="Cambria" w:cs="Cambria" w:eastAsia="Cambria" w:hAnsi="Cambria"/>
          <w:color w:val="000000"/>
          <w:sz w:val="24"/>
          <w:szCs w:val="24"/>
        </w:rPr>
        <w:t xml:space="preserve">Taken together, the review establishes two gaps rather than one. The first is a conjunction gap. Identity and authority verification, collective approval, purpose and data-scope policy, temporal validity and lifecycle control each exist in the literature, several of them in mature form, and a number of studies combine three or four of them in one design [58, 61, 45, 66, 57]. No study, however, conjoins identity, authority, threshold, policy, temporal and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but on the conjunction of the conditions and on the assurance of that conjunction.</w:t>
      </w:r>
    </w:p>
    <w:p>
      <w:pPr>
        <w:pStyle w:val="Heading3"/>
        <w:spacing w:after="160" w:before="280"/>
      </w:pPr>
      <w:r>
        <w:rPr>
          <w:rFonts w:ascii="Cambria" w:cs="Cambria" w:eastAsia="Cambria" w:hAnsi="Cambria"/>
          <w:color w:val="000000"/>
          <w:sz w:val="24"/>
          <w:szCs w:val="24"/>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In the 30 studies coded as partial, the consent is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00"/>
          <w:sz w:val="24"/>
          <w:szCs w:val="24"/>
        </w:rPr>
        <w:t xml:space="preserve">Gap 2 (Req 2): The clearest separations of identity from authority are found in Ekholm et al. [43] and Hagström et al. [47], where guardianship is verified against a national population register independently of the eID login, in Phuyal et al. [58], where a licensing-body credential asserts role and scope of practice separately from the wallet identity, in Wu and Zhang [76], where a zero-knowledge proof binds the owner's authorisation to a specific requester key, and in Tan et al. [69], Madine et al. [53] and Tseng et al. [73]. In the 35 studies coded as partial the identity is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00"/>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As set out above, the joint approval in these studies is contingent on the absence of the patient [53, 69, 54], reserved for particular request classes and bypassable in an emergency [61], placed among consumer-side delegates or institution-side investigators rather than patient-side parties [50, 75], or applied at consent registration rather than at each access decision [43, 47, 38].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00"/>
          <w:sz w:val="24"/>
          <w:szCs w:val="24"/>
        </w:rPr>
        <w:t xml:space="preserve">Gap 4 (Req 4): The strongest policy enforcement is found in Eneh et al. [44], whose on-chain rules evaluate purpose, data category, sensitivity, jurisdiction and action with deny-by-default, in Panagoulias et al. [57], who verify a purpose conjunct over thousands of requests, in Román-Martínez et al. [63], Tith et al. [71], Albalwy et al. [37] and Jaiman and Urovi [49], who evaluate purpose against the consent, in the key-derivation scheme of [64], which binds role and consent into the key, and in Punia et al. [61], whose attribute policy is evaluated in a conjunctive predicate. In the remaining studies the policy is bound to the requester's role or attributes or to the ciphertext rather than to what the patient authorised [46, 56, 78, 36], the purpose is captured for audit but not adjudicated [72, 73], or the policy is described but not enforced [39, 41, 59].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00"/>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However, the enforced window is usually attached to a token, a key or a credential rather than to the consent [73, 51, 77], the stored expiry of the consent is not read by the decision [58], revocation does not invalidate tokens already issued [73], and no study verifies expiry, revocation and state transition together at the consent level in a multi-institution exchange.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00"/>
          <w:sz w:val="24"/>
          <w:szCs w:val="24"/>
        </w:rPr>
        <w:t xml:space="preserve">Gap 6 (Req 6): Formal proofs are provided by Wu and Zhang [76], Zhao and Su [50], Maruthi and Singh [54], Mei et al. [55], Gao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No study provides both, and </w:t>
      </w:r>
      <w:r>
        <w:rPr>
          <w:rFonts w:ascii="Cambria" w:cs="Cambria" w:eastAsia="Cambria" w:hAnsi="Cambria"/>
          <w:color w:val="000000"/>
          <w:sz w:val="24"/>
          <w:szCs w:val="24"/>
        </w:rPr>
        <w:t xml:space="preserve">the studies with the broadest predicates [61, 53, 45, 66] provide neither a proof nor an ALLOW and DENY test of the decision, and Phuyal et al. [58], which does test both outcomes, provides no formal argument</w:t>
      </w:r>
      <w:r>
        <w:rPr>
          <w:rFonts w:ascii="Cambria" w:cs="Cambria" w:eastAsia="Cambria" w:hAnsi="Cambria"/>
          <w:color w:val="000000"/>
          <w:sz w:val="24"/>
          <w:szCs w:val="24"/>
        </w:rPr>
        <w:t xml:space="preserve">.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w:t>
      </w:r>
      <w:r>
        <w:rPr>
          <w:rFonts w:ascii="Cambria" w:cs="Cambria" w:eastAsia="Cambria" w:hAnsi="Cambria"/>
          <w:color w:val="000000"/>
          <w:sz w:val="24"/>
          <w:szCs w:val="24"/>
        </w:rPr>
        <w:t xml:space="preserve">both predicates are enforced in the implemented Consent Engine and are evaluated empirically in the later chapters of this report</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color w:val="000000"/>
          <w:sz w:val="24"/>
          <w:szCs w:val="24"/>
        </w:rPr>
        <w:t xml:space="preserve">The present research therefore establishes the relationship between trust-centric consent modelling, decentralised identity and authority verification, multi-party authorisation, policy-aware access control and temporal and lifecycle trust, and subjects the resulting conjunction to formal security assurance and empirical validation, in accordance with RO1 to RO6.</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w:t>
      </w:r>
      <w:r>
        <w:rPr>
          <w:rFonts w:ascii="Cambria" w:cs="Cambria" w:eastAsia="Cambria" w:hAnsi="Cambria"/>
          <w:color w:val="000000"/>
          <w:sz w:val="24"/>
          <w:szCs w:val="24"/>
        </w:rPr>
        <w:t xml:space="preserve">according to whether the combined identity, authority, collective authorisation, policy, temporal and jurisdictional conditions required for access have been satisfied</w:t>
      </w:r>
      <w:r>
        <w:rPr>
          <w:rFonts w:ascii="Cambria" w:cs="Cambria" w:eastAsia="Cambria" w:hAnsi="Cambria"/>
          <w:sz w:val="24"/>
          <w:szCs w:val="24"/>
        </w:rPr>
        <w:t xml:space="preserve">.</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00"/>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w:t>
      </w:r>
      <w:r>
        <w:rPr>
          <w:rFonts w:ascii="Cambria" w:cs="Cambria" w:eastAsia="Cambria" w:hAnsi="Cambria"/>
          <w:color w:val="000000"/>
          <w:sz w:val="24"/>
          <w:szCs w:val="24"/>
        </w:rPr>
        <w:t xml:space="preserve">Seven frozen database searches, supplemented by a Google Scholar discovery arm, identified 9,256 records,</w:t>
      </w:r>
      <w:r>
        <w:rPr>
          <w:rFonts w:ascii="Cambria" w:cs="Cambria" w:eastAsia="Cambria" w:hAnsi="Cambria"/>
          <w:color w:val="000000"/>
          <w:sz w:val="24"/>
          <w:szCs w:val="24"/>
        </w:rPr>
        <w:t xml:space="preserve"> of which 6,039 unique records were screened by title. After abstract screening, full-text assessment and quality appraisal, 44 primary studies published between 2020 and 2026 were retained, together with three secondary studies that were used as background only.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00"/>
          <w:sz w:val="24"/>
          <w:szCs w:val="24"/>
        </w:rPr>
        <w:t xml:space="preserve">It should be noted that the review has limitations. The 588 pending-abstract records described in Section 2.3.6 were not screened, the full-text pool of 1,800 records was read in a prioritised order under the saturation rule rather than exhaustively, and the coding was performed by a single panel, so that a small number of relevant studies may have been missed. The consistency between the coding of the included studies and the signal prevalence of the wider pool, reported in Section 2.5, limits but does not remove this risk.</w:t>
      </w:r>
    </w:p>
    <w:p>
      <w:pPr>
        <w:spacing w:after="140" w:line="300"/>
        <w:jc w:val="both"/>
      </w:pPr>
      <w:r>
        <w:rPr>
          <w:rFonts w:ascii="Cambria" w:cs="Cambria" w:eastAsia="Cambria" w:hAnsi="Cambria"/>
          <w:color w:val="000000"/>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temporal validity and revocation are enforced at decision time in a few, identity and authority are separated most clearly where guardianship or professional licensing is verified against an external register or credential, and multi-party approval exists in six mechanism classes. The review also found that these conditions are not conjoined. Multi-party approval appears as a contingency path, a registration-time co-consent, an institution-side gate, a custodial threshold, a witness threshold or a key-share reconstruction rather than as a standing condition of every access decision; the purpose and data-scope policy is never conjoined with multi-party approval; temporal and lifecycle enforcement at the consent level is rarely verified; and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00"/>
          <w:sz w:val="24"/>
          <w:szCs w:val="24"/>
        </w:rPr>
        <w:t xml:space="preserve">These two gaps define the research undertaken in the remainder of this report. The conjunction gap motivates a consent object whose components, namely the participating identities, the guardian set G and the threshold N, the purpose and data scope, the validity interval, the jurisdiction, the lifecycle state and the evidence, are evaluated as separate predicates whose conjunction determines every access decision.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spacing w:after="140" w:line="300"/>
        <w:jc w:val="both"/>
      </w:pPr>
      <w:r>
        <w:rPr>
          <w:rFonts w:ascii="Cambria" w:cs="Cambria" w:eastAsia="Cambria" w:hAnsi="Cambria"/>
          <w:color w:val="000000"/>
          <w:sz w:val="24"/>
          <w:szCs w:val="24"/>
        </w:rPr>
        <w:t xml:space="preserve">Figure 5 summarises this synthesis, showing that each requirement is satisfied by some of the 44 studies while no study conjoins all six conditions in one assured access decision.</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000000"/>
          <w:sz w:val="24"/>
          <w:szCs w:val="24"/>
        </w:rPr>
        <w:t xml:space="preserve">The systematic literature review of 44 primary studies presented in Chapter 2 (Section 2.5) indicates that substantial research</w:t>
      </w:r>
      <w:r>
        <w:rPr>
          <w:rFonts w:ascii="Cambria" w:cs="Cambria" w:eastAsia="Cambria" w:hAnsi="Cambria"/>
          <w:color w:val="000000"/>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000000"/>
          <w:sz w:val="24"/>
          <w:szCs w:val="24"/>
        </w:rPr>
        <w:t xml:space="preserve">policy-based authorisation, and multi-party approval [1, 13, 20, 25, 32, 53, 61, 69].</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000000"/>
          <w:sz w:val="24"/>
          <w:szCs w:val="24"/>
        </w:rPr>
        <w:t xml:space="preserve">They are commonly investigated as independent technical solutions; the few studies that coordinate several of them in one decision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000000"/>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as established in Section 2.5.</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000000"/>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000000"/>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w:t>
      </w:r>
      <w:r>
        <w:rPr>
          <w:rFonts w:ascii="Cambria" w:cs="Cambria" w:eastAsia="Cambria" w:hAnsi="Cambria"/>
          <w:color w:val="000000"/>
          <w:sz w:val="24"/>
          <w:szCs w:val="24"/>
        </w:rPr>
        <w:t xml:space="preserve">there remains a need for an authorisation framework in which the consent object carries identity, authority, threshold, policy, temporal, jurisdictional and lifecycle conditions, in which multi-party approval is a standing condition of every access decision, and in which the conjunction of these conditions is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color w:val="000000"/>
          <w:sz w:val="24"/>
          <w:szCs w:val="24"/>
        </w:rPr>
        <w:t xml:space="preserve">In the terms of Section 2.5, these two requirements correspond to the conjunction gap and the assurance gap respectively. It should be noted that the approving set must be defined by the patient rather than by an institution, since in the reviewed studies the approving parties are contingent, institutional or custodial rather than patient-designated [53, 61, 50].</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00"/>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000000"/>
          <w:sz w:val="24"/>
          <w:szCs w:val="24"/>
        </w:rPr>
        <w:t xml:space="preserve">Before the question is stated, the scope of the current stage should be noted. Temporal and lifecycle trust has been operationalised in the current</w:t>
      </w:r>
      <w:r>
        <w:rPr>
          <w:rFonts w:ascii="Cambria" w:cs="Cambria" w:eastAsia="Cambria" w:hAnsi="Cambria"/>
          <w:color w:val="000000"/>
          <w:sz w:val="24"/>
          <w:szCs w:val="24"/>
        </w:rPr>
        <w:t xml:space="preserve"> prototype, and empirical validation has been partially completed through automated and live negative testing. </w:t>
      </w:r>
      <w:r>
        <w:rPr>
          <w:rFonts w:ascii="Cambria" w:cs="Cambria" w:eastAsia="Cambria" w:hAnsi="Cambria"/>
          <w:color w:val="000000"/>
          <w:sz w:val="24"/>
          <w:szCs w:val="24"/>
        </w:rPr>
        <w:t xml:space="preserve">Consequently, formal security assurance forms the subsequent research scope and is developed further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00"/>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are referred to as RQ1 to RQ6 in Chapter 4 and in the remaining chapters.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000000"/>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spacing w:after="140" w:line="300"/>
        <w:jc w:val="both"/>
      </w:pPr>
      <w:r>
        <w:rPr>
          <w:rFonts w:ascii="Cambria" w:cs="Cambria" w:eastAsia="Cambria" w:hAnsi="Cambria"/>
          <w:color w:val="000000"/>
          <w:sz w:val="24"/>
          <w:szCs w:val="24"/>
        </w:rPr>
        <w:t xml:space="preserve">In this context,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is the subset of the guardian set G whose approvals have been independently verified, so that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G and 1 ≤ N ≤ |G|.</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000000"/>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question names four dimensions, namely identity, authority requirements, policy constraints and authorisation evidence, whereas the consent object contains six components. The temporal component T and the jurisdictional </w:t>
      </w:r>
      <w:r>
        <w:rPr>
          <w:rFonts w:ascii="Cambria" w:cs="Cambria" w:eastAsia="Cambria" w:hAnsi="Cambria"/>
          <w:color w:val="000000"/>
          <w:sz w:val="24"/>
          <w:szCs w:val="24"/>
        </w:rPr>
        <w:t xml:space="preserve">component L are required by Gap 1 of Section 2.5.1 and were made explicit during implementation as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constraints of the policy dimension; the jurisdictional constraint is motivated by Gap 4 and the temporal constraint by Gap 5 of Section 2.5.1, and both are evaluated as the separate predicates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defined in Section 6.5</w:t>
      </w:r>
      <w:r>
        <w:rPr>
          <w:rFonts w:ascii="Cambria" w:cs="Cambria" w:eastAsia="Cambria" w:hAnsi="Cambria"/>
          <w:color w:val="000000"/>
          <w:sz w:val="24"/>
          <w:szCs w:val="24"/>
        </w:rPr>
        <w:t xml:space="preserve"> rather than as an additional sub-research question.</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000000"/>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In the implemented framework, N is instantiated as |G|, the number of designated guardians,</w:t>
      </w:r>
      <w:r>
        <w:rPr>
          <w:rFonts w:ascii="Cambria" w:cs="Cambria" w:eastAsia="Cambria" w:hAnsi="Cambria"/>
          <w:color w:val="000000"/>
          <w:sz w:val="24"/>
          <w:szCs w:val="24"/>
        </w:rPr>
        <w:t xml:space="preserve">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state and revocation conditions of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are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whereas Section 6.5 additionally evaluates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as a composite temporal and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that includes the temporal condition of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Consequently,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 jurisdictional predicate, which corresponds to the component L of the consent object.</w:t>
      </w:r>
    </w:p>
    <w:p>
      <w:pPr>
        <w:spacing w:after="140" w:line="300"/>
        <w:jc w:val="both"/>
      </w:pPr>
      <w:r>
        <w:rPr>
          <w:rFonts w:ascii="Cambria" w:cs="Cambria" w:eastAsia="Cambria" w:hAnsi="Cambria"/>
          <w:color w:val="000000"/>
          <w:sz w:val="24"/>
          <w:szCs w:val="24"/>
        </w:rPr>
        <w:t xml:space="preserve">It should be noted that Section 6.4 also writes the data-scope condition of Equation (9) as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for this reason the lifecycle predicate is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wherever the two could be confused.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 DENY, otherwise. }</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This five-predicate conjunction constitutes the decision rule of the implemented Consent Engine; the three-predicate formulation of Equation (24)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00"/>
          <w:sz w:val="24"/>
          <w:szCs w:val="24"/>
        </w:rPr>
        <w:t xml:space="preserve">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satisfied when the jurisdiction declared in the access request R matches the jurisdiction L recorded in the consent object, or when no jurisdiction is recorded; its formal definition is given in Equation (59)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000000"/>
          <w:sz w:val="24"/>
          <w:szCs w:val="24"/>
        </w:rPr>
        <w:t xml:space="preserve">The first four objectives establish the foundational trust-oriented authorisation mechanisms investigated during the current stage, RO5 has been operationalised in the current prototype, and the empirical component of RO6 has been delivered, so that only the formal component of RO6 remains for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000000"/>
          <w:sz w:val="24"/>
          <w:szCs w:val="24"/>
        </w:rPr>
        <w:t xml:space="preserve">In the implemented framework, the policy mechanism evaluates whether the requested purpose is consistent with the consent</w:t>
      </w:r>
      <w:r>
        <w:rPr>
          <w:rFonts w:ascii="Cambria" w:cs="Cambria" w:eastAsia="Cambria" w:hAnsi="Cambria"/>
          <w:color w:val="000000"/>
          <w:sz w:val="24"/>
          <w:szCs w:val="24"/>
        </w:rPr>
        <w:t xml:space="preserve">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t>
      </w:r>
      <w:r>
        <w:rPr>
          <w:rFonts w:ascii="Cambria" w:cs="Cambria" w:eastAsia="Cambria" w:hAnsi="Cambria"/>
          <w:color w:val="000000"/>
          <w:sz w:val="24"/>
          <w:szCs w:val="24"/>
        </w:rPr>
        <w:t xml:space="preserve">work therefore concerns hardening these controls and extending them to consent modification, delegation and guardian-set changes (Section 9.2), rather than introducing</w:t>
      </w:r>
      <w:r>
        <w:rPr>
          <w:rFonts w:ascii="Cambria" w:cs="Cambria" w:eastAsia="Cambria" w:hAnsi="Cambria"/>
          <w:color w:val="000000"/>
          <w:sz w:val="24"/>
          <w:szCs w:val="24"/>
        </w:rPr>
        <w:t xml:space="preserve">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In particular,</w:t>
      </w:r>
      <w:r>
        <w:rPr>
          <w:rFonts w:ascii="Cambria" w:cs="Cambria" w:eastAsia="Cambria" w:hAnsi="Cambria"/>
          <w:color w:val="000000"/>
          <w:sz w:val="24"/>
          <w:szCs w:val="24"/>
        </w:rPr>
        <w:t xml:space="preserve">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w:t>
      </w:r>
      <w:r>
        <w:rPr>
          <w:rFonts w:ascii="Cambria" w:cs="Cambria" w:eastAsia="Cambria" w:hAnsi="Cambria"/>
          <w:color w:val="000000"/>
          <w:sz w:val="24"/>
          <w:szCs w:val="24"/>
        </w:rPr>
        <w:t xml:space="preserve">together with the systematic performance study and the identified prototype hardening (Sections 7.6 and 9.2)</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 in which the last column names the section of this report where each objective is realised.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Because each research question corresponds to one requirement of Section 2.2 and to one gap of Section 2.5.1, the tables also trace each objective to the gap that motivates it, so that RO1 addresses Gap 1, RO2 addresses Gap 2, and so on to RO6 and Gap 6.</w:t>
      </w:r>
    </w:p>
    <w:p>
      <w:pPr>
        <w:spacing w:after="140" w:line="300"/>
        <w:jc w:val="both"/>
      </w:pPr>
      <w:r>
        <w:rPr>
          <w:rFonts w:ascii="Cambria" w:cs="Cambria" w:eastAsia="Cambria" w:hAnsi="Cambria"/>
          <w:color w:val="000000"/>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000000"/>
          <w:sz w:val="24"/>
          <w:szCs w:val="24"/>
        </w:rPr>
        <w:t xml:space="preserve">The current stage establishes the foundational mechanisms, their conceptual relationships and their operational lifecycle controls, whereas the next stage investigates whether these mechanisms satisfy the formally defined security properties and whether their security and practical effectiveness can be formally and empirically demonstrated.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6.1 (progress in Section 7.1)</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6.2 (progress in Section 7.2)</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6.4 (progress in Section 7.4)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6.5 (progress in Section 7.5)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6.6 (progress in Section 7.6)</w:t>
            </w:r>
          </w:p>
        </w:tc>
      </w:tr>
    </w:tbl>
    <w:p>
      <w:pPr>
        <w:spacing w:after="180"/>
      </w:pPr>
    </w:p>
    <w:p>
      <w:pPr>
        <w:spacing w:after="140" w:line="300"/>
        <w:jc w:val="both"/>
      </w:pPr>
      <w:r>
        <w:rPr>
          <w:rFonts w:ascii="Cambria" w:cs="Cambria" w:eastAsia="Cambria" w:hAnsi="Cambria"/>
          <w:sz w:val="24"/>
          <w:szCs w:val="24"/>
        </w:rP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000000"/>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(25)</w:t>
      </w:r>
    </w:p>
    <w:p>
      <w:pPr>
        <w:spacing w:after="140" w:line="300"/>
        <w:jc w:val="both"/>
      </w:pPr>
      <w:r>
        <w:rPr>
          <w:rFonts w:ascii="Cambria" w:cs="Cambria" w:eastAsia="Cambria" w:hAnsi="Cambria"/>
          <w:color w:val="000000"/>
          <w:sz w:val="24"/>
          <w:szCs w:val="24"/>
        </w:rPr>
        <w:t xml:space="preserve">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(C, t) represents temporal validity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 represents jurisdictional compliance, while the lifecycle state and its transitions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000000"/>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000000"/>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000000"/>
          <w:sz w:val="24"/>
          <w:szCs w:val="24"/>
        </w:rPr>
        <w:t xml:space="preserve">MVC was selected in preference to a purely on-chain design because the authorisation decision must combine identity, threshold, policy, temporal and jurisdictional evaluation performed by the Controller with the anchoring of consent state on the blockchain, and because the pattern allows each stakeholder interface to be replaced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w:t>
      </w:r>
      <w:r>
        <w:rPr>
          <w:rFonts w:ascii="Cambria" w:cs="Cambria" w:eastAsia="Cambria" w:hAnsi="Cambria"/>
          <w:color w:val="000000"/>
          <w:sz w:val="24"/>
          <w:szCs w:val="24"/>
        </w:rPr>
        <w:t xml:space="preserve">deployed on Sepolia alongside the application audit ledger,</w:t>
      </w:r>
      <w:r>
        <w:rPr>
          <w:rFonts w:ascii="Cambria" w:cs="Cambria" w:eastAsia="Cambria" w:hAnsi="Cambria"/>
          <w:color w:val="000000"/>
          <w:sz w:val="24"/>
          <w:szCs w:val="24"/>
        </w:rPr>
        <w:t xml:space="preserve"> a revocation path flows from the Patient interface through the Controller to both the ledger and the contract, </w:t>
      </w:r>
      <w:r>
        <w:rPr>
          <w:rFonts w:ascii="Cambria" w:cs="Cambria" w:eastAsia="Cambria" w:hAnsi="Cambria"/>
          <w:color w:val="000000"/>
          <w:sz w:val="24"/>
          <w:szCs w:val="24"/>
        </w:rPr>
        <w:t xml:space="preserve">and an external independent verification tool, described in Section 6.8.9,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 </w:t>
      </w:r>
      <w:r>
        <w:rPr>
          <w:rFonts w:ascii="Cambria" w:cs="Cambria" w:eastAsia="Cambria" w:hAnsi="Cambria"/>
          <w:color w:val="000000"/>
          <w:sz w:val="24"/>
          <w:szCs w:val="24"/>
        </w:rPr>
        <w:t xml:space="preserve">Guardian approvals are nevertheless verified cryptographically in the prototype through EIP-712 typed-data signatures bound to the consent identifier, so that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000000"/>
          <w:sz w:val="24"/>
          <w:szCs w:val="24"/>
        </w:rPr>
        <w:t xml:space="preserve">In the implemented prototype the Controller layer comprises eight principal functions rather than the six of the conceptual model described below, the two additional functions being</w:t>
      </w:r>
      <w:r>
        <w:rPr>
          <w:rFonts w:ascii="Cambria" w:cs="Cambria" w:eastAsia="Cambria" w:hAnsi="Cambria"/>
          <w:color w:val="000000"/>
          <w:sz w:val="24"/>
          <w:szCs w:val="24"/>
        </w:rPr>
        <w:t xml:space="preserve">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w:t>
      </w:r>
      <w:r>
        <w:rPr>
          <w:rFonts w:ascii="Cambria" w:cs="Cambria" w:eastAsia="Cambria" w:hAnsi="Cambria"/>
          <w:color w:val="000000"/>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w:t>
      </w:r>
      <w:r>
        <w:rPr>
          <w:rFonts w:ascii="Cambria" w:cs="Cambria" w:eastAsia="Cambria" w:hAnsi="Cambria"/>
          <w:color w:val="000000"/>
          <w:sz w:val="24"/>
          <w:szCs w:val="24"/>
        </w:rPr>
        <w:t xml:space="preserve">introduced by RQ1–RQ5 is illustrated in Figure 8.</w:t>
      </w:r>
      <w:r>
        <w:rPr>
          <w:rFonts w:ascii="Cambria" w:cs="Cambria" w:eastAsia="Cambria" w:hAnsi="Cambria"/>
          <w:sz w:val="24"/>
          <w:szCs w:val="24"/>
        </w:rPr>
        <w:t xml:space="preserve">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The integrated decision can therefore be expressed as Eq. (26).</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where j = Jur(R) is the jurisdiction declared in the request; this is the same predicate written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in Eq. (59) and abbreviated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Eq. (26).</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(27)</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00"/>
          <w:sz w:val="24"/>
          <w:szCs w:val="24"/>
        </w:rPr>
        <w:t xml:space="preserve">It should also be noted that, in the present prototype, the Controller is realised as a single trusted server that both evaluates the predicates and writes the audit ledger. Therefore, the on-chain anchoring of consent state </w:t>
      </w:r>
      <w:r>
        <w:rPr>
          <w:rFonts w:ascii="Cambria" w:cs="Cambria" w:eastAsia="Cambria" w:hAnsi="Cambria"/>
          <w:color w:val="000000"/>
          <w:sz w:val="24"/>
          <w:szCs w:val="24"/>
        </w:rPr>
        <w:t xml:space="preserve">and the independent verification tool described in Section 6.8.9 provide</w:t>
      </w:r>
      <w:r>
        <w:rPr>
          <w:rFonts w:ascii="Cambria" w:cs="Cambria" w:eastAsia="Cambria" w:hAnsi="Cambria"/>
          <w:color w:val="000000"/>
          <w:sz w:val="24"/>
          <w:szCs w:val="24"/>
        </w:rPr>
        <w:t xml:space="preserv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000000"/>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000000"/>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000000"/>
          <w:sz w:val="24"/>
          <w:szCs w:val="24"/>
        </w:rPr>
        <w:t xml:space="preserve">Multi-party authorisation is satisfied when the threshold condition of Eq. (28) holds.</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Figure 9 further shows that, once all |G| guardians have signed and the N-of-N condition of Eq. (28) is satisfied, the consent token is minted in the local ledger</w:t>
      </w:r>
      <w:r>
        <w:rPr>
          <w:rFonts w:ascii="Cambria" w:cs="Cambria" w:eastAsia="Cambria" w:hAnsi="Cambria"/>
          <w:color w:val="000000"/>
          <w:sz w:val="24"/>
          <w:szCs w:val="24"/>
        </w:rPr>
        <w:t xml:space="preserve">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w:t>
      </w:r>
      <w:r>
        <w:rPr>
          <w:rFonts w:ascii="Cambria" w:cs="Cambria" w:eastAsia="Cambria" w:hAnsi="Cambria"/>
          <w:color w:val="000000"/>
          <w:sz w:val="24"/>
          <w:szCs w:val="24"/>
        </w:rPr>
        <w:t xml:space="preserve">a Groth16 proof is generated and verified before access is granted,</w:t>
      </w:r>
      <w:r>
        <w:rPr>
          <w:rFonts w:ascii="Cambria" w:cs="Cambria" w:eastAsia="Cambria" w:hAnsi="Cambria"/>
          <w:color w:val="000000"/>
          <w:sz w:val="24"/>
          <w:szCs w:val="24"/>
        </w:rPr>
        <w:t xml:space="preserve"> and after the audit evidence is recorded the flow continues through patient-initiated revocation, the corresponding on-chain revoke transaction, </w:t>
      </w:r>
      <w:r>
        <w:rPr>
          <w:rFonts w:ascii="Cambria" w:cs="Cambria" w:eastAsia="Cambria" w:hAnsi="Cambria"/>
          <w:color w:val="000000"/>
          <w:sz w:val="24"/>
          <w:szCs w:val="24"/>
        </w:rPr>
        <w:t xml:space="preserve">and finally auditor review together with independent verification by the verification tool of Section 6.8.9.</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000000"/>
          <w:sz w:val="24"/>
          <w:szCs w:val="24"/>
        </w:rPr>
        <w:t xml:space="preserve">For the foundational authorisation core established by RO1–RO4,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00"/>
          <w:sz w:val="24"/>
          <w:szCs w:val="24"/>
        </w:rPr>
        <w:t xml:space="preserve">It should be noted that Eq. (30) expresses the foundational core only. In the complete model,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introduced by RO5 are conjoined with these three conditions, as shown in Eq. (26),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implemented prototype described in Section 6.8 realises the consent representation defined in this section in full, including temporal validity, expiration, on-chain revocation and an explicit lifecycle state machine.</w:t>
      </w:r>
      <w:r>
        <w:rPr>
          <w:rFonts w:ascii="Cambria" w:cs="Cambria" w:eastAsia="Cambria" w:hAnsi="Cambria"/>
          <w:color w:val="000000"/>
          <w:sz w:val="24"/>
          <w:szCs w:val="24"/>
        </w:rPr>
        <w:t xml:space="preserv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000000"/>
          <w:sz w:val="24"/>
          <w:szCs w:val="24"/>
        </w:rPr>
        <w:t xml:space="preserve">In this representation, I represents identity-related information associated with the relevant participants,</w:t>
      </w:r>
      <w:r>
        <w:rPr>
          <w:rFonts w:ascii="Cambria" w:cs="Cambria" w:eastAsia="Cambria" w:hAnsi="Cambria"/>
          <w:sz w:val="24"/>
          <w:szCs w:val="24"/>
        </w:rPr>
        <w:t xml:space="preserve">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000000"/>
          <w:sz w:val="24"/>
          <w:szCs w:val="24"/>
        </w:rPr>
        <w:t xml:space="preserve">Let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The authorisation condition can then be represented as</w:t>
      </w:r>
    </w:p>
    <w:p>
      <w:pPr>
        <w:spacing w:after="140" w:line="300"/>
        <w:jc w:val="both"/>
      </w:pPr>
      <w:r>
        <w:rPr>
          <w:rFonts w:ascii="Cambria" w:cs="Cambria" w:eastAsia="Cambria" w:hAnsi="Cambria"/>
          <w:color w:val="000000"/>
          <w:sz w:val="24"/>
          <w:szCs w:val="24"/>
        </w:rPr>
        <w:t xml:space="preserve">It should be noted that the lifecycle state of the consent, State(C), is not an element of the tuple itself but is maintained by the Lifecycle component of the Model alongside C, and it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(C), as stated in Section 6.5.</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(32)</w:t>
      </w:r>
    </w:p>
    <w:p>
      <w:pPr>
        <w:spacing w:after="140" w:line="300"/>
        <w:jc w:val="both"/>
      </w:pPr>
      <w:r>
        <w:rPr>
          <w:rFonts w:ascii="Cambria" w:cs="Cambria" w:eastAsia="Cambria" w:hAnsi="Cambria"/>
          <w:color w:val="000000"/>
          <w:sz w:val="24"/>
          <w:szCs w:val="24"/>
        </w:rPr>
        <w:t xml:space="preserve">This mechanism differs from the reviewed systems, in which joint approval is either a contingency path [53], a witness or notary threshold [69], a registration-time co-consent [43, 47], an institution-side admission gate [75], a custodial M-of-N signature [61] or a key-share reconstruction [35, 54]; in a single-owner model, compromise, error, or misuse of one privileged account may be sufficient to produce an authorisation decision.</w:t>
      </w:r>
      <w:r>
        <w:rPr>
          <w:rFonts w:ascii="Cambria" w:cs="Cambria" w:eastAsia="Cambria" w:hAnsi="Cambria"/>
          <w:sz w:val="24"/>
          <w:szCs w:val="24"/>
        </w:rPr>
        <w:t xml:space="preserve">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000000"/>
          <w:sz w:val="24"/>
          <w:szCs w:val="24"/>
        </w:rPr>
        <w:t xml:space="preserve">A conventional immutable record may demonstrate that a transaction was stored [2, 28],</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(36)</w:t>
      </w:r>
    </w:p>
    <w:p>
      <w:pPr>
        <w:spacing w:after="140" w:line="300"/>
        <w:jc w:val="both"/>
      </w:pPr>
      <w:r>
        <w:rPr>
          <w:rFonts w:ascii="Cambria" w:cs="Cambria" w:eastAsia="Cambria" w:hAnsi="Cambria"/>
          <w:color w:val="000000"/>
          <w:sz w:val="24"/>
          <w:szCs w:val="24"/>
        </w:rPr>
        <w:t xml:space="preserve">The foundational authorisation decision for RO1–RO4 is therefore determined by the conjunction of the three core trust conditions, to which the temporal and jurisdictional predicates of Eq. (26) are added in the complete model:</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000000"/>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00"/>
          <w:sz w:val="24"/>
          <w:szCs w:val="24"/>
        </w:rPr>
        <w:t xml:space="preserve">In Eq. (40),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(ai) denotes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of Eq. (34)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000000"/>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w:t>
      </w:r>
      <w:r>
        <w:rPr>
          <w:rFonts w:ascii="Cambria" w:cs="Cambria" w:eastAsia="Cambria" w:hAnsi="Cambria"/>
          <w:color w:val="000000"/>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000000"/>
          <w:sz w:val="24"/>
          <w:szCs w:val="24"/>
        </w:rPr>
        <w:t xml:space="preserve">The record ER is the per-request instance of the evidence component E of the consent object C, and in the implementation it corresponds to the event rows of the audit ledger, which for on-chain events additionally carry the Sepolia transaction hash and block number, as described in Section 6.8.8.</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000000"/>
          <w:sz w:val="24"/>
          <w:szCs w:val="24"/>
        </w:rPr>
        <w:t xml:space="preserve">These properties, together with the separation of interaction and enforcement established in Section 5.1.4, are summarised in Table 12, in which collective authorisation integrity and decision accountability appear as multi-party authorisation integrity and authorisation evidence respectively.</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00"/>
          <w:sz w:val="24"/>
          <w:szCs w:val="24"/>
        </w:rPr>
        <w:t xml:space="preserve">RO5 is realised through the temporal and lifecycle state held in the Model and the corresponding predicates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000000"/>
          <w:sz w:val="24"/>
          <w:szCs w:val="24"/>
        </w:rPr>
        <w:t xml:space="preserve">The key innovation is not the evaluable consent object as such, which the literature provides [71, 37, 44, 58], but the conjunction in which the effectiveness of the consent depends on the joint satisfaction of identity, authority, collective approval, policy, temporal and jurisdictional conditions on every access decision, and the assurance of that conjunction.</w:t>
      </w:r>
      <w:r>
        <w:rPr>
          <w:rFonts w:ascii="Cambria" w:cs="Cambria" w:eastAsia="Cambria" w:hAnsi="Cambria"/>
          <w:sz w:val="24"/>
          <w:szCs w:val="24"/>
        </w:rPr>
        <w:t xml:space="preserve"> For the current stage, the </w:t>
      </w:r>
      <w:r>
        <w:rPr>
          <w:rFonts w:ascii="Cambria" w:cs="Cambria" w:eastAsia="Cambria" w:hAnsi="Cambria"/>
          <w:color w:val="000000"/>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The implemented HALAH prototype provides the practical</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w:t>
      </w:r>
      <w:r>
        <w:rPr>
          <w:rFonts w:ascii="Cambria" w:cs="Cambria" w:eastAsia="Cambria" w:hAnsi="Cambria"/>
          <w:color w:val="000000"/>
          <w:sz w:val="24"/>
          <w:szCs w:val="24"/>
        </w:rPr>
        <w:t xml:space="preserve">stage will extend the assurance of the architecture rather than its mechanisms.</w:t>
      </w:r>
      <w:r>
        <w:rPr>
          <w:rFonts w:ascii="Cambria" w:cs="Cambria" w:eastAsia="Cambria" w:hAnsi="Cambria"/>
          <w:sz w:val="24"/>
          <w:szCs w:val="24"/>
        </w:rPr>
        <w:t xml:space="preserve"> </w:t>
      </w:r>
      <w:r>
        <w:rPr>
          <w:rFonts w:ascii="Cambria" w:cs="Cambria" w:eastAsia="Cambria" w:hAnsi="Cambria"/>
          <w:color w:val="000000"/>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000000"/>
          <w:sz w:val="24"/>
          <w:szCs w:val="24"/>
        </w:rPr>
        <w:t xml:space="preserve">The Controller therefore already evaluates the corresponding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within the authorisation decision, as expressed in Eq. (26) and enforced in the prototype.</w:t>
      </w:r>
      <w:r>
        <w:rPr>
          <w:rFonts w:ascii="Cambria" w:cs="Cambria" w:eastAsia="Cambria" w:hAnsi="Cambria"/>
          <w:sz w:val="24"/>
          <w:szCs w:val="24"/>
        </w:rPr>
        <w:t xml:space="preserve">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000000"/>
          <w:sz w:val="24"/>
          <w:szCs w:val="24"/>
        </w:rPr>
        <w:t xml:space="preserve">This chapter presents the proposed solution as six mechanisms, one for each research objective. Sections 6.1 to 6.6 define, for each objective, the formal condition, the workflow, the step-wise procedure and the corresponding algorithm, and each section also states which part of the mechanism is exercised by the current prototype and which part is reserved for the next stage. Section 6.7 relates the six algorithms to the research objectives, and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(46)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color w:val="000000"/>
          <w:sz w:val="24"/>
          <w:szCs w:val="24"/>
        </w:rPr>
        <w:t xml:space="preserve">In addition, I represents patient and participant identity information, A represents authorisation requirements, P represents policy constraints, and E represents authorisation evidence. The temporal component defines the interval during which the consent may be exercised, and the jurisdictional component defines the territory in which it may be exercised.</w:t>
      </w:r>
      <w:r>
        <w:rPr>
          <w:rFonts w:ascii="Cambria" w:cs="Cambria" w:eastAsia="Cambria" w:hAnsi="Cambria"/>
          <w:sz w:val="24"/>
          <w:szCs w:val="24"/>
        </w:rPr>
        <w:t xml:space="preserv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the identity validation of Steps 1 to 3 is a structural check that each identifier constitutes a well-formed DID.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000000"/>
          <w:sz w:val="24"/>
          <w:szCs w:val="24"/>
        </w:rPr>
        <w:t xml:space="preserve">The declared jurisdiction L is then validated as a well-formed ISO alpha-2 territory code and bound to the consent object, as described in Section 6.1.1, so that the subsequent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Patient identity I</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authorised doctor D, guardian set G,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data scope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color w:val="000000"/>
          <w:sz w:val="21"/>
          <w:szCs w:val="21"/>
        </w:rPr>
        <w:t xml:space="preserve">Validate jurisdiction L; 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(47)</w:t>
      </w:r>
    </w:p>
    <w:p>
      <w:pPr>
        <w:spacing w:after="140" w:line="300"/>
        <w:jc w:val="both"/>
      </w:pPr>
      <w:r>
        <w:rPr>
          <w:rFonts w:ascii="Cambria" w:cs="Cambria" w:eastAsia="Cambria" w:hAnsi="Cambria"/>
          <w:color w:val="000000"/>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(49)</w:t>
      </w:r>
    </w:p>
    <w:p>
      <w:pPr>
        <w:spacing w:after="140" w:line="300"/>
        <w:jc w:val="both"/>
      </w:pPr>
      <w:r>
        <w:rPr>
          <w:rFonts w:ascii="Cambria" w:cs="Cambria" w:eastAsia="Cambria" w:hAnsi="Cambria"/>
          <w:color w:val="000000"/>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w:t>
      </w:r>
      <w:r>
        <w:rPr>
          <w:rFonts w:ascii="Cambria" w:cs="Cambria" w:eastAsia="Cambria" w:hAnsi="Cambria"/>
          <w:color w:val="000000"/>
          <w:sz w:val="24"/>
          <w:szCs w:val="24"/>
        </w:rPr>
        <w:t xml:space="preserve">The N-of-N configuration was adopted for the prototype because it is the most conservative instantiation of the threshold condition, in which no designated guardian can be bypassed, and because it allows the mechanism to be demonstrated without the quorum-selection and key-management questions that a general k-of-n threshold introduces. A configurable k-of-n threshold, while a direct generalisation of the implemented mechanism,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w:t>
      </w:r>
      <w:r>
        <w:rPr>
          <w:rFonts w:ascii="Cambria" w:cs="Cambria" w:eastAsia="Cambria" w:hAnsi="Cambria"/>
          <w:color w:val="000000"/>
          <w:sz w:val="24"/>
          <w:szCs w:val="24"/>
        </w:rPr>
        <w:t xml:space="preserve">Formally, no approval already contained in the valid approval set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may originate from participant u.</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000000"/>
          <w:sz w:val="24"/>
          <w:szCs w:val="24"/>
        </w:rPr>
        <w:t xml:space="preserve">Authorisation(C) = { ACTIVATED,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PENDING,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 N → { ACTIVATED; PENDING }</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w:t>
      </w:r>
      <w:r>
        <w:rPr>
          <w:rFonts w:ascii="Cambria" w:cs="Cambria" w:eastAsia="Cambria" w:hAnsi="Cambria"/>
          <w:color w:val="000000"/>
          <w:sz w:val="24"/>
          <w:szCs w:val="24"/>
        </w:rPr>
        <w:t xml:space="preserve">|A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 Authorisation(C) = ACTIVATED.</w:t>
      </w:r>
      <w:r>
        <w:rPr>
          <w:rFonts w:ascii="Cambria" w:cs="Cambria" w:eastAsia="Cambria" w:hAnsi="Cambria"/>
          <w:sz w:val="24"/>
          <w:szCs w:val="24"/>
        </w:rPr>
        <w:t xml:space="preserve">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(51)</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000000"/>
          <w:sz w:val="24"/>
          <w:szCs w:val="24"/>
        </w:rPr>
        <w:t xml:space="preserve">The complete authorisation decision enforced by the implemented system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(54)</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C</w:t>
      </w:r>
      <w:r>
        <w:rPr>
          <w:rFonts w:ascii="Cambria Math" w:cs="Cambria Math" w:eastAsia="Cambria Math" w:hAnsi="Cambria Math"/>
          <w:i/>
          <w:iCs/>
          <w:color w:val="000000"/>
          <w:sz w:val="22"/>
          <w:szCs w:val="22"/>
        </w:rPr>
        <w:t xml:space="preserve"> = {Observation, Medication},</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(56)</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Consent object C, access request R = (u, P</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w:t>
      </w:r>
      <w:r>
        <w:rPr>
          <w:rFonts w:ascii="Cambria" w:cs="Cambria" w:eastAsia="Cambria" w:hAnsi="Cambria"/>
          <w:color w:val="000000"/>
          <w:sz w:val="24"/>
          <w:szCs w:val="24"/>
        </w:rPr>
        <w:t xml:space="preserve">represented as R = (u, 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Jur(R)), where Jur(R) is the jurisdiction declared by the requester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000000"/>
          <w:sz w:val="24"/>
          <w:szCs w:val="24"/>
        </w:rPr>
        <w:t xml:space="preserve">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w:t>
      </w:r>
      <w:r>
        <w:rPr>
          <w:rFonts w:ascii="Cambria" w:cs="Cambria" w:eastAsia="Cambria" w:hAnsi="Cambria"/>
          <w:color w:val="000000"/>
          <w:sz w:val="24"/>
          <w:szCs w:val="24"/>
        </w:rPr>
        <w:t xml:space="preserve">based on the conjunction of identity validity, active consent, sufficient multi-party approval, purpose compatibility, scope containment, temporal validity and jurisdictional match.</w:t>
      </w:r>
      <w:r>
        <w:rPr>
          <w:rFonts w:ascii="Cambria" w:cs="Cambria" w:eastAsia="Cambria" w:hAnsi="Cambria"/>
          <w:sz w:val="24"/>
          <w:szCs w:val="24"/>
        </w:rPr>
        <w:t xml:space="preserve">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000000"/>
          <w:sz w:val="24"/>
          <w:szCs w:val="24"/>
        </w:rPr>
        <w:t xml:space="preserve">PurposeMatch(P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ScopeMatch(S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w:t>
      </w:r>
      <w:r>
        <w:rPr>
          <w:rFonts w:ascii="Cambria" w:cs="Cambria" w:eastAsia="Cambria" w:hAnsi="Cambria"/>
          <w:color w:val="000000"/>
          <w:sz w:val="24"/>
          <w:szCs w:val="24"/>
        </w:rPr>
        <w:t xml:space="preserve">A formal proof that no execution path can violate the privacy policy is, however, deliberately left to future work.</w:t>
      </w:r>
    </w:p>
    <w:p>
      <w:pPr>
        <w:spacing w:after="140" w:line="300"/>
        <w:jc w:val="both"/>
      </w:pPr>
      <w:r>
        <w:rPr>
          <w:rFonts w:ascii="Cambria" w:cs="Cambria" w:eastAsia="Cambria" w:hAnsi="Cambria"/>
          <w:color w:val="000000"/>
          <w:sz w:val="24"/>
          <w:szCs w:val="24"/>
        </w:rPr>
        <w:t xml:space="preserve">In the HALAH implementation, this step is realised by generating and verifying a Groth16 zero-knowledge proof that the requester holds the consent secret committed on-chain through a Poseidon hash and that the consent has not expired at time t; the proof mode is recorded with the decision in the audit ledger. Therefore, the proof constitutes the access evidence required by Algorithm 4 (line 28) before any data are retrieved.</w:t>
      </w:r>
    </w:p>
    <w:p>
      <w:pPr>
        <w:spacing w:after="140" w:line="300"/>
        <w:jc w:val="both"/>
      </w:pPr>
      <w:r>
        <w:rPr>
          <w:rFonts w:ascii="Cambria" w:cs="Cambria" w:eastAsia="Cambria" w:hAnsi="Cambria"/>
          <w:sz w:val="24"/>
          <w:szCs w:val="24"/>
        </w:rPr>
        <w:t xml:space="preserve">The final access decision can be formally expressed as </w:t>
      </w:r>
      <w:r>
        <w:rPr>
          <w:rFonts w:ascii="Cambria" w:cs="Cambria" w:eastAsia="Cambria" w:hAnsi="Cambria"/>
          <w:color w:val="000000"/>
          <w:sz w:val="24"/>
          <w:szCs w:val="24"/>
        </w:rPr>
        <w:t xml:space="preserve">ALLOW ⟺ Identity ∧ Consent ∧ Authority ∧ Threshold ∧ Purpose ∧ Scope ∧ Time ∧ Jurisdiction ∧ Evidence</w:t>
      </w:r>
      <w:r>
        <w:rPr>
          <w:rFonts w:ascii="Cambria" w:cs="Cambria" w:eastAsia="Cambria" w:hAnsi="Cambria"/>
          <w:sz w:val="24"/>
          <w:szCs w:val="24"/>
        </w:rPr>
        <w:t xml:space="preserve"> where the individual conditions represent verified participant identity, active consent, sufficient authority, satisfied multi-party approval, </w:t>
      </w:r>
      <w:r>
        <w:rPr>
          <w:rFonts w:ascii="Cambria" w:cs="Cambria" w:eastAsia="Cambria" w:hAnsi="Cambria"/>
          <w:color w:val="000000"/>
          <w:sz w:val="24"/>
          <w:szCs w:val="24"/>
        </w:rPr>
        <w:t xml:space="preserve">compatible purpose, authorised data scope, temporal validity, jurisdictional match, and sufficient decision evidence, respectively.</w:t>
      </w:r>
      <w:r>
        <w:rPr>
          <w:rFonts w:ascii="Cambria" w:cs="Cambria" w:eastAsia="Cambria" w:hAnsi="Cambria"/>
          <w:sz w:val="24"/>
          <w:szCs w:val="24"/>
        </w:rPr>
        <w:t xml:space="preserve">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000000"/>
          <w:sz w:val="24"/>
          <w:szCs w:val="24"/>
        </w:rPr>
        <w:t xml:space="preserve">Although this objective was originally planned for the next stage (CA3), it has been realised in the current prototype; it investigates how an authorisation remains trustworthy as time passes and as the consent state changes.</w:t>
      </w:r>
      <w:r>
        <w:rPr>
          <w:rFonts w:ascii="Cambria" w:cs="Cambria" w:eastAsia="Cambria" w:hAnsi="Cambria"/>
          <w:sz w:val="24"/>
          <w:szCs w:val="24"/>
        </w:rPr>
        <w:t xml:space="preserve"> The current stage model evaluates identity, collective authorisation, and policy compliance. </w:t>
      </w:r>
      <w:r>
        <w:rPr>
          <w:rFonts w:ascii="Cambria" w:cs="Cambria" w:eastAsia="Cambria" w:hAnsi="Cambria"/>
          <w:color w:val="000000"/>
          <w:sz w:val="24"/>
          <w:szCs w:val="24"/>
        </w:rPr>
        <w:t xml:space="preserve">RO5 extends this model by introducing temporal and lifecycle conditions. The temporal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(58)</w:t>
      </w:r>
    </w:p>
    <w:p>
      <w:pPr>
        <w:spacing w:after="140" w:line="300"/>
        <w:jc w:val="both"/>
      </w:pPr>
      <w:r>
        <w:rPr>
          <w:rFonts w:ascii="Cambria" w:cs="Cambria" w:eastAsia="Cambria" w:hAnsi="Cambria"/>
          <w:color w:val="000000"/>
          <w:sz w:val="24"/>
          <w:szCs w:val="24"/>
        </w:rPr>
        <w:t xml:space="preserve">The jurisdictional condition, written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here and abbreviated to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the decision rules that follow because the request R is understood,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 </w:t>
      </w:r>
      <w:r>
        <w:rPr>
          <w:rFonts w:ascii="Cambria" w:cs="Cambria" w:eastAsia="Cambria" w:hAnsi="Cambria"/>
          <w:color w:val="000000"/>
          <w:sz w:val="24"/>
          <w:szCs w:val="24"/>
        </w:rPr>
        <w:t xml:space="preserve">It should be noted that, because the jurisdiction L is validated and bound at consent creation (Section 6.1.1), the disjunct Jur(C) = ∅ is not reached for any consent created through the current interface, so that in the demonstrated system the predicate reduces to strict equality, as Section 6.8.5 confirms.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It should be noted that the symbol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in this section denotes the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of Eq. (13), extended here with the temporal condition of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which the implementation evaluates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that it must not be confused with the data-scope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of Eq. (52); for this reason the lifecycle predicate is always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in this section. It is evaluated by this procedure</w:t>
      </w:r>
      <w:r>
        <w:rPr>
          <w:rFonts w:ascii="Cambria" w:cs="Cambria" w:eastAsia="Cambria" w:hAnsi="Cambria"/>
          <w:color w:val="000000"/>
          <w:sz w:val="24"/>
          <w:szCs w:val="24"/>
        </w:rPr>
        <w:t xml:space="preserv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 request validity layer</w:t>
      </w:r>
      <w:r>
        <w:rPr>
          <w:rFonts w:ascii="Cambria" w:cs="Cambria" w:eastAsia="Cambria" w:hAnsi="Cambria"/>
          <w:color w:val="000000"/>
          <w:sz w:val="24"/>
          <w:szCs w:val="24"/>
        </w:rPr>
        <w:t xml:space="preserve">: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000000"/>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000000"/>
          <w:sz w:val="24"/>
          <w:szCs w:val="24"/>
        </w:rPr>
        <w:t xml:space="preserve">The formal decision model is expressed in Equation (61) below.</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 </w:t>
      </w:r>
      <w:r>
        <w:rPr>
          <w:rFonts w:ascii="Cambria" w:cs="Cambria" w:eastAsia="Cambria" w:hAnsi="Cambria"/>
          <w:color w:val="000000"/>
          <w:sz w:val="24"/>
          <w:szCs w:val="24"/>
        </w:rPr>
        <w:t xml:space="preserve">The empirical evidence comprises the 23 automated tests that exercise per-dimension failures of the decision matrix, invalid EIP-712 guardian signatures and tampered or expired proofs, the live jurisdiction-based denial and the revocation followed by refusal on Sepolia, and the independent re-verification of every recorded transaction against the chain, all of which are presented in Section 6.8.</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(61)</w:t>
      </w:r>
    </w:p>
    <w:p>
      <w:pPr>
        <w:spacing w:after="140" w:line="300"/>
        <w:jc w:val="both"/>
      </w:pPr>
      <w:r>
        <w:rPr>
          <w:rFonts w:ascii="Cambria" w:cs="Cambria" w:eastAsia="Cambria" w:hAnsi="Cambria"/>
          <w:color w:val="000000"/>
          <w:sz w:val="24"/>
          <w:szCs w:val="24"/>
        </w:rPr>
        <w:t xml:space="preserve">The soundness property actually validated is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of which Equations (62) and (63) give the foundational three-predicate form; and each conjunct of the five-predicate rule is exercised by a dedicated per-dimension failure test</w:t>
      </w:r>
      <w:r>
        <w:rPr>
          <w:rFonts w:ascii="Cambria" w:cs="Cambria" w:eastAsia="Cambria" w:hAnsi="Cambria"/>
          <w:color w:val="000000"/>
          <w:sz w:val="24"/>
          <w:szCs w:val="24"/>
        </w:rPr>
        <w:t xml:space="preserve">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(63)</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w:t>
      </w:r>
      <w:r>
        <w:rPr>
          <w:rFonts w:ascii="Cambria" w:cs="Cambria" w:eastAsia="Cambria" w:hAnsi="Cambria"/>
          <w:color w:val="000000"/>
          <w:sz w:val="24"/>
          <w:szCs w:val="24"/>
        </w:rPr>
        <w:t xml:space="preserve">The expected threshold property is Authorisation(C) = ACTIVATED ⇒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w:t>
      </w:r>
      <w:r>
        <w:rPr>
          <w:rFonts w:ascii="Cambria" w:cs="Cambria" w:eastAsia="Cambria" w:hAnsi="Cambria"/>
          <w:sz w:val="24"/>
          <w:szCs w:val="24"/>
        </w:rPr>
        <w:t xml:space="preserve">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w:t>
      </w:r>
      <w:r>
        <w:rPr>
          <w:rFonts w:ascii="Cambria" w:cs="Cambria" w:eastAsia="Cambria" w:hAnsi="Cambria"/>
          <w:color w:val="000000"/>
          <w:sz w:val="24"/>
          <w:szCs w:val="24"/>
        </w:rPr>
        <w:t xml:space="preserve">the current stage establishes the foundational authorisation mechanisms together with their dynamic validity, and CA3 completes their formal</w:t>
      </w:r>
    </w:p>
    <w:p>
      <w:pPr>
        <w:spacing w:after="140" w:line="300"/>
        <w:jc w:val="both"/>
      </w:pPr>
      <w:r>
        <w:rPr>
          <w:rFonts w:ascii="Cambria" w:cs="Cambria" w:eastAsia="Cambria" w:hAnsi="Cambria"/>
          <w:color w:val="000000"/>
          <w:sz w:val="24"/>
          <w:szCs w:val="24"/>
        </w:rPr>
        <w:t xml:space="preserve">security assurance and comprehensive practical evaluation.</w:t>
      </w:r>
      <w:r>
        <w:rPr>
          <w:rFonts w:ascii="Cambria" w:cs="Cambria" w:eastAsia="Cambria" w:hAnsi="Cambria"/>
          <w:sz w:val="24"/>
          <w:szCs w:val="24"/>
        </w:rPr>
        <w:t xml:space="preserve">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For the current stage implementation, the operational decision was originally based on the three-predicate rule of Equation (64), which the five-predicate rule of Equation (65) now supersedes in the implemented system.</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(64)</w:t>
      </w:r>
    </w:p>
    <w:p>
      <w:pPr>
        <w:spacing w:after="140" w:line="300"/>
        <w:jc w:val="both"/>
      </w:pPr>
      <w:r>
        <w:rPr>
          <w:rFonts w:ascii="Cambria" w:cs="Cambria" w:eastAsia="Cambria" w:hAnsi="Cambria"/>
          <w:color w:val="000000"/>
          <w:sz w:val="24"/>
          <w:szCs w:val="24"/>
        </w:rPr>
        <w:t xml:space="preserve">The extended rule, originally planned for CA3 and now enforced by the implemented system, incorporates temporal, jurisdictional and lifecycle conditions such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color w:val="000000"/>
          <w:sz w:val="24"/>
          <w:szCs w:val="24"/>
        </w:rPr>
        <w:t xml:space="preserve">The implemented system enforces the complete rule of Equation (65):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(64)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000000"/>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w:t>
      </w:r>
      <w:r>
        <w:rPr>
          <w:rFonts w:ascii="Cambria" w:cs="Cambria" w:eastAsia="Cambria" w:hAnsi="Cambria"/>
          <w:color w:val="000000"/>
          <w:sz w:val="24"/>
          <w:szCs w:val="24"/>
        </w:rPr>
        <w:t xml:space="preserve">electronic medical record (EMR) modules, the term used by the implementation for the electronic health record (EHR) components discussed in the earlier chapters, and finally revoked by the patient</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(46), the identity and authority verification of Algorithm 2, the threshold-based multi-party authorisation of Algorithm 3, and the trust-predicate evaluation of Figure 8 </w:t>
      </w:r>
      <w:r>
        <w:rPr>
          <w:rFonts w:ascii="Cambria" w:cs="Cambria" w:eastAsia="Cambria" w:hAnsi="Cambria"/>
          <w:color w:val="000000"/>
          <w:sz w:val="24"/>
          <w:szCs w:val="24"/>
        </w:rPr>
        <w:t xml:space="preserve">are each exercised in this workflow, and the resulting activation and revocation are anchored by real transactions on the Ethereum Sepolia test network, so the conceptual model and the running system can be verified against one another</w:t>
      </w:r>
      <w:r>
        <w:rPr>
          <w:rFonts w:ascii="Cambria" w:cs="Cambria" w:eastAsia="Cambria" w:hAnsi="Cambria"/>
          <w:color w:val="000000"/>
          <w:sz w:val="24"/>
          <w:szCs w:val="24"/>
        </w:rPr>
        <w:t xml:space="preserve">.</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000000"/>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w:t>
      </w:r>
      <w:r>
        <w:rPr>
          <w:rFonts w:ascii="Cambria" w:cs="Cambria" w:eastAsia="Cambria" w:hAnsi="Cambria"/>
          <w:color w:val="000000"/>
          <w:sz w:val="24"/>
          <w:szCs w:val="24"/>
        </w:rPr>
        <w:t xml:space="preserve">The contract stores the purpose only as a keccak256 hash and no medical content is written to the chain; it should be noted, however, that the plaintext purpose is passed as a parameter of the mint transaction and is therefore visible in the public transaction input, whereas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w:t>
      </w:r>
      <w:r>
        <w:rPr>
          <w:rFonts w:ascii="Cambria" w:cs="Cambria" w:eastAsia="Cambria" w:hAnsi="Cambria"/>
          <w:color w:val="000000"/>
          <w:sz w:val="24"/>
          <w:szCs w:val="24"/>
        </w:rPr>
        <w:t xml:space="preserve">and the evidence component E records the authorisation evidence, including whether the consent remains active or has been revoked</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(46)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w:t>
      </w:r>
      <w:r>
        <w:rPr>
          <w:rFonts w:ascii="Cambria" w:cs="Cambria" w:eastAsia="Cambria" w:hAnsi="Cambria"/>
          <w:color w:val="000000"/>
          <w:sz w:val="24"/>
          <w:szCs w:val="24"/>
        </w:rPr>
        <w:t xml:space="preserve">complete lifecycle (activation as token #1, granted access, refused access and final revocation), and all transaction evidence in this chapter follows it</w:t>
      </w:r>
      <w:r>
        <w:rPr>
          <w:rFonts w:ascii="Cambria" w:cs="Cambria" w:eastAsia="Cambria" w:hAnsi="Cambria"/>
          <w:color w:val="000000"/>
          <w:sz w:val="24"/>
          <w:szCs w:val="24"/>
        </w:rPr>
        <w:t xml:space="preserve">. Because a revoked consent cannot be photographed in its earlier states, the screenshots of consent creation, guardian approval and granted access were captured from a second lifecycle </w:t>
      </w:r>
      <w:r>
        <w:rPr>
          <w:rFonts w:ascii="Cambria" w:cs="Cambria" w:eastAsia="Cambria" w:hAnsi="Cambria"/>
          <w:color w:val="000000"/>
          <w:sz w:val="24"/>
          <w:szCs w:val="24"/>
        </w:rPr>
        <w:t xml:space="preserve">with the same configuration (the same four-module scope, the same guardians, jurisdiction, purpose and doctor), executed for a different demonstration patient</w:t>
      </w:r>
      <w:r>
        <w:rPr>
          <w:rFonts w:ascii="Cambria" w:cs="Cambria" w:eastAsia="Cambria" w:hAnsi="Cambria"/>
          <w:color w:val="000000"/>
          <w:sz w:val="24"/>
          <w:szCs w:val="24"/>
        </w:rPr>
        <w:t xml:space="preserve">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(49).</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000000"/>
          <w:sz w:val="24"/>
          <w:szCs w:val="24"/>
        </w:rPr>
        <w:t xml:space="preserve">The guardian approval establishes the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t>
      </w:r>
      <w:r>
        <w:rPr>
          <w:rFonts w:ascii="Cambria" w:cs="Cambria" w:eastAsia="Cambria" w:hAnsi="Cambria"/>
          <w:color w:val="000000"/>
          <w:sz w:val="24"/>
          <w:szCs w:val="24"/>
        </w:rPr>
        <w:t xml:space="preserve">which is the complete decision rule of Eq. (54) and Eq. (60), extending the three-predicate rule of Eq. (64) with the temporal and jurisdictional verdicts</w:t>
      </w:r>
      <w:r>
        <w:rPr>
          <w:rFonts w:ascii="Cambria" w:cs="Cambria" w:eastAsia="Cambria" w:hAnsi="Cambria"/>
          <w:color w:val="000000"/>
          <w:sz w:val="24"/>
          <w:szCs w:val="24"/>
        </w:rPr>
        <w:t xml:space="preserve">.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000000"/>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000000"/>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w:t>
      </w:r>
      <w:r>
        <w:rPr>
          <w:rFonts w:ascii="Cambria" w:cs="Cambria" w:eastAsia="Cambria" w:hAnsi="Cambria"/>
          <w:color w:val="000000"/>
          <w:sz w:val="24"/>
          <w:szCs w:val="24"/>
        </w:rPr>
        <w:t xml:space="preserve">the consent progresses through the controlled states PENDING_SIGNATURE, PENDING_TOKEN, NOT_STARTED, ACTIVE and REVOKED of the six-state lifecycle defined in Section 6.5, the EXPIRED state not being reached in the demonstration</w:t>
      </w:r>
      <w:r>
        <w:rPr>
          <w:rFonts w:ascii="Cambria" w:cs="Cambria" w:eastAsia="Cambria" w:hAnsi="Cambria"/>
          <w:color w:val="000000"/>
          <w:sz w:val="24"/>
          <w:szCs w:val="24"/>
        </w:rPr>
        <w:t xml:space="preserve">,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spacing w:after="140" w:line="300"/>
        <w:jc w:val="both"/>
      </w:pPr>
      <w:r>
        <w:rPr>
          <w:rFonts w:ascii="Cambria" w:cs="Cambria" w:eastAsia="Cambria" w:hAnsi="Cambria"/>
          <w:color w:val="000000"/>
          <w:sz w:val="24"/>
          <w:szCs w:val="24"/>
        </w:rPr>
        <w:t xml:space="preserve">It should be noted that the expiry path, in which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fails once the current time exceeds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and the consent enters the EXPIRED state, is exercised by the automated tests reported in Section 6.8.9 rather than by the live demonstration, because a consent with a validity window long enough to be photographed cannot be allowed to expire within the demonstration period.</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w:t>
      </w:r>
      <w:r>
        <w:rPr>
          <w:rFonts w:ascii="Cambria" w:cs="Cambria" w:eastAsia="Cambria" w:hAnsi="Cambria"/>
          <w:color w:val="000000"/>
          <w:sz w:val="24"/>
          <w:szCs w:val="24"/>
        </w:rPr>
        <w:t xml:space="preserve">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w:t>
      </w:r>
      <w:r>
        <w:rPr>
          <w:rFonts w:ascii="Cambria" w:cs="Cambria" w:eastAsia="Cambria" w:hAnsi="Cambria"/>
          <w:color w:val="000000"/>
          <w:sz w:val="24"/>
          <w:szCs w:val="24"/>
        </w:rPr>
        <w:t xml:space="preserve">The formal component, namely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00"/>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00"/>
          <w:sz w:val="24"/>
          <w:szCs w:val="24"/>
        </w:rPr>
        <w:t xml:space="preserve">Table 14 summarises the correspondence between the components of the framework and the subsystems of the implementation, and it consolidates the correspondences stated at the end of each of the preceding subsections.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14: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00"/>
          <w:sz w:val="24"/>
          <w:szCs w:val="24"/>
        </w:rPr>
        <w:t xml:space="preserve">It should be noted that, in the same way,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(66)</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000000"/>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spacing w:after="140" w:line="300"/>
        <w:jc w:val="both"/>
      </w:pPr>
      <w:r>
        <w:rPr>
          <w:rFonts w:ascii="Cambria" w:cs="Cambria" w:eastAsia="Cambria" w:hAnsi="Cambria"/>
          <w:color w:val="000000"/>
          <w:sz w:val="24"/>
          <w:szCs w:val="24"/>
        </w:rPr>
        <w:t xml:space="preserve">Temporal information defines the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within which the consent may be exercised, and the jurisdiction component records the legal territory in which access is permitted.</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000000"/>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(68)</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With respect to the multi-party authorisation of RO3, which is discussed further in Section 7.3, the approval threshold in the current prototype is fixed at N-of-N: every</w:t>
      </w:r>
      <w:r>
        <w:rPr>
          <w:rFonts w:ascii="Cambria" w:cs="Cambria" w:eastAsia="Cambria" w:hAnsi="Cambria"/>
          <w:color w:val="000000"/>
          <w:sz w:val="24"/>
          <w:szCs w:val="24"/>
        </w:rPr>
        <w:t xml:space="preserve">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000000"/>
          <w:sz w:val="24"/>
          <w:szCs w:val="24"/>
        </w:rPr>
        <w:t xml:space="preserve">It should be noted that the implemented threshold is derived from the designated guardian set as N = |G|, so the prototype currently enforces an N-of-N instantiation of Eq. (69) and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000000"/>
          <w:sz w:val="24"/>
          <w:szCs w:val="24"/>
        </w:rPr>
        <w:t xml:space="preserve">Progress of RO4: Policy- and Context-Aware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color w:val="000000"/>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w:t>
      </w:r>
      <w:r>
        <w:rPr>
          <w:rFonts w:ascii="Cambria" w:cs="Cambria" w:eastAsia="Cambria" w:hAnsi="Cambria"/>
          <w:color w:val="000000"/>
          <w:sz w:val="24"/>
          <w:szCs w:val="24"/>
        </w:rPr>
        <w:t xml:space="preserve">the request exceeds the authorised scope,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evaluates to 0 and the request is denied with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named as the failed check; this over-scope denial is exercised by the per-dimension failure tests described in Section 6.8.9, while Section 6.8.4 shows the requested-subset rule enforced on the live system.</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w:t>
      </w:r>
      <w:r>
        <w:rPr>
          <w:rFonts w:ascii="Cambria" w:cs="Cambria" w:eastAsia="Cambria" w:hAnsi="Cambria"/>
          <w:color w:val="000000"/>
          <w:sz w:val="24"/>
          <w:szCs w:val="24"/>
        </w:rPr>
        <w:t xml:space="preserve">rather than temporal enforcement itself. The temporal predicate enforced at every access request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(74)</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000000"/>
          <w:sz w:val="24"/>
          <w:szCs w:val="24"/>
        </w:rPr>
        <w:t xml:space="preserve">Progress of RO6: Formal Security Assurance and Empirical Validation</w:t>
      </w:r>
    </w:p>
    <w:p>
      <w:pPr>
        <w:spacing w:after="140" w:line="300"/>
        <w:jc w:val="both"/>
      </w:pPr>
      <w:r>
        <w:rPr>
          <w:rFonts w:ascii="Cambria" w:cs="Cambria" w:eastAsia="Cambria" w:hAnsi="Cambria"/>
          <w:color w:val="000000"/>
          <w:sz w:val="24"/>
          <w:szCs w:val="24"/>
        </w:rPr>
        <w:t xml:space="preserve">Empirical validation now covers all five trust predicates of the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together with on-chain revocation.</w:t>
      </w:r>
      <w:r>
        <w:rPr>
          <w:rFonts w:ascii="Cambria" w:cs="Cambria" w:eastAsia="Cambria" w:hAnsi="Cambria"/>
          <w:color w:val="000000"/>
          <w:sz w:val="24"/>
          <w:szCs w:val="24"/>
        </w:rPr>
        <w:t xml:space="preserve">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w:t>
      </w:r>
      <w:r>
        <w:rPr>
          <w:rFonts w:ascii="Cambria" w:cs="Cambria" w:eastAsia="Cambria" w:hAnsi="Cambria"/>
          <w:color w:val="000000"/>
          <w:sz w:val="24"/>
          <w:szCs w:val="24"/>
        </w:rPr>
        <w:t xml:space="preserve">The implemented decision rule is therefore exactly Eq. (75).</w:t>
      </w:r>
      <w:r>
        <w:rPr>
          <w:rFonts w:ascii="Cambria" w:cs="Cambria" w:eastAsia="Cambria" w:hAnsi="Cambria"/>
          <w:color w:val="000000"/>
          <w:sz w:val="24"/>
          <w:szCs w:val="24"/>
        </w:rPr>
        <w:t xml:space="preserve"> Formal security analysis and a systematic performance study remain for the next stage. </w:t>
      </w:r>
      <w:r>
        <w:rPr>
          <w:rFonts w:ascii="Cambria" w:cs="Cambria" w:eastAsia="Cambria" w:hAnsi="Cambria"/>
          <w:color w:val="000000"/>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000000"/>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(u)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(C)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(C, R)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DENY, otherwise.</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000000"/>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w:t>
      </w:r>
      <w:r>
        <w:rPr>
          <w:rFonts w:ascii="Cambria" w:cs="Cambria" w:eastAsia="Cambria" w:hAnsi="Cambria"/>
          <w:color w:val="000000"/>
          <w:sz w:val="24"/>
          <w:szCs w:val="24"/>
        </w:rPr>
        <w:t xml:space="preserve">have now been demonstrated empirically: jurisdiction violation and revocation followed by denial in the live Sepolia deployment, and policy violation, temporal expiration and invalid lifecycle transitions in the automated test suite.</w:t>
      </w:r>
      <w:r>
        <w:rPr>
          <w:rFonts w:ascii="Cambria" w:cs="Cambria" w:eastAsia="Cambria" w:hAnsi="Cambria"/>
          <w:color w:val="000000"/>
          <w:sz w:val="24"/>
          <w:szCs w:val="24"/>
        </w:rPr>
        <w:t xml:space="preserve">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 </w:t>
      </w:r>
      <w:r>
        <w:rPr>
          <w:rFonts w:ascii="Cambria" w:cs="Cambria" w:eastAsia="Cambria" w:hAnsi="Cambria"/>
          <w:color w:val="000000"/>
          <w:sz w:val="24"/>
          <w:szCs w:val="24"/>
        </w:rPr>
        <w:t xml:space="preserve">In summary, RO1 to RO4 are completed at the conceptual and prototype level, RO5 is largely completed with its temporal and revocation controls enforced and anchored on-chain, and RO6 is partially completed through its empirical component. Therefore, the next stage of the research is defined by the formal component of RO6, the performance study and the dynamic lifecycle extensions of RO5, as set out in Chapter 9.</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00"/>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00"/>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000000"/>
                <w:sz w:val="19"/>
                <w:szCs w:val="19"/>
              </w:rPr>
              <w:t xml:space="preserve">addresses RQ1 to RQ4 (Sections 6.1 to 6.4).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000000"/>
                <w:sz w:val="19"/>
                <w:szCs w:val="19"/>
              </w:rPr>
              <w:t xml:space="preserve">addresses formal security assurance (Section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 </w:t>
      </w:r>
      <w:r>
        <w:rPr>
          <w:rFonts w:ascii="Cambria" w:cs="Cambria" w:eastAsia="Cambria" w:hAnsi="Cambria"/>
          <w:color w:val="000000"/>
          <w:sz w:val="24"/>
          <w:szCs w:val="24"/>
        </w:rPr>
        <w:t xml:space="preserve">The plan for the next stage therefore follows directly from the progress status reported in Chapter 7: </w:t>
      </w:r>
      <w:r>
        <w:rPr>
          <w:rFonts w:ascii="Cambria" w:cs="Cambria" w:eastAsia="Cambria" w:hAnsi="Cambria"/>
          <w:color w:val="000000"/>
          <w:sz w:val="24"/>
          <w:szCs w:val="24"/>
        </w:rPr>
        <w:t xml:space="preserve">the objectives marked as completed require no further conceptual development, whereas the formal component of RO6, the systematic performance and overhead study, and the identified prototype limitations, namely the N-of-N approval rule, the server-derived guardian keys, the unauthenticated requester and the absence of cryptographic DID resolution, define the remaining work.</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w:t>
      </w:r>
      <w:r>
        <w:rPr>
          <w:rFonts w:ascii="Cambria" w:cs="Cambria" w:eastAsia="Cambria" w:hAnsi="Cambria"/>
          <w:color w:val="000000"/>
          <w:sz w:val="24"/>
          <w:szCs w:val="24"/>
        </w:rPr>
        <w:t xml:space="preserve">the next stage concentrates on formal security assurance and comprehensive empirical validation, including performance measurement, together with the dynamic consent governance extensions of RO5, namely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w:t>
      </w:r>
      <w:r>
        <w:rPr>
          <w:rFonts w:ascii="Cambria" w:cs="Cambria" w:eastAsia="Cambria" w:hAnsi="Cambria"/>
          <w:color w:val="000000"/>
          <w:sz w:val="24"/>
          <w:szCs w:val="24"/>
        </w:rPr>
        <w:t xml:space="preserve">extend the research towards dynamic consent governance [13, 24], formal security assurance,</w:t>
      </w:r>
      <w:r>
        <w:rPr>
          <w:rFonts w:ascii="Cambria" w:cs="Cambria" w:eastAsia="Cambria" w:hAnsi="Cambria"/>
          <w:sz w:val="24"/>
          <w:szCs w:val="24"/>
        </w:rPr>
        <w:t xml:space="preserv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00"/>
          <w:sz w:val="24"/>
          <w:szCs w:val="24"/>
        </w:rPr>
        <w:t xml:space="preserve">The next stage activities are planned sequentially. The formal specification of the security properties will be undertaken first, since the empirical experiments are to be designed against those properties; the performance and adversarial evaluation will follow in the second half of the stage, and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000000"/>
          <w:sz w:val="24"/>
          <w:szCs w:val="24"/>
        </w:rPr>
        <w:t xml:space="preserve">The performance study will measure the gas cost of the mint and revoke transactions, the block-confirmation latency on Sepolia, the Groth16 proof generation and verification time, and the end-to-end decision latency per access request, and will report enforcement accuracy as the proportion of adversarial requests correctly denied.</w:t>
      </w:r>
    </w:p>
    <w:p>
      <w:pPr>
        <w:spacing w:after="140" w:line="300"/>
        <w:jc w:val="both"/>
      </w:pPr>
      <w:r>
        <w:rPr>
          <w:rFonts w:ascii="Cambria" w:cs="Cambria" w:eastAsia="Cambria" w:hAnsi="Cambria"/>
          <w:color w:val="000000"/>
          <w:sz w:val="24"/>
          <w:szCs w:val="24"/>
        </w:rPr>
        <w:t xml:space="preserve">The formal component will state the soundness property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the lifecycle invariant that no REVOKED or EXPIRED consent can re-enter ACTIVE, and will verify them by model checking of the state machine or by proof over the predicate definitions of Chapter 6. The evaluation criterion for this component is that every property is either verified or refuted by an explicit counterexample.</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At the time of writing, the status of the activities in Table 16 is as follows.</w:t>
      </w:r>
      <w:r>
        <w:rPr>
          <w:rFonts w:ascii="Cambria" w:cs="Cambria" w:eastAsia="Cambria" w:hAnsi="Cambria"/>
          <w:color w:val="000000"/>
          <w:sz w:val="24"/>
          <w:szCs w:val="24"/>
        </w:rPr>
        <w:t xml:space="preserve"> The temporal and lifecycle foundation of the first activity, Consent Modification, Delegation and Lifecycle Extensions, is largely completed (on-chain notBefore and expiry fields; revoke transaction confirmed in block 11,771,307; explicit lifecycle state machine), whereas the modification, delegation and guardian-set extensions themselves have not been started.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Comprehensive Empirical Validation is partially delivered (23 automated tests; live jurisdiction denial and revocation-then-denial on Sepolia; independent chain verification reporting ALL CHECKS PASSED), with performance and overhead measurement remaining. Formal Security Assurance and the Integrated Framework Evaluation have not been started and constitute the next stage in full.</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(46),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000000"/>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(49),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RO4 / RQ4 — Policy predicate VP, Eqs. (52)–(53),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STATE_CHECK and DATA_ACCESS events recording VP = PASS for the four-module scope of consents f050c29a and 04da25f5</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(54),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RO5 / RQ5 — Temporal and lifecycle trust, Eqs. (58)–(59), Algorithm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RO6 / RQ6 — Empirical validation, Eq. (61), Algorithm 6 (formal component outstanding)</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17: Traceability from the formal artefacts of this report to the implemented mechanisms and their on-chain evidence.</w:t>
      </w: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000000"/>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000000"/>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w:t>
      </w:r>
      <w:r>
        <w:rPr>
          <w:rFonts w:ascii="Cambria" w:cs="Cambria" w:eastAsia="Cambria" w:hAnsi="Cambria"/>
          <w:color w:val="000000"/>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w:t>
      </w:r>
      <w:r>
        <w:rPr>
          <w:rFonts w:ascii="Cambria" w:cs="Cambria" w:eastAsia="Cambria" w:hAnsi="Cambria"/>
          <w:color w:val="000000"/>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000000"/>
          <w:sz w:val="24"/>
          <w:szCs w:val="24"/>
        </w:rPr>
        <w:t xml:space="preserve">ACM Transactions on Management Information Systems, 13(4):1–21, 2022.</w:t>
      </w:r>
    </w:p>
    <w:p>
      <w:pPr>
        <w:spacing w:after="140" w:line="300"/>
        <w:jc w:val="both"/>
      </w:pPr>
      <w:r>
        <w:rPr>
          <w:rFonts w:ascii="Cambria" w:cs="Cambria" w:eastAsia="Cambria" w:hAnsi="Cambria"/>
          <w:sz w:val="24"/>
          <w:szCs w:val="24"/>
        </w:rPr>
        <w:t xml:space="preserve">[28] Ahmed M Tawfik, Ayman Al-Ahwal, Adly S Tag Eldien, and Hala H Zayed. </w:t>
      </w:r>
      <w:r>
        <w:rPr>
          <w:rFonts w:ascii="Cambria" w:cs="Cambria" w:eastAsia="Cambria" w:hAnsi="Cambria"/>
          <w:color w:val="000000"/>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p>
      <w:pPr>
        <w:spacing w:after="140" w:line="300"/>
        <w:jc w:val="both"/>
      </w:pPr>
      <w:r>
        <w:rPr>
          <w:rFonts w:ascii="Cambria" w:cs="Cambria" w:eastAsia="Cambria" w:hAnsi="Cambria"/>
          <w:color w:val="000000"/>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00"/>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00"/>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00"/>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00"/>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00"/>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00"/>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00"/>
          <w:sz w:val="24"/>
          <w:szCs w:val="24"/>
        </w:rPr>
        <w:t xml:space="preserve">[42] </w:t>
      </w:r>
      <w:r>
        <w:rPr>
          <w:rFonts w:ascii="Cambria" w:cs="Cambria" w:eastAsia="Cambria" w:hAnsi="Cambria"/>
          <w:color w:val="000000"/>
          <w:sz w:val="24"/>
          <w:szCs w:val="24"/>
        </w:rPr>
        <w:t xml:space="preserve">J. A. Dhanraj, P. Dhongle, R. Tamilamuthan, M. Lakshmanan, N. Ashtankar, and S. R. Hole.</w:t>
      </w:r>
      <w:r>
        <w:rPr>
          <w:rFonts w:ascii="Cambria" w:cs="Cambria" w:eastAsia="Cambria" w:hAnsi="Cambria"/>
          <w:color w:val="000000"/>
          <w:sz w:val="24"/>
          <w:szCs w:val="24"/>
        </w:rPr>
        <w:t xml:space="preserve"> Blockchain-Augmented Federated Learning for Secure and Healthcare Diagnosis from Distributed Electronic Health Records. 2026 1st International Conference on Emerging Trends in Advancements and Applications of Computational Intelligence Tech, 2026. doi:10.1109/ETAACT69135.2026.11541890</w:t>
      </w:r>
    </w:p>
    <w:p>
      <w:pPr>
        <w:spacing w:after="140" w:line="300"/>
        <w:jc w:val="both"/>
      </w:pPr>
      <w:r>
        <w:rPr>
          <w:rFonts w:ascii="Cambria" w:cs="Cambria" w:eastAsia="Cambria" w:hAnsi="Cambria"/>
          <w:color w:val="000000"/>
          <w:sz w:val="24"/>
          <w:szCs w:val="24"/>
        </w:rPr>
        <w:t xml:space="preserve">[43] </w:t>
      </w:r>
      <w:r>
        <w:rPr>
          <w:rFonts w:ascii="Cambria" w:cs="Cambria" w:eastAsia="Cambria" w:hAnsi="Cambria"/>
          <w:color w:val="000000"/>
          <w:sz w:val="24"/>
          <w:szCs w:val="24"/>
        </w:rPr>
        <w:t xml:space="preserve">K. Ekholm, A. Augustinsson, J. Sundström, C. Johansen, M. Storgärds, L. Ljöstad, et al.</w:t>
      </w:r>
      <w:r>
        <w:rPr>
          <w:rFonts w:ascii="Cambria" w:cs="Cambria" w:eastAsia="Cambria" w:hAnsi="Cambria"/>
          <w:color w:val="000000"/>
          <w:sz w:val="24"/>
          <w:szCs w:val="24"/>
        </w:rPr>
        <w:t xml:space="preserve"> Implementing electronic informed consent in rare disease genomics. </w:t>
      </w:r>
      <w:r>
        <w:rPr>
          <w:rFonts w:ascii="Cambria" w:cs="Cambria" w:eastAsia="Cambria" w:hAnsi="Cambria"/>
          <w:color w:val="000000"/>
          <w:sz w:val="24"/>
          <w:szCs w:val="24"/>
        </w:rPr>
        <w:t xml:space="preserve">Scientific Reports, 2025.</w:t>
      </w:r>
      <w:r>
        <w:rPr>
          <w:rFonts w:ascii="Cambria" w:cs="Cambria" w:eastAsia="Cambria" w:hAnsi="Cambria"/>
          <w:color w:val="000000"/>
          <w:sz w:val="24"/>
          <w:szCs w:val="24"/>
        </w:rPr>
        <w:t xml:space="preserve"> doi:10.1038/s41598-025-32740-1</w:t>
      </w:r>
    </w:p>
    <w:p>
      <w:pPr>
        <w:spacing w:after="140" w:line="300"/>
        <w:jc w:val="both"/>
      </w:pPr>
      <w:r>
        <w:rPr>
          <w:rFonts w:ascii="Cambria" w:cs="Cambria" w:eastAsia="Cambria" w:hAnsi="Cambria"/>
          <w:color w:val="000000"/>
          <w:sz w:val="24"/>
          <w:szCs w:val="24"/>
        </w:rPr>
        <w:t xml:space="preserve">[44] A. U. Eneh, L. A. C. Ahakonye, J. M. Lee, and D. -S. Kim.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00"/>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00"/>
          <w:sz w:val="24"/>
          <w:szCs w:val="24"/>
        </w:rPr>
        <w:t xml:space="preserve">[46] D. Ghosh, A.K. Das, S. Prajapat, and B. Sikdar. Blockchain-Enabled Hybrid Quantum-Safe Attribute-Based Access Control Scheme with Attribute Revocation Strategy for Smart Healthcare System. </w:t>
      </w:r>
      <w:r>
        <w:rPr>
          <w:rFonts w:ascii="Cambria" w:cs="Cambria" w:eastAsia="Cambria" w:hAnsi="Cambria"/>
          <w:color w:val="000000"/>
          <w:sz w:val="24"/>
          <w:szCs w:val="24"/>
        </w:rPr>
        <w:t xml:space="preserve">Distributed Ledger Technologies: Research and Practice, 2026.</w:t>
      </w:r>
      <w:r>
        <w:rPr>
          <w:rFonts w:ascii="Cambria" w:cs="Cambria" w:eastAsia="Cambria" w:hAnsi="Cambria"/>
          <w:color w:val="000000"/>
          <w:sz w:val="24"/>
          <w:szCs w:val="24"/>
        </w:rPr>
        <w:t xml:space="preserve"> doi:10.1145/3827623</w:t>
      </w:r>
    </w:p>
    <w:p>
      <w:pPr>
        <w:spacing w:after="140" w:line="300"/>
        <w:jc w:val="both"/>
      </w:pPr>
      <w:r>
        <w:rPr>
          <w:rFonts w:ascii="Cambria" w:cs="Cambria" w:eastAsia="Cambria" w:hAnsi="Cambria"/>
          <w:color w:val="000000"/>
          <w:sz w:val="24"/>
          <w:szCs w:val="24"/>
        </w:rPr>
        <w:t xml:space="preserve">[47] </w:t>
      </w:r>
      <w:r>
        <w:rPr>
          <w:rFonts w:ascii="Cambria" w:cs="Cambria" w:eastAsia="Cambria" w:hAnsi="Cambria"/>
          <w:color w:val="000000"/>
          <w:sz w:val="24"/>
          <w:szCs w:val="24"/>
        </w:rPr>
        <w:t xml:space="preserve">J. Hagström, M. Hägglund, M. Holmroos, P. Lähteenmäki, and I. Hörhammer.</w:t>
      </w:r>
      <w:r>
        <w:rPr>
          <w:rFonts w:ascii="Cambria" w:cs="Cambria" w:eastAsia="Cambria" w:hAnsi="Cambria"/>
          <w:color w:val="000000"/>
          <w:sz w:val="24"/>
          <w:szCs w:val="24"/>
        </w:rPr>
        <w:t xml:space="preserve">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000000"/>
          <w:sz w:val="24"/>
          <w:szCs w:val="24"/>
        </w:rPr>
        <w:t xml:space="preserve">[48] H. Gao, X. Wu, H. Huang, Q. Li, and Y. Xing. A Blockchain-Assisted Revocable and Efficient ABSE Scheme for Secure Medical Data Sharing. ACM Transactions on the Web, 20(1):1–29, 2026. doi:10.1145/3771992</w:t>
      </w:r>
    </w:p>
    <w:p>
      <w:pPr>
        <w:spacing w:after="140" w:line="300"/>
        <w:jc w:val="both"/>
      </w:pPr>
      <w:r>
        <w:rPr>
          <w:rFonts w:ascii="Cambria" w:cs="Cambria" w:eastAsia="Cambria" w:hAnsi="Cambria"/>
          <w:color w:val="000000"/>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00"/>
          <w:sz w:val="24"/>
          <w:szCs w:val="24"/>
        </w:rPr>
        <w:t xml:space="preserve">[50] </w:t>
      </w:r>
      <w:r>
        <w:rPr>
          <w:rFonts w:ascii="Cambria" w:cs="Cambria" w:eastAsia="Cambria" w:hAnsi="Cambria"/>
          <w:color w:val="000000"/>
          <w:sz w:val="24"/>
          <w:szCs w:val="24"/>
        </w:rPr>
        <w:t xml:space="preserve">J. Zhao and Q. Su. A threshold traceable delegation authorization scheme for data sharing in healthcare. Computers &amp; Security, 139:103686, 2024.</w:t>
      </w:r>
      <w:r>
        <w:rPr>
          <w:rFonts w:ascii="Cambria" w:cs="Cambria" w:eastAsia="Cambria" w:hAnsi="Cambria"/>
          <w:color w:val="000000"/>
          <w:sz w:val="24"/>
          <w:szCs w:val="24"/>
        </w:rPr>
        <w:t xml:space="preserve"> doi:10.1016/j.cose.2023.103686</w:t>
      </w:r>
    </w:p>
    <w:p>
      <w:pPr>
        <w:spacing w:after="140" w:line="300"/>
        <w:jc w:val="both"/>
      </w:pPr>
      <w:r>
        <w:rPr>
          <w:rFonts w:ascii="Cambria" w:cs="Cambria" w:eastAsia="Cambria" w:hAnsi="Cambria"/>
          <w:color w:val="000000"/>
          <w:sz w:val="24"/>
          <w:szCs w:val="24"/>
        </w:rPr>
        <w:t xml:space="preserve">[51] H. Li, D. Li, G. Lv, N. Crespi, R. Minerva, W. Shao,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00"/>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00"/>
          <w:sz w:val="24"/>
          <w:szCs w:val="24"/>
        </w:rPr>
        <w:t xml:space="preserve">[53] M. M. Madine, K. Salah, R. Jayaraman, I. Yaqoob, Y. Al-Hammadi, S. Ellahham,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00"/>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00"/>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00"/>
          <w:sz w:val="24"/>
          <w:szCs w:val="24"/>
        </w:rPr>
        <w:t xml:space="preserve">[56] </w:t>
      </w:r>
      <w:r>
        <w:rPr>
          <w:rFonts w:ascii="Cambria" w:cs="Cambria" w:eastAsia="Cambria" w:hAnsi="Cambria"/>
          <w:color w:val="000000"/>
          <w:sz w:val="24"/>
          <w:szCs w:val="24"/>
        </w:rPr>
        <w:t xml:space="preserve">M. Zhang, F. Shao, R. Zheng, M. Liu, and Z. Ji.</w:t>
      </w:r>
      <w:r>
        <w:rPr>
          <w:rFonts w:ascii="Cambria" w:cs="Cambria" w:eastAsia="Cambria" w:hAnsi="Cambria"/>
          <w:color w:val="000000"/>
          <w:sz w:val="24"/>
          <w:szCs w:val="24"/>
        </w:rPr>
        <w:t xml:space="preserve"> An Efficient Encryption Scheme with Fully Hidden Access Policy for Medical Data. Electronics, 2023. doi:10.3390/electronics12132930</w:t>
      </w:r>
    </w:p>
    <w:p>
      <w:pPr>
        <w:spacing w:after="140" w:line="300"/>
        <w:jc w:val="both"/>
      </w:pPr>
      <w:r>
        <w:rPr>
          <w:rFonts w:ascii="Cambria" w:cs="Cambria" w:eastAsia="Cambria" w:hAnsi="Cambria"/>
          <w:color w:val="000000"/>
          <w:sz w:val="24"/>
          <w:szCs w:val="24"/>
        </w:rPr>
        <w:t xml:space="preserve">[57] D.P. Panagoulias, A.I. Damian, C. Stamate, V. Toderian, P. Butusina, A. De Franceschi,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00"/>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00"/>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00"/>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00"/>
          <w:sz w:val="24"/>
          <w:szCs w:val="24"/>
        </w:rPr>
        <w:t xml:space="preserve">[61] A. Punia, P. Gulia, N.S. Gill, D. Kaushik, N. Alduaiji, P.K. Shukla,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00"/>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00"/>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000000"/>
          <w:sz w:val="24"/>
          <w:szCs w:val="24"/>
        </w:rPr>
        <w:t xml:space="preserve">[64] Hema S., Goli Bulli Sai Reddy, and Shalini R.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00"/>
          <w:sz w:val="24"/>
          <w:szCs w:val="24"/>
        </w:rPr>
        <w:t xml:space="preserve">[65] N.M. Sawant and J. Gomes. A Decentralized Solution for Smarter and Safer Healthcare Systems with FabricMedChain. Iranian Journal of Science and Technology - Transactions of Electrical Engineering, 2026. doi:10.1007/s40998-025-00994-0</w:t>
      </w:r>
    </w:p>
    <w:p>
      <w:pPr>
        <w:spacing w:after="140" w:line="300"/>
        <w:jc w:val="both"/>
      </w:pPr>
      <w:r>
        <w:rPr>
          <w:rFonts w:ascii="Cambria" w:cs="Cambria" w:eastAsia="Cambria" w:hAnsi="Cambria"/>
          <w:color w:val="000000"/>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00"/>
          <w:sz w:val="24"/>
          <w:szCs w:val="24"/>
        </w:rPr>
        <w:t xml:space="preserve">[67] </w:t>
      </w:r>
      <w:r>
        <w:rPr>
          <w:rFonts w:ascii="Cambria" w:cs="Cambria" w:eastAsia="Cambria" w:hAnsi="Cambria"/>
          <w:color w:val="000000"/>
          <w:sz w:val="24"/>
          <w:szCs w:val="24"/>
        </w:rPr>
        <w:t xml:space="preserve">S. L. Soohoo, M. S. Keller, Y. Chen, D. Hu, S.-C. Huang, T.-T. Kuo, et al.</w:t>
      </w:r>
      <w:r>
        <w:rPr>
          <w:rFonts w:ascii="Cambria" w:cs="Cambria" w:eastAsia="Cambria" w:hAnsi="Cambria"/>
          <w:color w:val="000000"/>
          <w:sz w:val="24"/>
          <w:szCs w:val="24"/>
        </w:rPr>
        <w:t xml:space="preserve">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000000"/>
          <w:sz w:val="24"/>
          <w:szCs w:val="24"/>
        </w:rPr>
        <w:t xml:space="preserve">[68] T. A. V. Y. Ranaweera, H. N. H. Hewage, H. K. D. W. M. C. B. Hapuhinna, K. L. K. T. Preethilal, A. Senarathne, and L. Ruggahakotuwa.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00"/>
          <w:sz w:val="24"/>
          <w:szCs w:val="24"/>
        </w:rPr>
        <w:t xml:space="preserve">[69] </w:t>
      </w:r>
      <w:r>
        <w:rPr>
          <w:rFonts w:ascii="Cambria" w:cs="Cambria" w:eastAsia="Cambria" w:hAnsi="Cambria"/>
          <w:color w:val="000000"/>
          <w:sz w:val="24"/>
          <w:szCs w:val="24"/>
        </w:rPr>
        <w:t xml:space="preserve">K.-L. Tan, C.-H. Chi, and K.-Y. Lam.</w:t>
      </w:r>
      <w:r>
        <w:rPr>
          <w:rFonts w:ascii="Cambria" w:cs="Cambria" w:eastAsia="Cambria" w:hAnsi="Cambria"/>
          <w:color w:val="000000"/>
          <w:sz w:val="24"/>
          <w:szCs w:val="24"/>
        </w:rPr>
        <w:t xml:space="preserve">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00"/>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00"/>
          <w:sz w:val="24"/>
          <w:szCs w:val="24"/>
        </w:rPr>
        <w:t xml:space="preserve">[71] </w:t>
      </w:r>
      <w:r>
        <w:rPr>
          <w:rFonts w:ascii="Cambria" w:cs="Cambria" w:eastAsia="Cambria" w:hAnsi="Cambria"/>
          <w:color w:val="000000"/>
          <w:sz w:val="24"/>
          <w:szCs w:val="24"/>
        </w:rPr>
        <w:t xml:space="preserve">D. Tith, J.-S. Lee, H. Suzuki, W. M. A. B. Wijesundara, N. Taira, T. Obi, et al.</w:t>
      </w:r>
      <w:r>
        <w:rPr>
          <w:rFonts w:ascii="Cambria" w:cs="Cambria" w:eastAsia="Cambria" w:hAnsi="Cambria"/>
          <w:color w:val="000000"/>
          <w:sz w:val="24"/>
          <w:szCs w:val="24"/>
        </w:rPr>
        <w:t xml:space="preserve">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00"/>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00"/>
          <w:sz w:val="24"/>
          <w:szCs w:val="24"/>
        </w:rPr>
        <w:t xml:space="preserve">[73] </w:t>
      </w:r>
      <w:r>
        <w:rPr>
          <w:rFonts w:ascii="Cambria" w:cs="Cambria" w:eastAsia="Cambria" w:hAnsi="Cambria"/>
          <w:color w:val="000000"/>
          <w:sz w:val="24"/>
          <w:szCs w:val="24"/>
        </w:rPr>
        <w:t xml:space="preserve">C.-H. Tseng, Y.-H. Hsieh, H.-Y. Lin, and S.-M. Yuan.</w:t>
      </w:r>
      <w:r>
        <w:rPr>
          <w:rFonts w:ascii="Cambria" w:cs="Cambria" w:eastAsia="Cambria" w:hAnsi="Cambria"/>
          <w:color w:val="000000"/>
          <w:sz w:val="24"/>
          <w:szCs w:val="24"/>
        </w:rPr>
        <w:t xml:space="preserve"> EMR-Chain: Decentralized Electronic Medical Record Exchange System. Technologies, 2025. doi:10.3390/technologies13100446</w:t>
      </w:r>
    </w:p>
    <w:p>
      <w:pPr>
        <w:spacing w:after="140" w:line="300"/>
        <w:jc w:val="both"/>
      </w:pPr>
      <w:r>
        <w:rPr>
          <w:rFonts w:ascii="Cambria" w:cs="Cambria" w:eastAsia="Cambria" w:hAnsi="Cambria"/>
          <w:color w:val="000000"/>
          <w:sz w:val="24"/>
          <w:szCs w:val="24"/>
        </w:rPr>
        <w:t xml:space="preserve">[74] </w:t>
      </w:r>
      <w:r>
        <w:rPr>
          <w:rFonts w:ascii="Cambria" w:cs="Cambria" w:eastAsia="Cambria" w:hAnsi="Cambria"/>
          <w:color w:val="000000"/>
          <w:sz w:val="24"/>
          <w:szCs w:val="24"/>
        </w:rPr>
        <w:t xml:space="preserve">J. Wagner, H. Schneiderheinze, M. Wurlitzer, O. Köckritz, N. Dittberner, M. Bialke, et al.</w:t>
      </w:r>
      <w:r>
        <w:rPr>
          <w:rFonts w:ascii="Cambria" w:cs="Cambria" w:eastAsia="Cambria" w:hAnsi="Cambria"/>
          <w:color w:val="000000"/>
          <w:sz w:val="24"/>
          <w:szCs w:val="24"/>
        </w:rPr>
        <w:t xml:space="preserve"> Integration of Trusted Third Party Software into an EDC System for Data Protection - Compliant Identity Management, Consent Management and Pseudonymization in Medical Research Studies. Studies in Health Technology and Informatics, 2024. doi:10.3233/SHTI240840</w:t>
      </w:r>
    </w:p>
    <w:p>
      <w:pPr>
        <w:spacing w:after="140" w:line="300"/>
        <w:jc w:val="both"/>
      </w:pPr>
      <w:r>
        <w:rPr>
          <w:rFonts w:ascii="Cambria" w:cs="Cambria" w:eastAsia="Cambria" w:hAnsi="Cambria"/>
          <w:color w:val="000000"/>
          <w:sz w:val="24"/>
          <w:szCs w:val="24"/>
        </w:rPr>
        <w:t xml:space="preserve">[75] Y. Wu, C. Liu, L. Sebald, P. Nguyen, and Y. Yesha. Apply Trust Computing and Privacy Preserving Smart Contracts to Manage, Share, and Analyze Multi-site Clinical Trial Data. </w:t>
      </w:r>
      <w:r>
        <w:rPr>
          <w:rFonts w:ascii="Cambria" w:cs="Cambria" w:eastAsia="Cambria" w:hAnsi="Cambria"/>
          <w:color w:val="000000"/>
          <w:sz w:val="24"/>
          <w:szCs w:val="24"/>
        </w:rPr>
        <w:t xml:space="preserve">In Proceedings of the International Conference on Deep Learning, Big Data and Blockchain (DBB 2022), Lecture Notes in Networks and Systems, vol. 541, pages 3–14. Springer, 2023.</w:t>
      </w:r>
      <w:r>
        <w:rPr>
          <w:rFonts w:ascii="Cambria" w:cs="Cambria" w:eastAsia="Cambria" w:hAnsi="Cambria"/>
          <w:color w:val="000000"/>
          <w:sz w:val="24"/>
          <w:szCs w:val="24"/>
        </w:rPr>
        <w:t xml:space="preserve"> doi:10.1007/978-3-031-16035-6_1</w:t>
      </w:r>
    </w:p>
    <w:p>
      <w:pPr>
        <w:spacing w:after="140" w:line="300"/>
        <w:jc w:val="both"/>
      </w:pPr>
      <w:r>
        <w:rPr>
          <w:rFonts w:ascii="Cambria" w:cs="Cambria" w:eastAsia="Cambria" w:hAnsi="Cambria"/>
          <w:color w:val="000000"/>
          <w:sz w:val="24"/>
          <w:szCs w:val="24"/>
        </w:rPr>
        <w:t xml:space="preserve">[76] </w:t>
      </w:r>
      <w:r>
        <w:rPr>
          <w:rFonts w:ascii="Cambria" w:cs="Cambria" w:eastAsia="Cambria" w:hAnsi="Cambria"/>
          <w:color w:val="000000"/>
          <w:sz w:val="24"/>
          <w:szCs w:val="24"/>
        </w:rPr>
        <w:t xml:space="preserve">Z. Wu and D. Zhang. HealthDID: An efficient and authorizable multi-party privacy-preserving EMR sharing system based on DID. Computer Standards &amp; Interfaces, 93:103967, 2025.</w:t>
      </w:r>
      <w:r>
        <w:rPr>
          <w:rFonts w:ascii="Cambria" w:cs="Cambria" w:eastAsia="Cambria" w:hAnsi="Cambria"/>
          <w:color w:val="000000"/>
          <w:sz w:val="24"/>
          <w:szCs w:val="24"/>
        </w:rPr>
        <w:t xml:space="preserve"> doi:10.1016/j.csi.2024.103967</w:t>
      </w:r>
    </w:p>
    <w:p>
      <w:pPr>
        <w:spacing w:after="140" w:line="300"/>
        <w:jc w:val="both"/>
      </w:pPr>
      <w:r>
        <w:rPr>
          <w:rFonts w:ascii="Cambria" w:cs="Cambria" w:eastAsia="Cambria" w:hAnsi="Cambria"/>
          <w:color w:val="000000"/>
          <w:sz w:val="24"/>
          <w:szCs w:val="24"/>
        </w:rPr>
        <w:t xml:space="preserve">[77] G. Xu, C. Qi, W. Dong, L. Gong, S. Liu, S. Chen,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00"/>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00"/>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00"/>
          <w:sz w:val="24"/>
          <w:szCs w:val="24"/>
        </w:rPr>
        <w:t xml:space="preserve">[80] </w:t>
      </w:r>
      <w:r>
        <w:rPr>
          <w:rFonts w:ascii="Cambria" w:cs="Cambria" w:eastAsia="Cambria" w:hAnsi="Cambria"/>
          <w:color w:val="000000"/>
          <w:sz w:val="24"/>
          <w:szCs w:val="24"/>
        </w:rPr>
        <w:t xml:space="preserve">S. Phuyal, M. Bhandari, R. Correia Bezerra, R. Bista, and J. C. Ferreira. Dynamic Consent for Secondary Use of Health Data: Challenges and Opportunities Under European Law. JMIR Medical Informatics,</w:t>
      </w:r>
      <w:r>
        <w:rPr>
          <w:rFonts w:ascii="Cambria" w:cs="Cambria" w:eastAsia="Cambria" w:hAnsi="Cambria"/>
          <w:color w:val="000000"/>
          <w:sz w:val="24"/>
          <w:szCs w:val="24"/>
        </w:rPr>
        <w:t xml:space="preserve"> 2026. doi:10.2196/93348</w:t>
      </w:r>
    </w:p>
    <w:p>
      <w:pPr>
        <w:spacing w:after="140" w:line="300"/>
        <w:jc w:val="both"/>
      </w:pPr>
      <w:r>
        <w:rPr>
          <w:rFonts w:ascii="Cambria" w:cs="Cambria" w:eastAsia="Cambria" w:hAnsi="Cambria"/>
          <w:color w:val="000000"/>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f653d234c264cb2d0ab9db9e87f0f9f11e93ed8.png"/><Relationship Id="rId9" Type="http://schemas.openxmlformats.org/officeDocument/2006/relationships/image" Target="media/ccd72e2e58b0dc6514d20c963b8b7becc3c295e6.png"/><Relationship Id="rId10" Type="http://schemas.openxmlformats.org/officeDocument/2006/relationships/image" Target="media/6ced11ccfd209f2b169059f007bfc6c558821a7a.png"/><Relationship Id="rId11" Type="http://schemas.openxmlformats.org/officeDocument/2006/relationships/image" Target="media/f4b6ea28e0e666686476222a6b1b89d73384aab9.png"/><Relationship Id="rId12" Type="http://schemas.openxmlformats.org/officeDocument/2006/relationships/image" Target="media/ee2ce06eb84fb3d2a932120266e3fed69179cb8c.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2026-09-29T09:50:55.186Z</dcterms:created>
  <dcterms:modified xsi:type="dcterms:W3CDTF">2026-09-29T09:50:55.187Z</dcterms:modified>
</cp:coreProperties>
</file>

<file path=docProps/custom.xml><?xml version="1.0" encoding="utf-8"?>
<Properties xmlns="http://schemas.openxmlformats.org/officeDocument/2006/custom-properties" xmlns:vt="http://schemas.openxmlformats.org/officeDocument/2006/docPropsVTypes"/>
</file>