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Authorization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5</w:t>
      </w:r>
    </w:p>
    <w:p>
      <w:pPr>
        <w:tabs>
          <w:tab w:val="right" w:pos="9128" w:leader="dot"/>
        </w:tabs>
        <w:spacing w:after="100"/>
      </w:pPr>
      <w:r>
        <w:rPr>
          <w:rFonts w:ascii="Times New Roman" w:cs="Times New Roman" w:eastAsia="Times New Roman" w:hAnsi="Times New Roman"/>
          <w:sz w:val="22"/>
          <w:szCs w:val="22"/>
        </w:rPr>
        <w:t xml:space="preserve">3. Research Gaps &amp; Questions	10</w:t>
      </w:r>
    </w:p>
    <w:p>
      <w:pPr>
        <w:tabs>
          <w:tab w:val="right" w:pos="9128" w:leader="dot"/>
        </w:tabs>
        <w:spacing w:after="100"/>
      </w:pPr>
      <w:r>
        <w:rPr>
          <w:rFonts w:ascii="Times New Roman" w:cs="Times New Roman" w:eastAsia="Times New Roman" w:hAnsi="Times New Roman"/>
          <w:sz w:val="22"/>
          <w:szCs w:val="22"/>
        </w:rPr>
        <w:t xml:space="preserve">4. Research Objectives	12</w:t>
      </w:r>
    </w:p>
    <w:p>
      <w:pPr>
        <w:tabs>
          <w:tab w:val="right" w:pos="9128" w:leader="dot"/>
        </w:tabs>
        <w:spacing w:after="100"/>
      </w:pPr>
      <w:r>
        <w:rPr>
          <w:rFonts w:ascii="Times New Roman" w:cs="Times New Roman" w:eastAsia="Times New Roman" w:hAnsi="Times New Roman"/>
          <w:sz w:val="22"/>
          <w:szCs w:val="22"/>
        </w:rPr>
        <w:t xml:space="preserve">5. Research Architecture: MVC	14</w:t>
      </w:r>
    </w:p>
    <w:p>
      <w:pPr>
        <w:tabs>
          <w:tab w:val="right" w:pos="9128" w:leader="dot"/>
        </w:tabs>
        <w:spacing w:after="100"/>
      </w:pPr>
      <w:r>
        <w:rPr>
          <w:rFonts w:ascii="Times New Roman" w:cs="Times New Roman" w:eastAsia="Times New Roman" w:hAnsi="Times New Roman"/>
          <w:sz w:val="22"/>
          <w:szCs w:val="22"/>
        </w:rPr>
        <w:t xml:space="preserve">6. The Proposed Solution for RQ1	19</w:t>
      </w:r>
    </w:p>
    <w:p>
      <w:pPr>
        <w:tabs>
          <w:tab w:val="right" w:pos="9128" w:leader="dot"/>
        </w:tabs>
        <w:spacing w:after="100"/>
      </w:pPr>
      <w:r>
        <w:rPr>
          <w:rFonts w:ascii="Times New Roman" w:cs="Times New Roman" w:eastAsia="Times New Roman" w:hAnsi="Times New Roman"/>
          <w:sz w:val="22"/>
          <w:szCs w:val="22"/>
        </w:rPr>
        <w:t xml:space="preserve">7. The Proposed Solution for RQ2	23</w:t>
      </w:r>
    </w:p>
    <w:p>
      <w:pPr>
        <w:tabs>
          <w:tab w:val="right" w:pos="9128" w:leader="dot"/>
        </w:tabs>
        <w:spacing w:after="100"/>
      </w:pPr>
      <w:r>
        <w:rPr>
          <w:rFonts w:ascii="Times New Roman" w:cs="Times New Roman" w:eastAsia="Times New Roman" w:hAnsi="Times New Roman"/>
          <w:sz w:val="22"/>
          <w:szCs w:val="22"/>
        </w:rPr>
        <w:t xml:space="preserve">8. The Proposed Solution for RQ3	26</w:t>
      </w:r>
    </w:p>
    <w:p>
      <w:pPr>
        <w:tabs>
          <w:tab w:val="right" w:pos="9128" w:leader="dot"/>
        </w:tabs>
        <w:spacing w:after="100"/>
      </w:pPr>
      <w:r>
        <w:rPr>
          <w:rFonts w:ascii="Times New Roman" w:cs="Times New Roman" w:eastAsia="Times New Roman" w:hAnsi="Times New Roman"/>
          <w:sz w:val="22"/>
          <w:szCs w:val="22"/>
        </w:rPr>
        <w:t xml:space="preserve">9. The Proposed Solution for RQ4	30</w:t>
      </w:r>
    </w:p>
    <w:p>
      <w:pPr>
        <w:tabs>
          <w:tab w:val="right" w:pos="9128" w:leader="dot"/>
        </w:tabs>
        <w:spacing w:after="100"/>
      </w:pPr>
      <w:r>
        <w:rPr>
          <w:rFonts w:ascii="Times New Roman" w:cs="Times New Roman" w:eastAsia="Times New Roman" w:hAnsi="Times New Roman"/>
          <w:sz w:val="22"/>
          <w:szCs w:val="22"/>
        </w:rPr>
        <w:t xml:space="preserve">10. The Proposed Solution for RQ5	34</w:t>
      </w:r>
    </w:p>
    <w:p>
      <w:pPr>
        <w:tabs>
          <w:tab w:val="right" w:pos="9128" w:leader="dot"/>
        </w:tabs>
        <w:spacing w:after="100"/>
      </w:pPr>
      <w:r>
        <w:rPr>
          <w:rFonts w:ascii="Times New Roman" w:cs="Times New Roman" w:eastAsia="Times New Roman" w:hAnsi="Times New Roman"/>
          <w:sz w:val="22"/>
          <w:szCs w:val="22"/>
        </w:rPr>
        <w:t xml:space="preserve">11. The Proposed Solution for RQ6	37</w:t>
      </w:r>
    </w:p>
    <w:p>
      <w:pPr>
        <w:tabs>
          <w:tab w:val="right" w:pos="9128" w:leader="dot"/>
        </w:tabs>
        <w:spacing w:after="100"/>
      </w:pPr>
      <w:r>
        <w:rPr>
          <w:rFonts w:ascii="Times New Roman" w:cs="Times New Roman" w:eastAsia="Times New Roman" w:hAnsi="Times New Roman"/>
          <w:sz w:val="22"/>
          <w:szCs w:val="22"/>
        </w:rPr>
        <w:t xml:space="preserve">12. Publications Summary	49</w:t>
      </w:r>
    </w:p>
    <w:p>
      <w:pPr>
        <w:tabs>
          <w:tab w:val="right" w:pos="9128" w:leader="dot"/>
        </w:tabs>
        <w:spacing w:after="100"/>
      </w:pPr>
      <w:r>
        <w:rPr>
          <w:rFonts w:ascii="Times New Roman" w:cs="Times New Roman" w:eastAsia="Times New Roman" w:hAnsi="Times New Roman"/>
          <w:sz w:val="22"/>
          <w:szCs w:val="22"/>
        </w:rPr>
        <w:t xml:space="preserve">13. Research Plan	50</w:t>
      </w:r>
    </w:p>
    <w:p>
      <w:pPr>
        <w:tabs>
          <w:tab w:val="right" w:pos="9128" w:leader="dot"/>
        </w:tabs>
        <w:spacing w:after="100"/>
      </w:pPr>
      <w:r>
        <w:rPr>
          <w:rFonts w:ascii="Times New Roman" w:cs="Times New Roman" w:eastAsia="Times New Roman" w:hAnsi="Times New Roman"/>
          <w:sz w:val="22"/>
          <w:szCs w:val="22"/>
        </w:rPr>
        <w:t xml:space="preserve">References	52</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Research Context</w:t>
      </w:r>
    </w:p>
    <w:p>
      <w:pPr>
        <w:spacing w:after="110" w:line="264"/>
        <w:jc w:val="both"/>
      </w:pPr>
      <w:r>
        <w:rPr>
          <w:rFonts w:ascii="Times New Roman" w:cs="Times New Roman" w:eastAsia="Times New Roman" w:hAnsi="Times New Roman"/>
          <w:sz w:val="22"/>
          <w:szCs w:val="22"/>
        </w:rPr>
        <w:t xml:space="preserve">The digitalisation of society has increased the demand for secure and trustworthy data sharing among independent stakeholders, including individuals, healthcare providers, regulators, researchers, and third-party processors [1–3]. Healthcare is a particularly challenging case, because patients, professionals, guardians, researchers, and organisations all participate in data sharing [4, 5], while the data is highly sensitive and strictly governed. Its exchange therefore raises complex questions concerning identity, authority, patient consent, privacy protection, accountability, and fine-grained access control [6–9].</w:t>
      </w:r>
    </w:p>
    <w:p>
      <w:pPr>
        <w:spacing w:after="110" w:line="264"/>
        <w:jc w:val="both"/>
      </w:pPr>
      <w:r>
        <w:rPr>
          <w:rFonts w:ascii="Times New Roman" w:cs="Times New Roman" w:eastAsia="Times New Roman" w:hAnsi="Times New Roman"/>
          <w:sz w:val="22"/>
          <w:szCs w:val="22"/>
        </w:rPr>
        <w:t xml:space="preserve">Traditional access-control architectures rely on centralised identity providers, institution-specific authentication, and relatively static permissions [9, 10]. These approaches are effective within one organisational boundary, but not when a decision requires patients, guardians, healthcare professionals, and institutional authorities, none of whom may hold sufficient authority alone [4, 11]. Therefore, authorisation is increasingly a distributed governance problem rather than simply a process of authenticating a user and checking a static permission.</w:t>
      </w:r>
    </w:p>
    <w:p>
      <w:pPr>
        <w:spacing w:after="110" w:line="264"/>
        <w:jc w:val="both"/>
      </w:pPr>
      <w:r>
        <w:rPr>
          <w:rFonts w:ascii="Times New Roman" w:cs="Times New Roman" w:eastAsia="Times New Roman" w:hAnsi="Times New Roman"/>
          <w:sz w:val="22"/>
          <w:szCs w:val="22"/>
        </w:rPr>
        <w:t xml:space="preserve">Blockchain provides tamper-resistant recording and distributed auditability [3, 12], and decentralised identifiers reduce reliance on a central identity provider. Verifiable credentials provide cryptographic evidence of roles and authority [13, 14], and policy-based mechanisms restrict access to authorised resources [9, 10, 15]. However, an immutable consent record does not demonstrate that the participants were legitimate, that they held the required authority, or that a later request remains within the authorised conditions. Consequently, consent must be treated as an active and evaluable component of authorisation rather than a static record of permission, extending the dynamic consent perspective [6, 16].</w:t>
      </w:r>
    </w:p>
    <w:p>
      <w:pPr>
        <w:pStyle w:val="Heading2"/>
        <w:keepNext/>
        <w:spacing w:after="120" w:before="240"/>
      </w:pPr>
      <w:r>
        <w:rPr>
          <w:rFonts w:ascii="Times New Roman" w:cs="Times New Roman" w:eastAsia="Times New Roman" w:hAnsi="Times New Roman"/>
          <w:b/>
          <w:bCs/>
          <w:sz w:val="26"/>
          <w:szCs w:val="26"/>
        </w:rPr>
        <w:t xml:space="preserve">1.2  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 These mechanisms improve integrity and auditability, but consent usually remains a passive artefact, separated from identity, authority, policy, and the resulting access decision. Similarly, successful authentication establishes that an entity has been identified, but not that it has the authority to access a particular patient's information. When guardians, professionals, or institutional authorities must also approve, no single participant should decide alone, and a request may still exceed the authorised purpose or data scope.</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 mechanism that conjoins identity, authority, multi-party approval, policy, temporal, and lifecycle conditions in every access decision. That conjunction must also be assured both formally and empirically. Section 2 shows that each of these mechanisms already exists. They include decentralised identity and verifiable credentials [17, 18], blockchain-based consent records [19, 20], multi-party approval [19, 21–23], policy-based access control [24–27], and several partial combinations [17, 21, 28]. However, they are usually investigated separately. The overarching research question is how a trust-oriented computing framework can establish and enforce trustworthy multi-party consent for decentralised healthcare data sharing under identity, authority, and policy constraints. It is decomposed into six sub-research questions in Section 3 and mapped to the research objectives RO1 to RO6 in Section 4.</w:t>
      </w:r>
    </w:p>
    <w:p>
      <w:pPr>
        <w:pStyle w:val="Heading2"/>
        <w:keepNext/>
        <w:spacing w:after="120" w:before="240"/>
      </w:pPr>
      <w:r>
        <w:rPr>
          <w:rFonts w:ascii="Times New Roman" w:cs="Times New Roman" w:eastAsia="Times New Roman" w:hAnsi="Times New Roman"/>
          <w:b/>
          <w:bCs/>
          <w:sz w:val="26"/>
          <w:szCs w:val="26"/>
        </w:rPr>
        <w:t xml:space="preserve">1.3  Research Motivation</w:t>
      </w:r>
    </w:p>
    <w:p>
      <w:pPr>
        <w:spacing w:after="110" w:line="264"/>
        <w:jc w:val="both"/>
      </w:pPr>
      <w:r>
        <w:rPr>
          <w:rFonts w:ascii="Times New Roman" w:cs="Times New Roman" w:eastAsia="Times New Roman" w:hAnsi="Times New Roman"/>
          <w:sz w:val="22"/>
          <w:szCs w:val="22"/>
        </w:rPr>
        <w:t xml:space="preserve">This research adopts a Trust Computing perspective, in which trustworthy data access emerges from the coordinated verification of multiple conditions rather than from any single technology. Trust Computing denotes the evaluation of trust as a computable outcome of explicitly verified conditions on identity, authority, collective approval, policy, and lifecycle. It should be distinguished from trusted computing in the hardware sense, such as trusted execution environments and attestation, which lies outside the scope of this research.</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 while authority concerns whether that participant holds the relevant role or permission. Multi-party authorisation concerns whether the required threshold of independently verified participants has approved, and policy compliance concerns whether the request remains within the authorised purpose and data scope. Accordingly, the framework treats patient consent as a structured authorisation object, C = (I, A, P, T, L, E), which connects the participants, authority requirements, policy constraints, temporal and jurisdictional conditions, and supporting evidence.</w:t>
      </w:r>
    </w:p>
    <w:p>
      <w:pPr>
        <w:spacing w:after="110" w:line="264"/>
        <w:jc w:val="both"/>
      </w:pPr>
      <w:r>
        <w:rPr>
          <w:rFonts w:ascii="Times New Roman" w:cs="Times New Roman" w:eastAsia="Times New Roman" w:hAnsi="Times New Roman"/>
          <w:sz w:val="22"/>
          <w:szCs w:val="22"/>
        </w:rPr>
        <w:t xml:space="preserve">RO1 to RO4 form the foundational scope, namely the trust-centric consent model, decentralised identity and authority trust, trustworthy multi-party authorisation, and policy- and context-aware access control, and are completed with validation and evaluation at the current stage. RO5 adds temporal validity and lifecycle trust, because an approved consent may later become invalid through expiration, revocation, or a lifecycle change. RO6 concerns formal security assurance and empirical validation. RO5 and RO6 are in progress, and part of each has already been delivered. In particular, the temporal and revocation controls of RO5 and the scenario-based empirical validation of RO6 have been realised in the HALAH prototype, the Patient Consent Management Platform for History Access by Authorised Healthcare Providers. Formal security analysis has not yet been undertaken and remains the subject of the next research stage.</w:t>
      </w:r>
    </w:p>
    <w:p>
      <w:pPr>
        <w:spacing w:after="110" w:line="264"/>
        <w:jc w:val="both"/>
      </w:pPr>
      <w:r>
        <w:rPr>
          <w:rFonts w:ascii="Times New Roman" w:cs="Times New Roman" w:eastAsia="Times New Roman" w:hAnsi="Times New Roman"/>
          <w:sz w:val="22"/>
          <w:szCs w:val="22"/>
        </w:rPr>
        <w:t xml:space="preserve">The scope of the current stage is bounded. HALAH runs on the Ethereum Sepolia testnet with synthetic healthcare records, and the guardian approval rule is currently implemented as N-of-N over the guardian set G. Security properties are demonstrated through scenario-based, negative, and adversarial testing rather than formal proof. The current stage denotes the work delivered at the CA2 milestone, and CA3 denotes the subsequent stage in which the remaining objectives are completed.</w:t>
      </w:r>
    </w:p>
    <w:p>
      <w:pPr>
        <w:spacing w:after="110" w:line="264"/>
        <w:jc w:val="both"/>
      </w:pPr>
      <w:r>
        <w:rPr>
          <w:rFonts w:ascii="Times New Roman" w:cs="Times New Roman" w:eastAsia="Times New Roman" w:hAnsi="Times New Roman"/>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review examines how existing approaches to decentralised healthcare data sharing address the conditions of a trustworthy authorisation decision, and where gaps remain. Healthcare [4, 6–8, 29], multi-party trust [3, 15, 30–32], decentralised identity [13, 14, 33–36], and access-control research [9, 10, 37, 38] have each contributed mechanisms, but these are commonly developed and evaluated as separate components.</w:t>
      </w:r>
    </w:p>
    <w:p>
      <w:pPr>
        <w:pStyle w:val="Heading2"/>
        <w:keepNext/>
        <w:spacing w:after="120" w:before="240"/>
      </w:pPr>
      <w:r>
        <w:rPr>
          <w:rFonts w:ascii="Times New Roman" w:cs="Times New Roman" w:eastAsia="Times New Roman" w:hAnsi="Times New Roman"/>
          <w:b/>
          <w:bCs/>
          <w:sz w:val="26"/>
          <w:szCs w:val="26"/>
        </w:rPr>
        <w:t xml:space="preserve">2.1  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A healthcare consent decision passes through specification and approval, enforcement at each data-access request, and maintenance or withdrawal over time. The six requirements below cover these phases, and each corresponds to one sub-research question of Section 3.</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Consent should be a structured object whose identities, authority requirements, purpose and data scope, temporal validity, jurisdiction, and evidence can each be evaluated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Participants should be identifiable without a central identity provider, with identity and authority verified as separate conditions, each with its own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A predefined number of designated parties should each provide an independently verifiable approval, recorded in the consent object and checkable later.</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Every request should be evaluated against the authorised purpose, data scope, and contextual constraints such as jurisdiction, because many unauthorised disclosures are caused by legitimate requesters who exceed their scope [38].</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The validity interval should be enforced at every request, revocation should be immediate and verifiable, and only controlled lifecycle transitions should be permitted.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Every decision should leave independently verifiable evidence, and security properties should be validated formally or through systematic adversarial testing, including refusal of unsuccessful cases.</w:t>
      </w:r>
    </w:p>
    <w:p>
      <w:pPr>
        <w:pStyle w:val="Heading2"/>
        <w:keepNext/>
        <w:spacing w:after="120" w:before="240"/>
      </w:pPr>
      <w:r>
        <w:rPr>
          <w:rFonts w:ascii="Times New Roman" w:cs="Times New Roman" w:eastAsia="Times New Roman" w:hAnsi="Times New Roman"/>
          <w:b/>
          <w:bCs/>
          <w:sz w:val="26"/>
          <w:szCs w:val="26"/>
        </w:rPr>
        <w:t xml:space="preserve">2.2  Review Methodology</w:t>
      </w:r>
    </w:p>
    <w:p>
      <w:pPr>
        <w:spacing w:after="110" w:line="264"/>
        <w:jc w:val="both"/>
      </w:pPr>
      <w:r>
        <w:rPr>
          <w:rFonts w:ascii="Times New Roman" w:cs="Times New Roman" w:eastAsia="Times New Roman" w:hAnsi="Times New Roman"/>
          <w:sz w:val="22"/>
          <w:szCs w:val="22"/>
        </w:rPr>
        <w:t xml:space="preserve">The review followed the PRISMA 2020 statement [39] and a written protocol (Protocol v1.1), which fixed the review questions, databases, master query, eligibility criteria, codebook, and quality items before screening. Six review roles covered five perspectives and a chair who issued the final decision on each record. The counts reported here are those of the decision-log checkpoint of 10 September 2026 (decision D-166). Questions 1 to 5 of the seven review questions correspond to Req 1 to Req 5, while Questions 6 and 7 together correspond to Req 6.</w:t>
      </w:r>
    </w:p>
    <w:p>
      <w:pPr>
        <w:spacing w:after="110" w:line="264"/>
        <w:jc w:val="both"/>
      </w:pPr>
      <w:r>
        <w:rPr>
          <w:rFonts w:ascii="Times New Roman" w:cs="Times New Roman" w:eastAsia="Times New Roman" w:hAnsi="Times New Roman"/>
          <w:sz w:val="22"/>
          <w:szCs w:val="22"/>
        </w:rPr>
        <w:t xml:space="preserve">The search covered IEEE Xplore, SpringerLink, ProQuest Science and Technology, ScienceDirect, Scopus, Web of Science, and the ACM Digital Library, with Google Scholar as a discovery arm reported separately. One master query of three concept blocks joined by AND, covering healthcare data, consent and authorisation, and trust and multi-party concepts, was adapted only to each platform's field syntax.</w:t>
      </w:r>
    </w:p>
    <w:p>
      <w:pPr>
        <w:spacing w:after="110" w:line="264"/>
        <w:jc w:val="both"/>
      </w:pPr>
      <w:r>
        <w:rPr>
          <w:rFonts w:ascii="Times New Roman" w:cs="Times New Roman" w:eastAsia="Times New Roman" w:hAnsi="Times New Roman"/>
          <w:sz w:val="22"/>
          <w:szCs w:val="22"/>
        </w:rPr>
        <w:t xml:space="preserve">The searches were executed on 24 and 25 August 2026, and the ACM Digital Library was searched on 5 September 2026 as a late arm, which is declared as a limitation. A sentinel test of twelve papers defined in advance was used to check the recall of the master query. All four healthcare-scoped sentinels [19, 20, 40, 41] were retrieved. Seven of the eight misses were attributed to scope, missing trust terms, or the date range, and the cause of the eighth was recorded as an open item.</w:t>
      </w:r>
    </w:p>
    <w:p>
      <w:pPr>
        <w:spacing w:after="110" w:line="264"/>
        <w:jc w:val="both"/>
      </w:pPr>
      <w:r>
        <w:rPr>
          <w:rFonts w:ascii="Times New Roman" w:cs="Times New Roman" w:eastAsia="Times New Roman" w:hAnsi="Times New Roman"/>
          <w:sz w:val="22"/>
          <w:szCs w:val="22"/>
        </w:rPr>
        <w:t xml:space="preserve">Inclusion required healthcare data (IC1), consent, authorisation, access control, trust, or governance relevant to data access (IC2), and a mechanism, model, system, or evaluation relevant to a review question (IC3). Studies also had to be peer-reviewed English papers with full text, published from January 2020 to the 2026 search date (IC4 to IC7). Nine exclusion criteria (EC1 to EC9) removed, among others, non-healthcare studies, secondary reviews, and superficial mentions of consent. No study was excluded for failing to support the proposed research gap.</w:t>
      </w:r>
    </w:p>
    <w:p>
      <w:pPr>
        <w:spacing w:after="110" w:line="264"/>
        <w:jc w:val="both"/>
      </w:pPr>
      <w:r>
        <w:rPr>
          <w:rFonts w:ascii="Times New Roman" w:cs="Times New Roman" w:eastAsia="Times New Roman" w:hAnsi="Times New Roman"/>
          <w:sz w:val="22"/>
          <w:szCs w:val="22"/>
        </w:rPr>
        <w:t xml:space="preserve">The seven database searches returned 9,256 records, or 6,039 unique records after deduplication. After title and abstract screening, 1,800 records advanced to full text and were read in a prioritised order under a dimension-level saturation rule. Saturation is declared when eight consecutively coded studies with a positive signal for a dimension yield no new mechanism class. At the checkpoint, 44 reports had been coded in full and had passed the quality gate, whereas 1,735 of the 1,800 records had not been assessed, so that corpus completeness is bounded by the saturation rule rather than by exhaustive reading.</w:t>
      </w:r>
    </w:p>
    <w:p>
      <w:pPr>
        <w:spacing w:after="110" w:line="264"/>
        <w:jc w:val="both"/>
      </w:pPr>
      <w:r>
        <w:rPr>
          <w:rFonts w:ascii="Times New Roman" w:cs="Times New Roman" w:eastAsia="Times New Roman" w:hAnsi="Times New Roman"/>
          <w:sz w:val="22"/>
          <w:szCs w:val="22"/>
        </w:rPr>
        <w:t xml:space="preserve">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Under decision D-166, a study is core if its gap-impact verdict is contradicts, weakens, or narrows, or if its T3 coding is Yes or Partial, which gives 23 core studies of the 44. With the two supporting studies of highest quality score 7.0 [41, 42], they form the 25 primary studies, S1 to S25. Figure 1 presents the PRISMA 2020 flow diagram, whose chain of counts is internally consistent.</w:t>
      </w:r>
    </w:p>
    <w:p>
      <w:pPr>
        <w:keepNext/>
        <w:spacing w:after="60" w:before="160"/>
        <w:jc w:val="center"/>
      </w:pPr>
      <w:r>
        <w:drawing>
          <wp:inline distT="0" distB="0" distL="0" distR="0">
            <wp:extent cx="460057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005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p>
    <w:p>
      <w:pPr>
        <w:pStyle w:val="Heading2"/>
        <w:keepNext/>
        <w:spacing w:after="120" w:before="240"/>
      </w:pPr>
      <w:r>
        <w:rPr>
          <w:rFonts w:ascii="Times New Roman" w:cs="Times New Roman" w:eastAsia="Times New Roman" w:hAnsi="Times New Roman"/>
          <w:b/>
          <w:bCs/>
          <w:sz w:val="26"/>
          <w:szCs w:val="26"/>
        </w:rPr>
        <w:t xml:space="preserve">2.3  Review of the Six Streams</w:t>
      </w:r>
    </w:p>
    <w:p>
      <w:pPr>
        <w:spacing w:after="110" w:line="264"/>
        <w:jc w:val="both"/>
      </w:pPr>
      <w:r>
        <w:rPr>
          <w:rFonts w:ascii="Times New Roman" w:cs="Times New Roman" w:eastAsia="Times New Roman" w:hAnsi="Times New Roman"/>
          <w:sz w:val="22"/>
          <w:szCs w:val="22"/>
        </w:rPr>
        <w:t xml:space="preserve">Each included study was assigned to the stream on which it is coded most strongly. </w:t>
      </w:r>
      <w:r>
        <w:rPr>
          <w:rFonts w:ascii="Times New Roman" w:cs="Times New Roman" w:eastAsia="Times New Roman" w:hAnsi="Times New Roman"/>
          <w:b/>
          <w:bCs/>
          <w:sz w:val="22"/>
          <w:szCs w:val="22"/>
        </w:rPr>
        <w:t xml:space="preserve">Consent representation and blockchain-based consent governance (Req 1).</w:t>
      </w:r>
      <w:r>
        <w:rPr>
          <w:rFonts w:ascii="Times New Roman" w:cs="Times New Roman" w:eastAsia="Times New Roman" w:hAnsi="Times New Roman"/>
          <w:sz w:val="22"/>
          <w:szCs w:val="22"/>
        </w:rPr>
        <w:t xml:space="preserve"> Both studies of this stream are deployed platforms graded Partial. Soohoo et al. [43] describe the iAgree portal across three United States health systems with a permissioned Ethereum audit contract, but consent enforcement is outside its scope. Tremper et al. [44] report ten years of the Mainzelliste service with FHIR consent directives, but specify no check semantics and no demonstrated enforcement of withdrawal. Neither study involves more than one authorising party, and the supporting references treat consent as a boolean grant [45, 46] or as conditions fixed at encryption time [47, 48].</w:t>
      </w:r>
    </w:p>
    <w:p>
      <w:pPr>
        <w:spacing w:after="110" w:line="264"/>
        <w:jc w:val="both"/>
      </w:pPr>
      <w:r>
        <w:rPr>
          <w:rFonts w:ascii="Times New Roman" w:cs="Times New Roman" w:eastAsia="Times New Roman" w:hAnsi="Times New Roman"/>
          <w:b/>
          <w:bCs/>
          <w:sz w:val="22"/>
          <w:szCs w:val="22"/>
        </w:rPr>
        <w:t xml:space="preserve">Decentralised identity and authority trust (Req 2).</w:t>
      </w:r>
      <w:r>
        <w:rPr>
          <w:rFonts w:ascii="Times New Roman" w:cs="Times New Roman" w:eastAsia="Times New Roman" w:hAnsi="Times New Roman"/>
          <w:sz w:val="22"/>
          <w:szCs w:val="22"/>
        </w:rPr>
        <w:t xml:space="preserve"> T2 was graded Yes in only 10 of the 25 studies and Partial in 15. Phuyal et al. [17]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the strongest Req 2 evidence in the corpus. However, a single patient grants consent, the stored expiry is not checked, there is no threat model, and the companion architecture [49] is design-only. Tseng et al. [50] verify authority-issued roles separately from X.509 identities, although without W3C identifiers and with purpose logged but never evaluated.</w:t>
      </w:r>
    </w:p>
    <w:p>
      <w:pPr>
        <w:spacing w:after="110" w:line="264"/>
        <w:jc w:val="both"/>
      </w:pPr>
      <w:r>
        <w:rPr>
          <w:rFonts w:ascii="Times New Roman" w:cs="Times New Roman" w:eastAsia="Times New Roman" w:hAnsi="Times New Roman"/>
          <w:b/>
          <w:bCs/>
          <w:sz w:val="22"/>
          <w:szCs w:val="22"/>
        </w:rPr>
        <w:t xml:space="preserve">Multi-party authorisation and collaborative consent (Req 3).</w:t>
      </w:r>
      <w:r>
        <w:rPr>
          <w:rFonts w:ascii="Times New Roman" w:cs="Times New Roman" w:eastAsia="Times New Roman" w:hAnsi="Times New Roman"/>
          <w:sz w:val="22"/>
          <w:szCs w:val="22"/>
        </w:rPr>
        <w:t xml:space="preserve"> T3 was graded Yes in 6 of the 25 studies, Partial in 4, and No in 15, across six ratified mechanism classes. Madine et al. [19] require a regulator and a guardian threshold on the incapacitated path, but a single patient key suffices on the normal path. Wu et al. [51] apply a (t, n) investigator threshold to record admission and revocation, and Abbasi et al. [52] use a Shamir (5, 3) threshold for key custody. Punia et al. [21] conjoin an M-of-N multi-signature with an attribute and role policy, but a single emergency officer can bypass the threshold. Tan et al. [22] use patient-appointed verifiers as a contingency, and [23, 53] report guardian co-consent at registration time. No reviewed study evaluates a threshold predicate over a patient-designated guardian set on every request. None does so together with the policy, temporal, and jurisdictional conditions.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Tith et al. [20] match a purpose tree in chaincode, and Jaiman and Urovi [40] match ontology terms against the patient's consent. Albalwy et al. [41] evaluate a hashed policy tree of data type, role, and purpose, and Román-Martínez et al. [26] evaluate the FHIR purpose-of-use through XACML. T4 is coded Yes in 11 studies, Partial in 10, and No in 4. However, purpose-of-use enters the decision in only six studies [20, 24–26, 40, 41],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Eneh et al. [24] present EdgeConsent, the first study to enforce temporal validity inside the decision predicate, although its lifecycle is only an active flag. Hema et al. [54] bind the expiry into key derivation, and Panagoulias et al. [25] enforce revocation at decision time across 43,500 simulated attempts in a single-node ledger. Li et al. [42] enforce time on a credential rather than on the consent. T5 is coded Yes in 8 studies and T6 in 7, a post-revocation denial is demonstrated only by [17], [25], and [24], and the three stream-5 systems that enforce time inside the decision are all single-party.</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Wu and Zhang [18] present HealthDID, with three game-based definitions and three theorems proved by reduction, the first complete formal assurance in the corpus, although only for the identity and authority fragment. Zhao and Su [55] and Maruthi and Singh [56] prove threshold gates in isolation, and Mei et al. [57] prove a static encryption predicate. Formal assurance is coded Yes in only 4 of the 25 studies, and empirical validation Yes in 5, Partial in 19, and No in 1. The panel records an inverse relation between predicate breadth and assurance strength, and no study executes an adversarial campaign against the authorisation decision itself.</w:t>
      </w:r>
    </w:p>
    <w:p>
      <w:pPr>
        <w:pStyle w:val="Heading2"/>
        <w:keepNext/>
        <w:spacing w:after="120" w:before="240"/>
      </w:pPr>
      <w:r>
        <w:rPr>
          <w:rFonts w:ascii="Times New Roman" w:cs="Times New Roman" w:eastAsia="Times New Roman" w:hAnsi="Times New Roman"/>
          <w:b/>
          <w:bCs/>
          <w:sz w:val="26"/>
          <w:szCs w:val="26"/>
        </w:rPr>
        <w:t xml:space="preserve">2.4  Comparative Analysis of Existing Approaches</w:t>
      </w:r>
    </w:p>
    <w:p>
      <w:pPr>
        <w:spacing w:after="110" w:line="264"/>
        <w:jc w:val="both"/>
      </w:pPr>
      <w:r>
        <w:rPr>
          <w:rFonts w:ascii="Times New Roman" w:cs="Times New Roman" w:eastAsia="Times New Roman" w:hAnsi="Times New Roman"/>
          <w:sz w:val="22"/>
          <w:szCs w:val="22"/>
        </w:rPr>
        <w:t xml:space="preserve">Each study's strength on one requirement coincides with an absence on another. The systems that enforce purpose and time are authored by a single patient and lack a formal argument. The multi-party systems carry no purpose or data-scope condition, whereas the proved schemes omit policy, temporal validity, and lifecycle. Table 1 summarises the 25 studies against the six requirements, where ✓ denotes satisfied, ~ partially satisfied, and × not satisfied.</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sz w:val="18"/>
          <w:szCs w:val="18"/>
        </w:rPr>
        <w:t xml:space="preserve">Comparison of the included studies and the proposed framework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 [52]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 [41]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S3 [58]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S4 [23]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S5 [24]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S6 [53]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S7 [40]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S8 [55]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S9 [42]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S10 [19]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S11 [56]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S12 [57]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S13 [25]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S14 [17]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S15 [49]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S16 [21]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S17 [26]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S18 [54]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S19 [43] Soohoo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S20 [22]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S21 [20]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S22 [44]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S23 [50]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S24 [51] Wu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S25 [18]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Proposed framework (HALAH)</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[19] and [25], and five studies fully satisfy none. Third, Req 1 with Req 4 is the most frequent pair, in seven studies, whereas Req 2 and Req 4 never co-occur in full. Req 3 co-occurs with Req 4 only in [21], whose threshold lies outside the policy predicate and whose policy carries no purpose term. Similarly, Req 3 co-occurs with Req 6 only in [55, 56]. Fourth, the two quadruples are complementary, since [19] lacks policy and assurance, whereas [25] lacks multi-party approval and identity depth.</w:t>
      </w:r>
    </w:p>
    <w:p>
      <w:pPr>
        <w:spacing w:after="110" w:line="264"/>
        <w:jc w:val="both"/>
      </w:pPr>
      <w:r>
        <w:rPr>
          <w:rFonts w:ascii="Times New Roman" w:cs="Times New Roman" w:eastAsia="Times New Roman" w:hAnsi="Times New Roman"/>
          <w:sz w:val="22"/>
          <w:szCs w:val="22"/>
        </w:rPr>
        <w:t xml:space="preserve">The contribution of the framework is not the replacement of existing technologies but an explicit and verifiable relationship among them, in which the consent object C carries the identity, authority, threshold, policy, temporal, and lifecycle conditions together. The final row of Table 1 states the position targeted by the framework. The conjunction is formally specified and validated through allow-and-deny test cases and attack cases, whereas its formal verification and the remaining lifecycle extensions of RQ5 are reserved for CA3 (Sections 10 and 11).</w:t>
      </w:r>
    </w:p>
    <w:p>
      <w:pPr>
        <w:pStyle w:val="Heading2"/>
        <w:keepNext/>
        <w:spacing w:after="120" w:before="240"/>
      </w:pPr>
      <w:r>
        <w:rPr>
          <w:rFonts w:ascii="Times New Roman" w:cs="Times New Roman" w:eastAsia="Times New Roman" w:hAnsi="Times New Roman"/>
          <w:b/>
          <w:bCs/>
          <w:sz w:val="26"/>
          <w:szCs w:val="26"/>
        </w:rPr>
        <w:t xml:space="preserve">2.5  Synthesis and Research Gap</w:t>
      </w:r>
    </w:p>
    <w:p>
      <w:pPr>
        <w:spacing w:after="110" w:line="264"/>
        <w:jc w:val="both"/>
      </w:pPr>
      <w:r>
        <w:rPr>
          <w:rFonts w:ascii="Times New Roman" w:cs="Times New Roman" w:eastAsia="Times New Roman" w:hAnsi="Times New Roman"/>
          <w:sz w:val="22"/>
          <w:szCs w:val="22"/>
        </w:rPr>
        <w:t xml:space="preserve">Across the corpus, Req 3 is the least satisfied requirement. For Req 6, formal assurance is provided by 4 studies, argued informally by 9, and absent in 12. These proportions match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sz w:val="22"/>
          <w:szCs w:val="22"/>
        </w:rPr>
        <w:t xml:space="preserve">The review corrects one framing of this research. Read on their own, the background surveys cited in Sections 1 and 2 suggest that multi-party authorisation of patient consent does not exist. However,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w:t>
      </w:r>
    </w:p>
    <w:p>
      <w:pPr>
        <w:spacing w:after="110" w:line="264"/>
        <w:jc w:val="both"/>
      </w:pPr>
      <w:r>
        <w:rPr>
          <w:rFonts w:ascii="Times New Roman" w:cs="Times New Roman" w:eastAsia="Times New Roman" w:hAnsi="Times New Roman"/>
          <w:sz w:val="22"/>
          <w:szCs w:val="22"/>
        </w:rPr>
        <w:t xml:space="preserve">The review establishes two gaps. The first is a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since no study conjoins identity, authority, threshold, policy, temporal, jurisdictional, and lifecycle conditions in one decision predicate in which multi-party approval is a standing condition and the patient defines the approving set. The second is an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since co-existing conditions are neither proved nor tested as an authorisation decision, and any proof covers only a fragment of the predicate. As shown in Figure 2, the proposed framework is positioned against both gaps. Each of Req 1 to Req 6 also leaves a requirement-level gap, termed Gap 1 to Gap 6. Each gap corresponds to the research question and objective of the same number in Sections 3 and 4.</w:t>
      </w:r>
    </w:p>
    <w:p>
      <w:pPr>
        <w:keepNext/>
        <w:spacing w:after="60" w:before="160"/>
        <w:jc w:val="center"/>
      </w:pPr>
      <w:r>
        <w:drawing>
          <wp:inline distT="0" distB="0" distL="0" distR="0">
            <wp:extent cx="5715000" cy="2838450"/>
            <wp:effectExtent t="0" r="0" b="0" l="0"/>
            <wp:docPr id="1" name="F5.png" descr="Synthesis of the review: the conjunction gap and the assurance gap addressed by the proposed framework" title="Synthesis of the review: the conjunction gap and the assurance gap addressed by the proposed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384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sz w:val="18"/>
          <w:szCs w:val="18"/>
        </w:rPr>
        <w:t xml:space="preserve">Synthesis of the review: the conjunction gap and the assurance gap addressed by the proposed framework.</w:t>
      </w:r>
    </w:p>
    <w:p>
      <w:pPr>
        <w:spacing w:after="110" w:line="264"/>
        <w:jc w:val="both"/>
      </w:pPr>
      <w:r>
        <w:rPr>
          <w:rFonts w:ascii="Times New Roman" w:cs="Times New Roman" w:eastAsia="Times New Roman" w:hAnsi="Times New Roman"/>
          <w:sz w:val="22"/>
          <w:szCs w:val="22"/>
        </w:rPr>
        <w:t xml:space="preserve">The review has limitations. A further 588 records, mostly from SpringerLink, could not be screened at the abstract stage because the export contained no abstracts. The 1,800 full-text records were read in a prioritised order under the saturation rule, and a single panel performed the coding. Consequently, a small number of relevant studies may have been missed. The consistency between the coding of the included studies and the signal prevalence of the wider pool limits, but does not remove, this risk.</w:t>
      </w: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Research Gap</w:t>
      </w:r>
    </w:p>
    <w:p>
      <w:pPr>
        <w:spacing w:after="110" w:line="264"/>
        <w:jc w:val="both"/>
      </w:pPr>
      <w:r>
        <w:rPr>
          <w:rFonts w:ascii="Times New Roman" w:cs="Times New Roman" w:eastAsia="Times New Roman" w:hAnsi="Times New Roman"/>
          <w:sz w:val="22"/>
          <w:szCs w:val="22"/>
        </w:rPr>
        <w:t xml:space="preserve">The systematic literature review in Section 2 established that the mechanisms required for trustworthy consent authorisation exist individually but are commonly investigated as independent technical solutions. The few studies that coordinate several of them in one decision [17, 21, 25, 28, 59] do not make multi-party approval a standing condition of that decision, and they do not assure the conjunction formally or empirically.</w:t>
      </w:r>
    </w:p>
    <w:p>
      <w:pPr>
        <w:spacing w:after="110" w:line="264"/>
        <w:jc w:val="both"/>
      </w:pPr>
      <w:r>
        <w:rPr>
          <w:rFonts w:ascii="Times New Roman" w:cs="Times New Roman" w:eastAsia="Times New Roman" w:hAnsi="Times New Roman"/>
          <w:sz w:val="22"/>
          <w:szCs w:val="22"/>
        </w:rPr>
        <w:t xml:space="preserve">The central gap is therefore not the absence of technologies for recording consent, verifying identity, or restricting data access, but rather the absence of an integrated model explaining how these mechanisms collectively establish a trustworthy authorisation decision. Many consent-oriented approaches still treat consent primarily as a record or a Boolean flag [45, 46, 60]. Even the evaluable consent objects reported since 2020 [17, 20, 24, 41, 59] carry only a subset of the conditions and are issued by a single party. Such a model establishes evidence that a consent decision occurred. It does not necessarily establish that the requester possesses the required authority, that all required parties have independently approved the access, or that the requested operation is consistent with the authorised purpose and data scope.</w:t>
      </w:r>
    </w:p>
    <w:p>
      <w:pPr>
        <w:spacing w:after="110" w:line="264"/>
        <w:jc w:val="both"/>
      </w:pPr>
      <w:r>
        <w:rPr>
          <w:rFonts w:ascii="Times New Roman" w:cs="Times New Roman" w:eastAsia="Times New Roman" w:hAnsi="Times New Roman"/>
          <w:sz w:val="22"/>
          <w:szCs w:val="22"/>
        </w:rPr>
        <w:t xml:space="preserve">Recording consent and enforcing trustworthy authorisation are different security problems. For example, a blockchain may provide an immutable representation of a consent event [10, 15], but immutability does not establish the legitimacy of the entities involved. Similarly, a valid decentralised identity can establish who a participant is [13], but not what that participant is authorised to do. Multi-party approval can strengthen collective decision-making, but in the reviewed studies it is never conjoined with a purpose or data-scope condition [19, 21, 22]. From a Trust Computing perspective, trustworthy access is therefore the outcome of several independently verified conditions that are all satisfied together.</w:t>
      </w:r>
    </w:p>
    <w:p>
      <w:pPr>
        <w:spacing w:after="110" w:line="264"/>
        <w:jc w:val="both"/>
      </w:pPr>
      <w:r>
        <w:rPr>
          <w:rFonts w:ascii="Times New Roman" w:cs="Times New Roman" w:eastAsia="Times New Roman" w:hAnsi="Times New Roman"/>
          <w:sz w:val="22"/>
          <w:szCs w:val="22"/>
        </w:rPr>
        <w:t xml:space="preserve">There therefore remains a need for an authorisation framework in which the consent object carries identity, authority, threshold, policy, temporal, jurisdictional, and lifecycle conditions. In this framework,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and the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identified in Section 2. The approving set must be defined by the patient rather than by an institution. In the reviewed studies, the approving set is either defined on the institutional or delegate side [21, 51, 55], or appointed by the patient [22, 56]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following terms are used throughout the remaining sections. The patient is the data subject who creates the consent object C. The guardian set G is the set of designated participants whose independent approval is required, and the threshold N is the number of valid guardian approvals needed for activation. The authorised doctor D is the requester whose access request R is evaluated against C.</w:t>
      </w:r>
    </w:p>
    <w:p>
      <w:pPr>
        <w:pStyle w:val="Heading2"/>
        <w:keepNext/>
        <w:spacing w:after="120" w:before="240"/>
      </w:pPr>
      <w:r>
        <w:rPr>
          <w:rFonts w:ascii="Times New Roman" w:cs="Times New Roman" w:eastAsia="Times New Roman" w:hAnsi="Times New Roman"/>
          <w:b/>
          <w:bCs/>
          <w:sz w:val="26"/>
          <w:szCs w:val="26"/>
        </w:rPr>
        <w:t xml:space="preserve">3.2  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deliberately emphasises trust-oriented computing rather than any individual implementation technology.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Sub-Research Questions</w:t>
      </w:r>
    </w:p>
    <w:p>
      <w:pPr>
        <w:spacing w:after="110" w:line="264"/>
        <w:jc w:val="both"/>
      </w:pPr>
      <w:r>
        <w:rPr>
          <w:rFonts w:ascii="Times New Roman" w:cs="Times New Roman" w:eastAsia="Times New Roman" w:hAnsi="Times New Roman"/>
          <w:sz w:val="22"/>
          <w:szCs w:val="22"/>
        </w:rPr>
        <w:t xml:space="preserve">The main research question is operationalised through six sub-research questions, which progress from consent modelling to formal security assurance. For brevity, SRQ1 to SRQ6 are referred to as RQ1 to RQ6 in the remaining sections.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In this object, I represents the participating identities and A represents the authority requirements, namely the guardian set G and the threshold N. P represents the purpose and data-scope constraints, T the temporal validity window, L the jurisdictional constraint, and E the authorisation evidence, including whether the consent remains active or has been revoked.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Research Questions as an Integrated Problem</w:t>
      </w:r>
    </w:p>
    <w:p>
      <w:pPr>
        <w:spacing w:after="110" w:line="264"/>
        <w:jc w:val="both"/>
      </w:pPr>
      <w:r>
        <w:rPr>
          <w:rFonts w:ascii="Times New Roman" w:cs="Times New Roman" w:eastAsia="Times New Roman" w:hAnsi="Times New Roman"/>
          <w:sz w:val="22"/>
          <w:szCs w:val="22"/>
        </w:rPr>
        <w:t xml:space="preserve">The six research questions are not independent technical questions. RQ1 establishes the consent representation, RQ2 establishes participant trust, and RQ3 uses trusted participants to establish collective authorisation. RQ4 adds policy enforcement, RQ5 adds temporal and lifecycle control, and RQ6 provides security assurance and validation of the whole. The integrated authorisation condition is expressed in Equation (2), where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jurisdictional compliance. Lifecycle validity is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Consequently, failure of any individual condition results in denial. RQ6 is not another authorisation condition evaluated at runtime, but an assurance layer over the mechanisms established by RQ1 to 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translate the identified gap into concrete research and development activities. The programme consists of six objectives, each corresponding to one research question and each examinable conceptually, technically, and, where appropriate, empirically.</w:t>
      </w:r>
    </w:p>
    <w:p>
      <w:pPr>
        <w:pStyle w:val="Heading2"/>
        <w:keepNext/>
        <w:spacing w:after="120" w:before="240"/>
      </w:pPr>
      <w:r>
        <w:rPr>
          <w:rFonts w:ascii="Times New Roman" w:cs="Times New Roman" w:eastAsia="Times New Roman" w:hAnsi="Times New Roman"/>
          <w:b/>
          <w:bCs/>
          <w:sz w:val="26"/>
          <w:szCs w:val="26"/>
        </w:rPr>
        <w:t xml:space="preserve">4.1  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consent can be evaluated when a subsequent data-access request is made. RO1 addresses RQ1 and defines the information required before consent can be interpreted as an authorisation decision rather than a static approval record.</w:t>
      </w:r>
    </w:p>
    <w:p>
      <w:pPr>
        <w:pStyle w:val="Heading2"/>
        <w:keepNext/>
        <w:spacing w:after="120" w:before="240"/>
      </w:pPr>
      <w:r>
        <w:rPr>
          <w:rFonts w:ascii="Times New Roman" w:cs="Times New Roman" w:eastAsia="Times New Roman" w:hAnsi="Times New Roman"/>
          <w:b/>
          <w:bCs/>
          <w:sz w:val="26"/>
          <w:szCs w:val="26"/>
        </w:rPr>
        <w:t xml:space="preserve">4.2  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an identity and authority verification mechanism using decentralised identifiers and verifiable credentials. It establishes trustworthy participants while explicitly separating identity authentication from authorisation authority, and it provides the trust inputs required by multi-party authorisation. RO2 addresses RQ2 and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jointly establish a trustworthy consent decision. In the implemented framework, the designated guardians are defined at consent creation and each EIP-712 approval is verified through signature recovery. A valid signature is required from every listed guardian, so the threshold equals |G|, an N-of-N condition demonstrated in the 2-of-2 configuration. RO3 addresses RQ3 and prevents unilateral authorisation where collective approval is required.</w:t>
      </w:r>
    </w:p>
    <w:p>
      <w:pPr>
        <w:pStyle w:val="Heading2"/>
        <w:keepNext/>
        <w:spacing w:after="120" w:before="240"/>
      </w:pPr>
      <w:r>
        <w:rPr>
          <w:rFonts w:ascii="Times New Roman" w:cs="Times New Roman" w:eastAsia="Times New Roman" w:hAnsi="Times New Roman"/>
          <w:b/>
          <w:bCs/>
          <w:sz w:val="26"/>
          <w:szCs w:val="26"/>
        </w:rPr>
        <w:t xml:space="preserve">4.4  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enforce purpose and healthcare data-scope constraints as explicit and evaluable conditions of access. In the implemented framework, the policy mechanism evaluates whether the requested purpose is consistent with the consent. It rejects any request whose data scope is not a non-empty subset of the authorised EMR modules. Consequently, a valid identity and sufficient multi-party approval cannot be used to obtain healthcare information outside the authorised scope. RO4 addresses RQ4, so that RO1 to RO4 together establish representation, verification, collective authorisation, and policy enforcement.</w:t>
      </w:r>
    </w:p>
    <w:p>
      <w:pPr>
        <w:pStyle w:val="Heading2"/>
        <w:keepNext/>
        <w:spacing w:after="120" w:before="240"/>
      </w:pPr>
      <w:r>
        <w:rPr>
          <w:rFonts w:ascii="Times New Roman" w:cs="Times New Roman" w:eastAsia="Times New Roman" w:hAnsi="Times New Roman"/>
          <w:b/>
          <w:bCs/>
          <w:sz w:val="26"/>
          <w:szCs w:val="26"/>
        </w:rPr>
        <w:t xml:space="preserve">4.5  RO5: Temporal and Lifecycle Trust</w:t>
      </w:r>
    </w:p>
    <w:p>
      <w:pPr>
        <w:spacing w:after="110" w:line="264"/>
        <w:jc w:val="both"/>
      </w:pPr>
      <w:r>
        <w:rPr>
          <w:rFonts w:ascii="Times New Roman" w:cs="Times New Roman" w:eastAsia="Times New Roman" w:hAnsi="Times New Roman"/>
          <w:sz w:val="22"/>
          <w:szCs w:val="22"/>
        </w:rPr>
        <w:t xml:space="preserve">The fifth research objective addresses RQ5 by ensuring that an authorisation remains valid only within its permitted time interval and lifecycle state. Part of this objective is already implemented in the current prototype. The prototype enforces the temporal validity window at every access decision through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records notBefore and expiry on-chain within the consent token. It also implements end-to-end revocation, including an on-chain revoke transaction, and manages the consent through an explicit lifecycle state machine. The remaining work concerns 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addresses RQ6 by formally analysing and empirically evaluating whether the implemented framework satisfies its trust and authorisation properties under representative healthcare data-sharing scenarios. The empirical component has been partially delivered. In particular, 36 automated tests cover signature rejection, proof tampering, and twelve attack scenarios against the components of C and the contract. Preliminary measurements of on-chain cost, confirmation latency, and processing time have been obtained. A live out-of-jurisdiction request against a consent anchored on the deployed Sepolia contract was refused by the application. However, the formal analysis of the stated properties, through proofs or model checking, remains for the next stage.</w:t>
      </w:r>
    </w:p>
    <w:p>
      <w:pPr>
        <w:pStyle w:val="Heading2"/>
        <w:keepNext/>
        <w:spacing w:after="120" w:before="240"/>
      </w:pPr>
      <w:r>
        <w:rPr>
          <w:rFonts w:ascii="Times New Roman" w:cs="Times New Roman" w:eastAsia="Times New Roman" w:hAnsi="Times New Roman"/>
          <w:b/>
          <w:bCs/>
          <w:sz w:val="26"/>
          <w:szCs w:val="26"/>
        </w:rPr>
        <w:t xml:space="preserve">4.7  Relationship Between Research Questions and Objectives</w:t>
      </w:r>
    </w:p>
    <w:p>
      <w:pPr>
        <w:spacing w:after="110" w:line="264"/>
        <w:jc w:val="both"/>
      </w:pPr>
      <w:r>
        <w:rPr>
          <w:rFonts w:ascii="Times New Roman" w:cs="Times New Roman" w:eastAsia="Times New Roman" w:hAnsi="Times New Roman"/>
          <w:sz w:val="22"/>
          <w:szCs w:val="22"/>
        </w:rPr>
        <w:t xml:space="preserve">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RO1 to RO4 are delivered in CA2, together with their validation and evaluation through the implemented prototype. As stated in Section 1, RO5 and RO6 are partially completed. Their remaining work is detailed in Section 10 and Section 11, and its schedule is presented in Section 13. The distinction between the current and next stages is therefore based on research scope and maturity rather than on a different set of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as the implementation foundation for the trusted multi-party consent management framework. Within the framework, MVC separates the representation of consent, the interaction of independent stakeholders, and the enforcement of security-critical authorisation decisions. A consent decision may involve patients, guardians, healthcare professionals, and auditors with different identities, authorities, and responsibilities. Consequently, the system cannot rely on a single authentication event or a static permission entry. Instead, the authorisation decision must emerge from the coordinated evaluation of independently verifiable security conditions.</w:t>
      </w:r>
    </w:p>
    <w:p>
      <w:pPr>
        <w:pStyle w:val="Heading2"/>
        <w:keepNext/>
        <w:spacing w:after="120" w:before="240"/>
      </w:pPr>
      <w:r>
        <w:rPr>
          <w:rFonts w:ascii="Times New Roman" w:cs="Times New Roman" w:eastAsia="Times New Roman" w:hAnsi="Times New Roman"/>
          <w:b/>
          <w:bCs/>
          <w:sz w:val="26"/>
          <w:szCs w:val="26"/>
        </w:rPr>
        <w:t xml:space="preserve">5.1  Layered Architecture and Component Decomposition</w:t>
      </w:r>
    </w:p>
    <w:p>
      <w:pPr>
        <w:spacing w:after="110" w:line="264"/>
        <w:jc w:val="both"/>
      </w:pPr>
      <w:r>
        <w:rPr>
          <w:rFonts w:ascii="Times New Roman" w:cs="Times New Roman" w:eastAsia="Times New Roman" w:hAnsi="Times New Roman"/>
          <w:sz w:val="22"/>
          <w:szCs w:val="22"/>
        </w:rPr>
        <w:t xml:space="preserve">The architecture consists of three complementary layers. The View is the interaction boundary with independent healthcare stakeholders, the Controller is the security decision and coordination boundary, and the Model holds the persistent trust, consent, policy, and authorisation state. As shown in Figure 3, sensitive healthcare data are positioned outside the three layers as a protected resource whose access is mediated by the Controller rather than directly exposed to the View.</w:t>
      </w:r>
    </w:p>
    <w:p>
      <w:pPr>
        <w:keepNext/>
        <w:spacing w:after="60" w:before="160"/>
        <w:jc w:val="center"/>
      </w:pPr>
      <w:r>
        <w:drawing>
          <wp:inline distT="0" distB="0" distL="0" distR="0">
            <wp:extent cx="5715000" cy="3476625"/>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4766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sz w:val="18"/>
          <w:szCs w:val="18"/>
        </w:rPr>
        <w:t xml:space="preserve">Layered MVC architecture and component decomposition of the HALAH framework.</w:t>
      </w:r>
    </w:p>
    <w:p>
      <w:pPr>
        <w:spacing w:after="110" w:line="264"/>
        <w:jc w:val="both"/>
      </w:pPr>
      <w:r>
        <w:rPr>
          <w:rFonts w:ascii="Times New Roman" w:cs="Times New Roman" w:eastAsia="Times New Roman" w:hAnsi="Times New Roman"/>
          <w:sz w:val="22"/>
          <w:szCs w:val="22"/>
        </w:rPr>
        <w:t xml:space="preserve">An action submitted through a role-specific View interface represents a request or claim rather than a trusted authorisation outcome. The Controller coordinates identity, credential, and authority verification, multi-party approval evaluation, policy and data-scope evaluation, and final authorisation, and it generates the audit evidence for each decision. The existence of a Model object does not itself imply that access is permitted. MVC was selected in preference to a purely on-chain design for two reasons. First, the authorisation decision must combine the identity, threshold, policy, temporal, and jurisdictional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the functional decomposition of each layer. The View is decomposed into the patient, guardian, healthcare professional, and auditor interfaces, none of which independently determines whether access should be granted. The Controller is decomposed into six conceptual security functions: Identity Verification, Authority Verification, Approval Aggregation, Policy Enforcement, the Decision Engine, and Audit Coordination. The Model is decomposed into seven state representations: DID, VC, Consent, Approval, Policy, Evidence, and Lifecycle.</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sz w:val="18"/>
          <w:szCs w:val="18"/>
        </w:rPr>
        <w:t xml:space="preserve">Functional decomposition of the MVC components.</w:t>
      </w:r>
    </w:p>
    <w:p>
      <w:pPr>
        <w:spacing w:after="110" w:line="264"/>
        <w:jc w:val="both"/>
      </w:pPr>
      <w:r>
        <w:rPr>
          <w:rFonts w:ascii="Times New Roman" w:cs="Times New Roman" w:eastAsia="Times New Roman" w:hAnsi="Times New Roman"/>
          <w:sz w:val="22"/>
          <w:szCs w:val="22"/>
        </w:rPr>
        <w:t xml:space="preserve">In the implemented prototype, the Controller comprises eight principal functions rather than six. A ZK Proof Service generates and verifies the Groth16 proof that feeds the Authorisation Decision, and an On-chain Anchor Service performs the Sepolia mint and revoke transactions as a background process.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Trust Evaluation and Architectural Boundaries</w:t>
      </w:r>
    </w:p>
    <w:p>
      <w:pPr>
        <w:spacing w:after="110" w:line="264"/>
        <w:jc w:val="both"/>
      </w:pPr>
      <w:r>
        <w:rPr>
          <w:rFonts w:ascii="Times New Roman" w:cs="Times New Roman" w:eastAsia="Times New Roman" w:hAnsi="Times New Roman"/>
          <w:sz w:val="22"/>
          <w:szCs w:val="22"/>
        </w:rPr>
        <w:t xml:space="preserve">The layers cooperate through a controlled authorisation sequence rather than through unrestricted direct communication. As shown in Figure 5, the Controller coordinates a sequence of trust predicates representing the conditions established by the sub-research questions.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purpose and data-scope restrictions of the consent.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determines whether its recorded jurisdictional constraint is satisfied. Lifecycle validity and revocation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rather than within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 integrated decision is the rule of Equation (2).</w:t>
      </w:r>
    </w:p>
    <w:p>
      <w:pPr>
        <w:keepNext/>
        <w:spacing w:after="60" w:before="160"/>
        <w:jc w:val="center"/>
      </w:pPr>
      <w:r>
        <w:drawing>
          <wp:inline distT="0" distB="0" distL="0" distR="0">
            <wp:extent cx="2952750" cy="4286250"/>
            <wp:effectExtent t="0" r="0" b="0" l="0"/>
            <wp:docPr id="1" name="F8.png" descr="Trust predicate evaluation and authorisation decision flow" title="Trust predicate evaluation and authorisation decis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sz w:val="18"/>
          <w:szCs w:val="18"/>
        </w:rPr>
        <w:t xml:space="preserve">Trust predicate evaluation and authorisation decision flow.</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 The Controller does not create these trust conditions but evaluates evidence represented by the Model, and both successful and unsuccessful decisions produce authorisation evidence that supports accountability and subsequent verification. The architecture establishes four explicit trust boundaries. The View cannot be treated as a trusted source of authorisation decisions, and the Controller prevents access to protected healthcare data when the required trust conditions are not satisfied. A consent record, credential, or approval record in the Model cannot independently produce an access decision, and the protected data are reached only through the authorisation path enforced by the Controller. The framework does not claim that MVC itself provides security, since security arises from placing trust-sensitive operations within the Controller and representing security state within the Model. In the present prototype, the Controller is a single trusted server that both evaluates the predicates and writes the audit ledger.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 The workflow begins when the patient creates a consent request specifying the purpose, permitted data scope, and other authorisation conditions. Decentralised identity and authority verification then follows using DIDs and VCs [13]. A verified DID or VC identifies a participant but does not by itself grant permission to access patient data. The framework then collects independent approvals and evaluates the threshold condition of Equation (3), where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denotes the set of verified approvals.</w:t>
      </w:r>
    </w:p>
    <w:p>
      <w:pPr>
        <w:keepNext/>
        <w:spacing w:after="60" w:before="160"/>
        <w:jc w:val="center"/>
      </w:pPr>
      <w:r>
        <w:drawing>
          <wp:inline distT="0" distB="0" distL="0" distR="0">
            <wp:extent cx="2638425"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384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sz w:val="18"/>
          <w:szCs w:val="18"/>
        </w:rPr>
        <w:t xml:space="preserve">End-to-end workflow of the trust-oriented consent authorisation framework.</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 if |A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N, and 0 if |A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sz w:val="22"/>
          <w:szCs w:val="22"/>
        </w:rPr>
        <w:t xml:space="preserve">Only verified approvals contribute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(4), so an arbitrary number of unverified or unauthorised approvals cannot satisfy the multi-party authorisation requirement. This distinguishes the framework from reviewed systems in which joint approval is a contingency path [19], a witness or notary threshold [22], a registration-time co-consent [23, 53], an institution-side admission gate [51], a custodial M-of-N signature [21], or a key-share reconstruction [52, 56].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1 ∧ Authority(a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Valid}.</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sz w:val="22"/>
          <w:szCs w:val="22"/>
        </w:rPr>
        <w:t xml:space="preserve">In the implemented prototype, the threshold is fixed at N = |G|, as justified in Section 8. Once the N-of-N condition is satisfied, the consent token is minted in the local ledger and a background job anchors the mint on Sepolia asynchronously. The temporal check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the jurisdictional check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then evaluated, a Groth16 proof is generated and verified before access is granted, and the audit evidence is recorded. The flow continues through patient-initiated revocation and the corresponding on-chain revoke transaction, after which the auditor reviews the record and the verification tool performs an independent verification. On the access path, a consent whose threshold has not been satisfied leads to a denial decision. A request against an active consent is also evaluated against the purpose and data-scope constraints of the consent object. For example, if a consent permits access to Observation and Medication, a request that additionally contains Procedure is denied because it exceeds the authorised scope. A valid identity and sufficient multi-party approval are necessary but not sufficient conditions for access. Both successful and denied decisions should be recorded for accountability,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provides a direct implementation structure for the research objectives, as summarised in Table 2. RO1 is primarily represented in the Model through the trust-aware consent object C = (I, A, P, T, L, E). RO2 is implemented through the identity and authority verification mechanisms coordinated by the Controller, and RO3 through the multi-party approval and threshold evaluation process. Similarly, RO4 is implemented through the policy evaluation mechanisms that constrain the authorised purpose and healthcare data scope. RO5 is realised through the temporal and lifecycle state held in the Model and the predicates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evaluated by the Controller. RO6 operates across all three layers, since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evaluates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evaluable consent object as such is already present in the literature [17, 20, 24, 41]. The innovation is the conjunction in which the effectiveness of the consent depends on the joint satisfaction of identity, authority, collective approval, policy, temporal, and jurisdictional conditions on every access decision. The blockchain is not treated as the source of trust but strengthens the integrity, non-repudiation, and auditability of the evidence generated by the authorisation process [10, 15]. The detailed solutions for RQ1 to RQ6 are presented in Sections 6 to 11, and the formal assurance of the complete decision model remains for CA3.</w:t>
      </w:r>
    </w:p>
    <w:p>
      <w:pPr>
        <w:pStyle w:val="Heading1"/>
        <w:pageBreakBefore/>
        <w:spacing w:after="200" w:before="120"/>
      </w:pPr>
      <w:r>
        <w:rPr>
          <w:rFonts w:ascii="Times New Roman" w:cs="Times New Roman" w:eastAsia="Times New Roman" w:hAnsi="Times New Roman"/>
          <w:b/>
          <w:bCs/>
          <w:sz w:val="32"/>
          <w:szCs w:val="32"/>
        </w:rPr>
        <w:t xml:space="preserve">6.  The Proposed Solution for RQ1</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 This object formally specifies what the patient intends to authorise, who may participate in authorisation, which healthcare data may be accessed, and under what conditions. The consent object is defined by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the authorisation requirements, P the policy constraints, T the temporal validity window, and L the jurisdiction in which the consent may be exercised. E represents the authorisation evidence. The model therefore separates the specification of consent from the final access decision. A consent object does not automatically authorise every subsequent request. Instead, it provides the conditions against which a request is evaluated.</w:t>
      </w:r>
    </w:p>
    <w:p>
      <w:pPr>
        <w:pStyle w:val="Heading2"/>
        <w:keepNext/>
        <w:spacing w:after="120" w:before="240"/>
      </w:pPr>
      <w:r>
        <w:rPr>
          <w:rFonts w:ascii="Times New Roman" w:cs="Times New Roman" w:eastAsia="Times New Roman" w:hAnsi="Times New Roman"/>
          <w:b/>
          <w:bCs/>
          <w:sz w:val="26"/>
          <w:szCs w:val="26"/>
        </w:rPr>
        <w:t xml:space="preserve">6.2  Consent Creation Workflow</w:t>
      </w:r>
    </w:p>
    <w:p>
      <w:pPr>
        <w:spacing w:after="110" w:line="264"/>
        <w:jc w:val="both"/>
      </w:pPr>
      <w:r>
        <w:rPr>
          <w:rFonts w:ascii="Times New Roman" w:cs="Times New Roman" w:eastAsia="Times New Roman" w:hAnsi="Times New Roman"/>
          <w:sz w:val="22"/>
          <w:szCs w:val="22"/>
        </w:rPr>
        <w:t xml:space="preserve">The workflow begins with a patient request and ends with a structured consent record that subsequent authorisation services can verify. In the HALAH implementation, the patient interface allows the patient to select a patient DID, an authorised doctor, and guardian DIDs. The patient also selects healthcare data modules such as Observation, Medication, Condition, and Procedure, together with the start and expiry time of the consent. In the current interface, the purpose is fixed to Treatment and is not selected by the patient. The purpose vocabulary check is therefore exercised by the automated tests rather than by the interface. As shown in Figure 7, the workflow proceeds from input collection to validation, construction, and persistence of the consent object.</w:t>
      </w:r>
    </w:p>
    <w:p>
      <w:pPr>
        <w:keepNext/>
        <w:spacing w:after="60" w:before="160"/>
        <w:jc w:val="center"/>
      </w:pPr>
      <w:r>
        <w:drawing>
          <wp:inline distT="0" distB="0" distL="0" distR="0">
            <wp:extent cx="2419350"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4193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sz w:val="18"/>
          <w:szCs w:val="18"/>
        </w:rPr>
        <w:t xml:space="preserve">RO1 workflow for trust-centric consent creation.</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for example when the expiry time is later than the start time. After validation, the system creates the consent object, assigns a consent identifier, persists the record, and records the creation event in the audit layer.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Structure of the Consent Object</w:t>
      </w:r>
    </w:p>
    <w:p>
      <w:pPr>
        <w:spacing w:after="110" w:line="264"/>
        <w:jc w:val="both"/>
      </w:pPr>
      <w:r>
        <w:rPr>
          <w:rFonts w:ascii="Times New Roman" w:cs="Times New Roman" w:eastAsia="Times New Roman" w:hAnsi="Times New Roman"/>
          <w:sz w:val="22"/>
          <w:szCs w:val="22"/>
        </w:rPr>
        <w:t xml:space="preserve">Figure 8 presents the structure of the resulting consent object, showing each of the six components of C = (I, A, P, T, L, E), its content in the HALAH system, and the party that supplies it. The patient supplies the identity, authority, data-scope, temporal, and jurisdictional components. The purpose is presently fixed to Treatment by the interface. The system generates the threshold N = |G| and the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The evidence component is accumulated by the audit layer, the guardians' signatures, and the blockchain as the consent progresses.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sz w:val="18"/>
          <w:szCs w:val="18"/>
        </w:rPr>
        <w:t xml:space="preserve">Six-component consent model C = (I, A, P, T, L, E) with the content and supplier of each component.</w:t>
      </w:r>
    </w:p>
    <w:p>
      <w:pPr>
        <w:spacing w:after="110" w:line="264"/>
        <w:jc w:val="both"/>
      </w:pPr>
      <w:r>
        <w:rPr>
          <w:rFonts w:ascii="Times New Roman" w:cs="Times New Roman" w:eastAsia="Times New Roman" w:hAnsi="Times New Roman"/>
          <w:sz w:val="22"/>
          <w:szCs w:val="22"/>
        </w:rPr>
        <w:t xml:space="preserve">The temporal component defines the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where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the consent start time and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is the expiration time. Unlike the consent objects reported in the literature [17, 20, 24, 41, 59],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Trust-Aware Consent Creation Procedure and Algorithm</w:t>
      </w:r>
    </w:p>
    <w:p>
      <w:pPr>
        <w:spacing w:after="110" w:line="264"/>
        <w:jc w:val="both"/>
      </w:pPr>
      <w:r>
        <w:rPr>
          <w:rFonts w:ascii="Times New Roman" w:cs="Times New Roman" w:eastAsia="Times New Roman" w:hAnsi="Times New Roman"/>
          <w:sz w:val="22"/>
          <w:szCs w:val="22"/>
        </w:rPr>
        <w:t xml:space="preserve">The creation procedure validates the participating entities, consent purpose, data scope, and temporal constraints in sequence before the consent is persisted. The system first validates the patient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and terminates with REJECT if it cannot be validated. It then validates the authorised doctor D and the guardian set G, which prevents an arbitrary third party from being treated as the patient's authorised representative. The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 The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so that consent covers explicitly defined FHIR resources rather than the entire healthcare record, which establishes the principle of least privilege.</w:t>
      </w:r>
    </w:p>
    <w:p>
      <w:pPr>
        <w:spacing w:after="110" w:line="264"/>
        <w:jc w:val="both"/>
      </w:pPr>
      <w:r>
        <w:rPr>
          <w:rFonts w:ascii="Times New Roman" w:cs="Times New Roman" w:eastAsia="Times New Roman" w:hAnsi="Times New Roman"/>
          <w:sz w:val="22"/>
          <w:szCs w:val="22"/>
        </w:rPr>
        <w:t xml:space="preserve">The system then requires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and validates the jurisdiction L. It defines the authorisation requirement A, and the Consent Service generates a universally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when the patient submits the consent. Possession of the identifier alone grants no access, because every subsequent request is evaluated by the complete decision rule. The smart contract assigns the on-chain token identifier separately, only when the consent is activated. Finally, the system constructs C, persists it, and records the creation evidence, giving the sequence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D → G →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T → L → A →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C → E. Algorithm 1 formalises this procedure.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Validate guardian set G</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sz w:val="19"/>
          <w:szCs w:val="19"/>
        </w:rPr>
        <w:t xml:space="preserve">Validate purpose P</w:t>
      </w:r>
      <w:r>
        <w:rPr>
          <w:rFonts w:ascii="Times New Roman" w:cs="Times New Roman" w:eastAsia="Times New Roman" w:hAnsi="Times New Roman"/>
          <w:sz w:val="19"/>
          <w:szCs w:val="19"/>
          <w:vertAlign w:val="subscript"/>
        </w:rPr>
        <w:t xml:space="preserve">u</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Validate data scope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does not grant data access directly. Instead, it creates a consent object that the authorisation mechanism later evaluates. The consent is placed in the PENDING_SIGNATURE state, and nothing is anchored on-chain until all guardians approve. The research treats consent as a structured policy-bound object rather than as a simple Boolean permission. The algorithm also links RO1 to the remaining objectives. RO2 uses the identity and authority information in I, RO3 evaluates the authorisation requirements in A, and RO4 evaluates the policy constraints in P.</w:t>
      </w:r>
    </w:p>
    <w:p>
      <w:pPr>
        <w:pStyle w:val="Heading2"/>
        <w:keepNext/>
        <w:spacing w:after="120" w:before="240"/>
      </w:pPr>
      <w:r>
        <w:rPr>
          <w:rFonts w:ascii="Times New Roman" w:cs="Times New Roman" w:eastAsia="Times New Roman" w:hAnsi="Times New Roman"/>
          <w:b/>
          <w:bCs/>
          <w:sz w:val="26"/>
          <w:szCs w:val="26"/>
        </w:rPr>
        <w:t xml:space="preserve">6.5  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The HALAH patient interface creates the consent object, assigns the identifier, and records the creation event in the audit layer. In the current prototype, the identity validation of the first three steps is structural. In particular, the patient DID is selected from the loaded record set, and each guardian DID must be a well-formed DID before the consent is stored. The doctor DID is checked for DID format only when the access decision is evaluated, as qualified in Section 7.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RQ2</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 The separation of identity authentication from authorisation authority is stated in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[13]. Neither mechanism automatically grants access to patient data. Instead, the verified identity and authority information become inputs to the subsequent authorisation process, whose final decision depends on the consent requirements and the access policy. The identity verification condition is expressed by Equation (7), where u is the requesting participant.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 The system resolves and verifies the participant's DID, retrieves the associated VC, checks its validity, and examines its claims against the authority required by the consent. As shown in Figure 9, the output of RO2 is not an access-grant decision but a verified identity and authority result consumed by RO3 and RO4.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itle="RO2 workflow for decentralised identity and authority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sz w:val="18"/>
          <w:szCs w:val="18"/>
        </w:rPr>
        <w:t xml:space="preserve">RO2 workflow for decentralised identity and authority verification.</w:t>
      </w:r>
    </w:p>
    <w:p>
      <w:pPr>
        <w:pStyle w:val="Heading2"/>
        <w:keepNext/>
        <w:spacing w:after="120" w:before="240"/>
      </w:pPr>
      <w:r>
        <w:rPr>
          <w:rFonts w:ascii="Times New Roman" w:cs="Times New Roman" w:eastAsia="Times New Roman" w:hAnsi="Times New Roman"/>
          <w:b/>
          <w:bCs/>
          <w:sz w:val="26"/>
          <w:szCs w:val="26"/>
        </w:rPr>
        <w:t xml:space="preserve">7.3  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its DID, the attributes in its VC, and the authority requirements of the consent object C. The system first resolves the DID of u and verifies the DID document, including its verification methods and public keys. It then retrieves the VC, which provides machine-verifiable claims such as professional role, organisational affiliation, or delegated authority. In the target design, the credential is valid only when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Sig</w:t>
      </w:r>
      <w:r>
        <w:rPr>
          <w:rFonts w:ascii="Times New Roman" w:cs="Times New Roman" w:eastAsia="Times New Roman" w:hAnsi="Times New Roman"/>
          <w:sz w:val="22"/>
          <w:szCs w:val="22"/>
          <w:vertAlign w:val="subscript"/>
        </w:rPr>
        <w:t xml:space="preserve">VC</w:t>
      </w:r>
      <w:r>
        <w:rPr>
          <w:rFonts w:ascii="Times New Roman" w:cs="Times New Roman" w:eastAsia="Times New Roman" w:hAnsi="Times New Roman"/>
          <w:sz w:val="22"/>
          <w:szCs w:val="22"/>
        </w:rPr>
        <w:t xml:space="preserve"> ∧ Issuer</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Subject</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Time</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That is, it must carry a valid signature from an acceptable issuer, refer to the current participant, and remain within its validity period.</w:t>
      </w:r>
    </w:p>
    <w:p>
      <w:pPr>
        <w:spacing w:after="110" w:line="264"/>
        <w:jc w:val="both"/>
      </w:pPr>
      <w:r>
        <w:rPr>
          <w:rFonts w:ascii="Times New Roman" w:cs="Times New Roman" w:eastAsia="Times New Roman" w:hAnsi="Times New Roman"/>
          <w:sz w:val="22"/>
          <w:szCs w:val="22"/>
        </w:rPr>
        <w:t xml:space="preserve">The system then extracts the role and authority claims of u, which may identify a doctor, guardian, researcher, auditor, or another authorised participant. These claims are compared against the consent requirements, such that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of u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the authority requirements defined by C. The system binds the verified identity to the corresponding authority, so that an unrelated credential cannot be used to obtain access. Consequently, the mechanism is a two-layer verification in which Identity(u) ∧ CredentialValidity(u)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The overall process follows the sequence DID</w:t>
      </w:r>
      <w:r>
        <w:rPr>
          <w:rFonts w:ascii="Times New Roman" w:cs="Times New Roman" w:eastAsia="Times New Roman" w:hAnsi="Times New Roman"/>
          <w:sz w:val="22"/>
          <w:szCs w:val="22"/>
          <w:vertAlign w:val="subscript"/>
        </w:rPr>
        <w:t xml:space="preserve">resolve</w:t>
      </w:r>
      <w:r>
        <w:rPr>
          <w:rFonts w:ascii="Times New Roman" w:cs="Times New Roman" w:eastAsia="Times New Roman" w:hAnsi="Times New Roman"/>
          <w:sz w:val="22"/>
          <w:szCs w:val="22"/>
        </w:rPr>
        <w:t xml:space="preserve"> → DID</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retrieve</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Claims</w:t>
      </w:r>
      <w:r>
        <w:rPr>
          <w:rFonts w:ascii="Times New Roman" w:cs="Times New Roman" w:eastAsia="Times New Roman" w:hAnsi="Times New Roman"/>
          <w:sz w:val="22"/>
          <w:szCs w:val="22"/>
          <w:vertAlign w:val="subscript"/>
        </w:rPr>
        <w:t xml:space="preserve">extract</w:t>
      </w:r>
      <w:r>
        <w:rPr>
          <w:rFonts w:ascii="Times New Roman" w:cs="Times New Roman" w:eastAsia="Times New Roman" w:hAnsi="Times New Roman"/>
          <w:sz w:val="22"/>
          <w:szCs w:val="22"/>
        </w:rPr>
        <w:t xml:space="preserve"> → Authority</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Evidence</w:t>
      </w:r>
      <w:r>
        <w:rPr>
          <w:rFonts w:ascii="Times New Roman" w:cs="Times New Roman" w:eastAsia="Times New Roman" w:hAnsi="Times New Roman"/>
          <w:sz w:val="22"/>
          <w:szCs w:val="22"/>
          <w:vertAlign w:val="subscript"/>
        </w:rPr>
        <w:t xml:space="preserve">record</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w:t>
      </w:r>
    </w:p>
    <w:p>
      <w:pPr>
        <w:spacing w:after="110" w:line="264"/>
        <w:jc w:val="both"/>
      </w:pPr>
      <w:r>
        <w:rPr>
          <w:rFonts w:ascii="Times New Roman" w:cs="Times New Roman" w:eastAsia="Times New Roman" w:hAnsi="Times New Roman"/>
          <w:sz w:val="22"/>
          <w:szCs w:val="22"/>
        </w:rPr>
        <w:t xml:space="preserve">Algorithm 2 formalises the procedure. It returns INVALID at the first failed mandatory verification condition. Otherwise, it records the identity and authority evidence and returns VALID. This evidence may include the resolved DID, the verification status, the credential identifier, the issuer information, the relevant authority claims, and the verification timestamp.</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treats identity verification and authority verification as related but distinct operations. A participant may possess a valid DID while lacking the authority required by the consent. Similarly, a credential may be structurally valid but irrelevant to the specific authorisation requirement. Accordingly, the algorithm verifies both credential validity and authority relevance. However, it does not independently establish collective consent or policy compliance, which are evaluated by RO3 and RO4 in Section 8 and Section 9.</w:t>
      </w:r>
    </w:p>
    <w:p>
      <w:pPr>
        <w:pStyle w:val="Heading2"/>
        <w:keepNext/>
        <w:spacing w:after="120" w:before="240"/>
      </w:pPr>
      <w:r>
        <w:rPr>
          <w:rFonts w:ascii="Times New Roman" w:cs="Times New Roman" w:eastAsia="Times New Roman" w:hAnsi="Times New Roman"/>
          <w:b/>
          <w:bCs/>
          <w:sz w:val="26"/>
          <w:szCs w:val="26"/>
        </w:rPr>
        <w:t xml:space="preserve">7.4  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 The current implementation demonstrates that a participant's identity can be verified independently of whether that participant is authorised to access a particular patient's data.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therefore defines the target verification model rather than the behaviour presently exercised by the demonstration.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RQ3</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This section presents the solution to RQ3, which is addressed by RO3. RO3 develops a threshold-based multi-party authorisation mechanism for consent approval. The objective is to ensure that sensitive healthcare data cannot be accessed through unilateral approval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valid approvals and let N denote the required authorisation threshold. Equation (8) defines the threshold predicate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over the consent object C.</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 if |A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N, and 0 if |A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The threshold mechanism establishes collective authorisation. It follows the threshold-committee principle of decentralised identity systems [33, 34], but applies it to consent approval rather than to credential issuance. For example, where a consent requires two valid guardian approvals, one valid approval is insufficient, whereas two valid approvals satisfy the threshold.</w:t>
      </w:r>
    </w:p>
    <w:p>
      <w:pPr>
        <w:spacing w:after="110" w:line="264"/>
        <w:jc w:val="both"/>
      </w:pPr>
      <w:r>
        <w:rPr>
          <w:rFonts w:ascii="Times New Roman" w:cs="Times New Roman" w:eastAsia="Times New Roman" w:hAnsi="Times New Roman"/>
          <w:sz w:val="22"/>
          <w:szCs w:val="22"/>
        </w:rPr>
        <w:t xml:space="preserve">The N-of-N configuration was adopted for the prototype because it is the most conservative instantiation of the threshold condition, in which no designated guardian can be bypassed.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Multi-Party Authorisation Workflow</w:t>
      </w:r>
    </w:p>
    <w:p>
      <w:pPr>
        <w:spacing w:after="110" w:line="264"/>
        <w:jc w:val="both"/>
      </w:pPr>
      <w:r>
        <w:rPr>
          <w:rFonts w:ascii="Times New Roman" w:cs="Times New Roman" w:eastAsia="Times New Roman" w:hAnsi="Times New Roman"/>
          <w:sz w:val="22"/>
          <w:szCs w:val="22"/>
        </w:rPr>
        <w:t xml:space="preserve">The workflow identifies the participants required by the consent, and each participant must submit an independently verifiable approval. Invalid approvals are rejected, and the authorisation becomes active only when the number of valid approvals reaches the threshold. As shown in Figure 10, the Guardian workflow verifies the guardian VC, appends the guardian DID to the consent signatures, and displays the approval count relative to the threshold. When the threshold is reached, the implementation assigns an SBT identifier and records the corresponding minting event.</w:t>
      </w:r>
    </w:p>
    <w:p>
      <w:pPr>
        <w:keepNext/>
        <w:spacing w:after="60" w:before="160"/>
        <w:jc w:val="center"/>
      </w:pPr>
      <w:r>
        <w:drawing>
          <wp:inline distT="0" distB="0" distL="0" distR="0">
            <wp:extent cx="300037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0003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sz w:val="18"/>
          <w:szCs w:val="18"/>
        </w:rPr>
        <w:t xml:space="preserve">RO3 workflow for threshold-based multi-party authorisation.</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 Trust is established by participant verification and threshold satisfaction, whereas the blockchain layer provides persistence, traceability, and evidence of the resulting state.</w:t>
      </w:r>
    </w:p>
    <w:p>
      <w:pPr>
        <w:spacing w:after="110" w:line="264"/>
        <w:jc w:val="both"/>
      </w:pPr>
      <w:r>
        <w:rPr>
          <w:rFonts w:ascii="Times New Roman" w:cs="Times New Roman" w:eastAsia="Times New Roman" w:hAnsi="Times New Roman"/>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This substitution is a limitation of the prototype. At access time, the recovery is repeated for every recorded signature within the identity predicate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 The system retrieves the required participant set G of the consent object C and the threshold N, which must satisfy 1 ≤ N ≤ |G|. A submitted approval a remains a candidate contribution until the identity and authority of the participant have been verified through Algorithm 2. If this verification fails, the approval is classified as invalid and DENY is returned for that attempt.</w:t>
      </w:r>
    </w:p>
    <w:p>
      <w:pPr>
        <w:spacing w:after="110" w:line="264"/>
        <w:jc w:val="both"/>
      </w:pPr>
      <w:r>
        <w:rPr>
          <w:rFonts w:ascii="Times New Roman" w:cs="Times New Roman" w:eastAsia="Times New Roman" w:hAnsi="Times New Roman"/>
          <w:sz w:val="22"/>
          <w:szCs w:val="22"/>
        </w:rPr>
        <w:t xml:space="preserve">The system then checks that u ∈ G holds, and an approval from outside G is recorded as an unauthorised approval attempt. It also checks whether the participant has already approved C, which prevents a single participant from satisfying the threshold through repeated approvals. Only an approval that passes the identity, authority, membership, and duplicate checks is added to the valid approval set,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system activates the authorisation, generates activation evidence, and records a threshold-satisfied event. The evidence may include the consent identifier, the threshold N, the identities of the approving participants, and the approval timestamps.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consent remains PENDING, and a threshold-pending event is recorded, so that the remaining requirement can be reconstructed during subsequent verification or audit. Equation (9) represents the complete procedure.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Therefore, the threshold counts only valid, authorised, eligible, and non-duplicate approvals rather than all submitted approvals. An individual approval represents one participant's contribution, whereas authorisation is activated only when the collective evidence satisfies the predefined threshold. From a trust perspective, the procedure can be interpreted as the progression given in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formalises the procedure and explicitly distinguishes between invalid, duplicate, and valid approvals. This distinction is necessary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 threshold N =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participant is not in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participant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approval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Consequently,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rather than the purpose itself. Activation is distinct from the access decision. Algorithm 2 establishes whether an individual participant possesses a valid identity and sufficient authority, whereas Algorithm 3 determines whether enough independently verified participants have collectively approved the consent. The resulting activation evidence is consumed by the policy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 When the threshold is not satisfied, the access decision is denied,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cannot establish valid authorisation until the required number of independently verified participants has approved it. In particular, where two approvals are required, Equation (12) holds after the second approval, whereas Equation (13) holds after the first approval only.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framework enforces collective rather than unilateral authorisation. The implemented threshold is derived from the designated guardian set as N = |G|. The prototype therefore enforces an N-of-N instantiation of Equation (8), and it has been evaluated in the 2-of-2 configuration. The unit-level adversarial tests include an approval from a signer outside G and a repeated approval from the same guardian.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RQ4</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This section presents the solution to RQ4, which is addressed by RO4. RO4 develops a policy-aware authorisation mechanism that evaluates the purpose and data scope of a requested operation against the constraints defined by the consent. A valid identity and sufficient approval do not necessarily imply that every requested operation is permitted. For example, a legitimate doctor with a valid consent may request data beyond the authorised scope, or for a purpose that does not match the one specified by the patient.</w:t>
      </w:r>
    </w:p>
    <w:p>
      <w:pPr>
        <w:pStyle w:val="Heading2"/>
        <w:keepNext/>
        <w:spacing w:after="120" w:before="240"/>
      </w:pPr>
      <w:r>
        <w:rPr>
          <w:rFonts w:ascii="Times New Roman" w:cs="Times New Roman" w:eastAsia="Times New Roman" w:hAnsi="Times New Roman"/>
          <w:b/>
          <w:bCs/>
          <w:sz w:val="26"/>
          <w:szCs w:val="26"/>
        </w:rPr>
        <w:t xml:space="preserve">9.1  Scope and Policy Conditions</w:t>
      </w:r>
    </w:p>
    <w:p>
      <w:pPr>
        <w:spacing w:after="110" w:line="264"/>
        <w:jc w:val="both"/>
      </w:pPr>
      <w:r>
        <w:rPr>
          <w:rFonts w:ascii="Times New Roman" w:cs="Times New Roman" w:eastAsia="Times New Roman" w:hAnsi="Times New Roman"/>
          <w:sz w:val="22"/>
          <w:szCs w:val="22"/>
        </w:rPr>
        <w:t xml:space="preserve">Let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 the data scope authorised by the consent and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denote the data scope requested by the participant. Equation (14)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combines purpose compatibility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with data-scope compatibility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as given in Equation (15).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The complete authorisation decision enforced by the implemented system is the conjunction of the five verification predicates in Equation (16). The predicates are evaluated at every access request. In the current version, each request against an ACTIVE consent has its decision matrix recorded in the audit ledger with the GRANTED or DENIED outcome. The three earliest grants of 22 September 2026 predate this logging.</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sz w:val="22"/>
          <w:szCs w:val="22"/>
        </w:rPr>
        <w:t xml:space="preserve">In the prototype, the matrix column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records the purpose check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only.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evaluated separately by the scope check of the doctor subsystem at request time.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Policy-Aware Access Workflow</w:t>
      </w:r>
    </w:p>
    <w:p>
      <w:pPr>
        <w:spacing w:after="110" w:line="264"/>
        <w:jc w:val="both"/>
      </w:pPr>
      <w:r>
        <w:rPr>
          <w:rFonts w:ascii="Times New Roman" w:cs="Times New Roman" w:eastAsia="Times New Roman" w:hAnsi="Times New Roman"/>
          <w:sz w:val="22"/>
          <w:szCs w:val="22"/>
        </w:rPr>
        <w:t xml:space="preserve">When a doctor requests patient data, the system retrieves the consent object, verifies the participant, and checks the multi-party authorisation before evaluating the requested purpose and data scope. As shown in Figure 11, the Doctor interface retrieves a consent, evaluates its state, and allows a requested scope to be selected from the consent scope. It then generates a proof, checks the requested scope, and invokes the authorisation function before returning data. Consider the authorised scope in Equation (17) and the requested scope in Equation (18).</w:t>
      </w:r>
    </w:p>
    <w:p>
      <w:pPr>
        <w:keepNext/>
        <w:spacing w:after="60" w:before="160"/>
        <w:jc w:val="center"/>
      </w:pPr>
      <w:r>
        <w:drawing>
          <wp:inline distT="0" distB="0" distL="0" distR="0">
            <wp:extent cx="2352675" cy="4286250"/>
            <wp:effectExtent t="0" r="0" b="0" l="0"/>
            <wp:docPr id="1" name="F14.png" descr="RO4 workflow for policy- and context-aware access control" title="RO4 workflow for policy- and context-aware access 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3526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sz w:val="18"/>
          <w:szCs w:val="18"/>
        </w:rPr>
        <w:t xml:space="preserve">RO4 workflow for policy- and context-aware access control.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 This rule prevents a legitimate participant from obtaining data outside the patient's authorised scope.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Policy-Aware Access Decision Algorithm</w:t>
      </w:r>
    </w:p>
    <w:p>
      <w:pPr>
        <w:spacing w:after="110" w:line="264"/>
        <w:jc w:val="both"/>
      </w:pPr>
      <w:r>
        <w:rPr>
          <w:rFonts w:ascii="Times New Roman" w:cs="Times New Roman" w:eastAsia="Times New Roman" w:hAnsi="Times New Roman"/>
          <w:sz w:val="22"/>
          <w:szCs w:val="22"/>
        </w:rPr>
        <w:t xml:space="preserve">Algorithm 4 defines the access decision for a request R = (u, P</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Jur(R)) at the current time t. Each failed condition records a denied decision and returns DENY.</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record proof_mode = groth16</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Record granted decision</w:t>
      </w:r>
    </w:p>
    <w:p>
      <w:pPr>
        <w:keepNext w:val="false"/>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performs policy evaluation after identity and multi-party authorisation verification but before data release, so that neither identity validity nor collective approval is treated as unrestricted permission. The decision is the conjunction of identity validity, active consent, sufficient multi-party approval, purpose compatibility, scope containment, temporal validity, and jurisdictional match. An empty request scope is also refused, because the scope condition requires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to be non-empty. Once the request is authorised, the system retrieves only data within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Implementation Qualifications</w:t>
      </w:r>
    </w:p>
    <w:p>
      <w:pPr>
        <w:spacing w:after="110" w:line="264"/>
        <w:jc w:val="both"/>
      </w:pPr>
      <w:r>
        <w:rPr>
          <w:rFonts w:ascii="Times New Roman" w:cs="Times New Roman" w:eastAsia="Times New Roman" w:hAnsi="Times New Roman"/>
          <w:sz w:val="22"/>
          <w:szCs w:val="22"/>
        </w:rPr>
        <w:t xml:space="preserve">In the HALAH implementation, the access-evidence step is realised by generating and verifying a Groth16 zero-knowledge proof. The proof shows that the prover knows the secret and the expiry time behind a Poseidon commitment held in the application's consent record, and that the consent has not expired at time t. The proof mode is recorded with the decision in the audit ledger. The proof constitutes the access evidence required by Algorithm 4 before any data are retrieved.</w:t>
      </w:r>
    </w:p>
    <w:p>
      <w:pPr>
        <w:spacing w:after="110" w:line="264"/>
        <w:jc w:val="both"/>
      </w:pPr>
      <w:r>
        <w:rPr>
          <w:rFonts w:ascii="Times New Roman" w:cs="Times New Roman" w:eastAsia="Times New Roman" w:hAnsi="Times New Roman"/>
          <w:sz w:val="22"/>
          <w:szCs w:val="22"/>
        </w:rPr>
        <w:t xml:space="preserve">In the demonstrated prototype, the doctor does not declare a separate request purpose. The consent purpose is checked against the supported vocabulary of Treatment, Research, and Emergency and is stored on-chain as keccak256(purpose).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is presently evaluated over the consent purpose rather than over a requester-declared P</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A formal proof that no execution path can violate the privacy policy is left to the next-stage security analysis.</w:t>
      </w:r>
    </w:p>
    <w:p>
      <w:pPr>
        <w:spacing w:after="110" w:line="264"/>
        <w:jc w:val="both"/>
      </w:pPr>
      <w:r>
        <w:rPr>
          <w:rFonts w:ascii="Times New Roman" w:cs="Times New Roman" w:eastAsia="Times New Roman" w:hAnsi="Times New Roman"/>
          <w:sz w:val="22"/>
          <w:szCs w:val="22"/>
        </w:rPr>
        <w:t xml:space="preserve">The denial for a consent that is not ACTIVE is reported in the doctor interface but is not written to the audit ledger in the current prototype. Only requests evaluated against an ACTIVE consent produce the STATE_CHECK and DATA_ACCESS records. The refusal that follows revocation is therefore evidenced by the interface and the automated tests rather than by a ledger row. The N-of-N approval rule described in Section 8 also applies to every access request evaluated here.</w:t>
      </w:r>
    </w:p>
    <w:p>
      <w:pPr>
        <w:pStyle w:val="Heading2"/>
        <w:keepNext/>
        <w:spacing w:after="120" w:before="240"/>
      </w:pPr>
      <w:r>
        <w:rPr>
          <w:rFonts w:ascii="Times New Roman" w:cs="Times New Roman" w:eastAsia="Times New Roman" w:hAnsi="Times New Roman"/>
          <w:b/>
          <w:bCs/>
          <w:sz w:val="26"/>
          <w:szCs w:val="26"/>
        </w:rPr>
        <w:t xml:space="preserve">9.5  Outcome of RO4</w:t>
      </w:r>
    </w:p>
    <w:p>
      <w:pPr>
        <w:spacing w:after="110" w:line="264"/>
        <w:jc w:val="both"/>
      </w:pPr>
      <w:r>
        <w:rPr>
          <w:rFonts w:ascii="Times New Roman" w:cs="Times New Roman" w:eastAsia="Times New Roman" w:hAnsi="Times New Roman"/>
          <w:sz w:val="22"/>
          <w:szCs w:val="22"/>
        </w:rPr>
        <w:t xml:space="preserve">RO4 has been completed and represents the third layer of the foundational framework, beyond identity and multi-party approval. In the formal model,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evaluates to 0 for the over-scope request given above. In the prototype, the scope condition is enforced by a separate scope check at request time rather than within the logged predicate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Accordingly, an over-scope request is refused with the scope named as the failed check, and the interface itself offers only the authorised modules. This refusal is exercised by the unit-level adversarial tests.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sz w:val="22"/>
          <w:szCs w:val="22"/>
        </w:rPr>
        <w:t xml:space="preserve">Every denial names the failed checks in the interface, and a denial against an ACTIVE consent is also recorded in the audit ledger with the complete decision matrix. Input validation on consent creation and access requests prevents malformed identifiers, scopes, and jurisdictions from reaching the decision logic. The procedure therefore implements the principle of least privilege through the explicit 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Even a participant with a valid DID, a valid VC, and sufficient authority cannot retrieve healthcare resources outside the scope authorised by the consent.</w:t>
      </w:r>
    </w:p>
    <w:p>
      <w:pPr>
        <w:spacing w:after="110" w:line="264"/>
        <w:jc w:val="both"/>
      </w:pPr>
      <w:r>
        <w:rPr>
          <w:rFonts w:ascii="Times New Roman" w:cs="Times New Roman" w:eastAsia="Times New Roman" w:hAnsi="Times New Roman"/>
          <w:sz w:val="22"/>
          <w:szCs w:val="22"/>
        </w:rPr>
        <w:t xml:space="preserve">From an architectural perspective, Algorithm 4 acts as the final policy-enforcement layer of the authorisation lifecycle. Algorithm 1 establishes the consent constraints, Algorithm 2 establishes identity and authority evidence, and Algorithm 3 establishes collective authorisation evidence. Algorithm 4 integrates this evidence with the specific access request and determines whether the requested healthcare data can be released. Healthcare data access is an evidence-based authorisation process rather than a simple credential-based permission check. Section 11 presents the scenarios that demonstrate the requested-subset rule on the live system.</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RQ5</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RQ5 investigates how an authorisation remains trustworthy as time passes and as the state of the consent changes. RO5 addresses this question by extending the foundational decision rule with temporal validity and consent lifecycle controls. This objective was originally planned for CA3, but its temporal and revocation controls have been brought forward and realised in the current HALAH prototype. Part of RO5 is therefore already delivered and validated, whereas its dynamic and delegated dimension remains for CA3.</w:t>
      </w:r>
    </w:p>
    <w:p>
      <w:pPr>
        <w:pStyle w:val="Heading2"/>
        <w:keepNext/>
        <w:spacing w:after="120" w:before="240"/>
      </w:pPr>
      <w:r>
        <w:rPr>
          <w:rFonts w:ascii="Times New Roman" w:cs="Times New Roman" w:eastAsia="Times New Roman" w:hAnsi="Times New Roman"/>
          <w:b/>
          <w:bCs/>
          <w:sz w:val="26"/>
          <w:szCs w:val="26"/>
        </w:rPr>
        <w:t xml:space="preserve">10.1  Temporal and Jurisdictional Trust Conditions</w:t>
      </w:r>
    </w:p>
    <w:p>
      <w:pPr>
        <w:spacing w:after="110" w:line="264"/>
        <w:jc w:val="both"/>
      </w:pPr>
      <w:r>
        <w:rPr>
          <w:rFonts w:ascii="Times New Roman" w:cs="Times New Roman" w:eastAsia="Times New Roman" w:hAnsi="Times New Roman"/>
          <w:sz w:val="22"/>
          <w:szCs w:val="22"/>
        </w:rPr>
        <w:t xml:space="preserve">The temporal condition requires that the current time t lies within the validity interval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of the consent object C = (I, A, P, T, L, E).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sz w:val="22"/>
          <w:szCs w:val="22"/>
        </w:rPr>
        <w:t xml:space="preserve">The jurisdictional condition compares the jurisdiction declared by the request R with the jurisdiction L recorded in the consent. Equation (21) defines the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where Jur(·) denotes the jurisdiction attribute recorded on-chain as a two-letter ISO code.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L is validated and bound at consent creation. Consequently, the disjunct Jur(C) = ∅ is not reached for any consent created through the current interface, and the predicate reduces to strict equality. As in Section 5.2, lifecycle state and revocation remain part of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 extended authorisation decision is therefore given by Equation (22), which the prototype enforces at every access request.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rPr>
        <w:t xml:space="preserve">The existence of a consent record does not imply that the consent remains usable at the time of a request. Consequently, RO5 makes the validity of a consent depend on both its temporal interval and its current lifecycle state, so that an expired or revoked consent cannot remain usable merely because its original approval threshold was satisfied.</w:t>
      </w:r>
    </w:p>
    <w:p>
      <w:pPr>
        <w:pStyle w:val="Heading2"/>
        <w:keepNext/>
        <w:spacing w:after="120" w:before="240"/>
      </w:pPr>
      <w:r>
        <w:rPr>
          <w:rFonts w:ascii="Times New Roman" w:cs="Times New Roman" w:eastAsia="Times New Roman" w:hAnsi="Times New Roman"/>
          <w:b/>
          <w:bCs/>
          <w:sz w:val="26"/>
          <w:szCs w:val="26"/>
        </w:rPr>
        <w:t xml:space="preserve">10.2  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temporal interval, the lifecycle state, and the revocation status of the consent before the remaining authorisation conditions. The access decision evaluates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from the application record, whereas the on-chain functions checkValid and checkValidAt are read by the independent verification tool rather than by the Consent Engine.</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sz w:val="18"/>
          <w:szCs w:val="18"/>
        </w:rPr>
        <w:t xml:space="preserve">RO5 workflow for temporal and consent lifecycle trust.</w:t>
      </w:r>
    </w:p>
    <w:p>
      <w:pPr>
        <w:spacing w:after="110" w:line="264"/>
        <w:jc w:val="both"/>
      </w:pPr>
      <w:r>
        <w:rPr>
          <w:rFonts w:ascii="Times New Roman" w:cs="Times New Roman" w:eastAsia="Times New Roman" w:hAnsi="Times New Roman"/>
          <w:sz w:val="22"/>
          <w:szCs w:val="22"/>
        </w:rPr>
        <w:t xml:space="preserve">Three elements of RO5 are implemented and enforced in the current prototype.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The Consent Engine evaluates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 t ≤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at every access request. The deployed contract also stores the notBefore and expiry fields, so that temporal validity can be verified independently of the application.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The patient's withdrawal updates the application state and is confirmed as a revoke transaction on Sepolia in block 11,771,307. From that point, the contract itself reports the token as no longer valid, so any verifier that reads the chain observes the withdrawal. Subsequent access requests are denied on the basis of the revocation flag in the local store.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Lifecycle states.</w:t>
      </w:r>
      <w:r>
        <w:rPr>
          <w:rFonts w:ascii="Times New Roman" w:cs="Times New Roman" w:eastAsia="Times New Roman" w:hAnsi="Times New Roman"/>
          <w:sz w:val="22"/>
          <w:szCs w:val="22"/>
        </w:rPr>
        <w:t xml:space="preserve"> The lifecycle is an explicit state machine with the six states PENDING_SIGNATURE, PENDING_TOKEN, NOT_STARTED, ACTIVE, EXPIRED, and REVOKED. The state is derived at each evaluation from the distinct approvals of the members of G, the token identifier, the revocation flag, and the current time relative to the validity interval.</w:t>
      </w:r>
    </w:p>
    <w:p>
      <w:pPr>
        <w:spacing w:after="110" w:line="264"/>
        <w:jc w:val="both"/>
      </w:pPr>
      <w:r>
        <w:rPr>
          <w:rFonts w:ascii="Times New Roman" w:cs="Times New Roman" w:eastAsia="Times New Roman" w:hAnsi="Times New Roman"/>
          <w:sz w:val="22"/>
          <w:szCs w:val="22"/>
        </w:rPr>
        <w:t xml:space="preserve">Figure 13 summarises the implemented lifecycle and its anchored transitions. Revocation is accepted from any state that is not already REVOKED, and validity is re-established at each evaluated access request and recorded as a STATE_CHECK event in the audit ledger. Expiration and revocation already condition the demonstrated access decisions. However, the expiry path is not shown in the live demonstration, because a validity window long enough to be captured in screenshots cannot expire within the demonstration period. This path is exercised by the automated tests reported in Section 11.</w:t>
      </w:r>
    </w:p>
    <w:p>
      <w:pPr>
        <w:keepNext/>
        <w:spacing w:after="60" w:before="160"/>
        <w:jc w:val="center"/>
      </w:pPr>
      <w:r>
        <w:drawing>
          <wp:inline distT="0" distB="0" distL="0" distR="0">
            <wp:extent cx="4476750" cy="1609725"/>
            <wp:effectExtent t="0" r="0" b="0" l="0"/>
            <wp:docPr id="1" name="F35.png" descr="Implemented consent lifecycle: solid transitions are recorded in the audit ledger, red transitions are anchored as Sepolia transactions and dashed transitions show revocation from any state that is not already REVOKED" title="Implemented consent lifecycle: solid transitions are recorded in the audit ledger, red transitions are anchored as Sepolia transactions and dashed transitions show revocation from any state that is not already REVO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6097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sz w:val="18"/>
          <w:szCs w:val="18"/>
        </w:rPr>
        <w:t xml:space="preserve">Implemented consent lifecycle: solid transitions are recorded in the audit ledger, red transitions are anchored as Sepolia transactions and dashed transitions show revocation from any state that is not already REVOKED.</w:t>
      </w:r>
    </w:p>
    <w:p>
      <w:pPr>
        <w:pStyle w:val="Heading2"/>
        <w:keepNext/>
        <w:spacing w:after="120" w:before="240"/>
      </w:pPr>
      <w:r>
        <w:rPr>
          <w:rFonts w:ascii="Times New Roman" w:cs="Times New Roman" w:eastAsia="Times New Roman" w:hAnsi="Times New Roman"/>
          <w:b/>
          <w:bCs/>
          <w:sz w:val="26"/>
          <w:szCs w:val="26"/>
        </w:rPr>
        <w:t xml:space="preserve">10.3  Remaining Work and Expected Outcome</w:t>
      </w:r>
    </w:p>
    <w:p>
      <w:pPr>
        <w:spacing w:after="110" w:line="264"/>
        <w:jc w:val="both"/>
      </w:pPr>
      <w:r>
        <w:rPr>
          <w:rFonts w:ascii="Times New Roman" w:cs="Times New Roman" w:eastAsia="Times New Roman" w:hAnsi="Times New Roman"/>
          <w:sz w:val="22"/>
          <w:szCs w:val="22"/>
        </w:rPr>
        <w:t xml:space="preserve">What remains for CA3 is the dynamic and delegated dimension of lifecycle trust rather than temporal enforcement itself. It consists of the following elements.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Consent modification.</w:t>
      </w:r>
      <w:r>
        <w:rPr>
          <w:rFonts w:ascii="Times New Roman" w:cs="Times New Roman" w:eastAsia="Times New Roman" w:hAnsi="Times New Roman"/>
          <w:sz w:val="22"/>
          <w:szCs w:val="22"/>
        </w:rPr>
        <w:t xml:space="preserve"> The current prototype assumes that the consent terms do not change after approval, so a governed modification mechanism is still required.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implemented lifecycle mechanism will be extended to support the delegation of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Guardian-set changes.</w:t>
      </w:r>
      <w:r>
        <w:rPr>
          <w:rFonts w:ascii="Times New Roman" w:cs="Times New Roman" w:eastAsia="Times New Roman" w:hAnsi="Times New Roman"/>
          <w:sz w:val="22"/>
          <w:szCs w:val="22"/>
        </w:rPr>
        <w:t xml:space="preserve"> Changes to the designated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The state-transition check is the only part of the lifecycle validation procedure that is not yet implemented, so unauthorised lifecycle transitions have been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state-transition model will be formalised so that unauthorised transitions are excluded by construction. Its central invariant is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of RO5 is a dynamic consent management mechanism that validates whether an authorisation remains active at the precise point of access, under varying temporal and consent-state constraints. The lifecycle invariant will be verified by model checking of the state machine or by proof over the predicate definitions, together with the formal component of RO6 described in Section 11. Consent validity will be treated as a function of time, lifecycle state, and revocation rather than as a permanent property of an approved consent. The schedule of this work is set out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RQ6</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RQ6 investigates whether the proposed trust-oriented authorisation framework satisfies its defined security and authorisation properties. RO6 combines formal security assurance, which specifies the conditions under which the mechanism should be considered secure and consistent, with empirical validation of whether the implemented system behaves according to those conditions. The scenario-based empirical half has been carried out on the HALAH prototype for RQ1 to RQ4, together with the temporal and revocation controls of RQ5. The formal assurance and the full evaluation remain for CA3.</w:t>
      </w:r>
    </w:p>
    <w:p>
      <w:pPr>
        <w:pStyle w:val="Heading2"/>
        <w:keepNext/>
        <w:spacing w:after="120" w:before="240"/>
      </w:pPr>
      <w:r>
        <w:rPr>
          <w:rFonts w:ascii="Times New Roman" w:cs="Times New Roman" w:eastAsia="Times New Roman" w:hAnsi="Times New Roman"/>
          <w:b/>
          <w:bCs/>
          <w:sz w:val="26"/>
          <w:szCs w:val="26"/>
        </w:rPr>
        <w:t xml:space="preserve">11.1  Validation Approach</w:t>
      </w:r>
    </w:p>
    <w:p>
      <w:pPr>
        <w:spacing w:after="110" w:line="264"/>
        <w:jc w:val="both"/>
      </w:pPr>
      <w:r>
        <w:rPr>
          <w:rFonts w:ascii="Times New Roman" w:cs="Times New Roman" w:eastAsia="Times New Roman" w:hAnsi="Times New Roman"/>
          <w:sz w:val="22"/>
          <w:szCs w:val="22"/>
        </w:rPr>
        <w:t xml:space="preserve">Figure 14 presents the RO6 workflow for security assurance and empirical validation. The empirical evaluation shown in the figure has been executed on the prototype, whereas the formal analysis of the decision rule remains planned.</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sz w:val="18"/>
          <w:szCs w:val="18"/>
        </w:rPr>
        <w:t xml:space="preserve">RO6 workflow for formal security assurance and empirical validation.</w:t>
      </w:r>
    </w:p>
    <w:p>
      <w:pPr>
        <w:spacing w:after="110" w:line="264"/>
        <w:jc w:val="both"/>
      </w:pPr>
      <w:r>
        <w:rPr>
          <w:rFonts w:ascii="Times New Roman" w:cs="Times New Roman" w:eastAsia="Times New Roman" w:hAnsi="Times New Roman"/>
          <w:sz w:val="22"/>
          <w:szCs w:val="22"/>
        </w:rPr>
        <w:t xml:space="preserve">The validation defines the expected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and combines three scenario classes into the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 Valid scenarios establish that legitimate users obtain authorised access, and negative scenarios establish that invalid requests are correctly rejected. Adversarial scenarios examine whether the security controls resist deliberate attempts to circumvent the authorisation process. A scenario passes when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 so successful execution is not treated as sufficient evidence of correctness. Equation (23) gives the soundness property in its foundational three-predicate form, under which every granted request satisfies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sz w:val="22"/>
          <w:szCs w:val="22"/>
        </w:rPr>
        <w:t xml:space="preserve">Conversely, Equation (24) states the denial property, under which a request must be denied when any mandatory condition is violated. In particular, each conjunct of the five-predicate rule of Section 10 is exercised by a dedicated failure test, which confirms that access is denied when that predicate alone fails.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evidence consists of a suite of 36 automated tests, the live demonstration on the Sepolia test network on 24 September 2026, and the independent re-verification of every recorded transaction against the chain. The 23 functional and regression tests exercise per-dimension failures of the decision matrix, invalid EIP-712 guardian signatures, and tampered or expired zero-knowledge proofs. The 13 adversarial tests cover a baseline and twelve attack scenarios. Preliminary measurements of the on-chain cost, the confirmation latency, and the processing time of the decision components were taken on 1 October 2026.</w:t>
      </w:r>
    </w:p>
    <w:p>
      <w:pPr>
        <w:pStyle w:val="Heading2"/>
        <w:keepNext/>
        <w:spacing w:after="120" w:before="240"/>
      </w:pPr>
      <w:r>
        <w:rPr>
          <w:rFonts w:ascii="Times New Roman" w:cs="Times New Roman" w:eastAsia="Times New Roman" w:hAnsi="Times New Roman"/>
          <w:b/>
          <w:bCs/>
          <w:sz w:val="26"/>
          <w:szCs w:val="26"/>
        </w:rPr>
        <w:t xml:space="preserve">11.2  The HALAH Prototype and Live Scenarios</w:t>
      </w:r>
    </w:p>
    <w:p>
      <w:pPr>
        <w:spacing w:after="110" w:line="264"/>
        <w:jc w:val="both"/>
      </w:pPr>
      <w:r>
        <w:rPr>
          <w:rFonts w:ascii="Times New Roman" w:cs="Times New Roman" w:eastAsia="Times New Roman" w:hAnsi="Times New Roman"/>
          <w:sz w:val="22"/>
          <w:szCs w:val="22"/>
        </w:rPr>
        <w:t xml:space="preserve">The HALAH prototype is a role-based Patient Consent Management Platform with separate patient, guardian, doctor, and auditor interfaces. Its consent token contract, ConsentSBTv3, was compiled in Remix and deployed to Sepolia through MetaMask as a soulbound ERC-721 token, so transfers between accounts are blocked. Each token stores the pseudonymous patient and requester addresses, a hash of the purpose, the validity window, a two-letter jurisdiction code, and a revocation flag. No medical content is written to the chain. The plaintext purpose is passed as a parameter of the mint transaction and is therefore visible in the public transaction input. All medical records used in the demonstration are synthetic.</w:t>
      </w:r>
    </w:p>
    <w:p>
      <w:pPr>
        <w:spacing w:after="110" w:line="264"/>
        <w:jc w:val="both"/>
      </w:pPr>
      <w:r>
        <w:rPr>
          <w:rFonts w:ascii="Times New Roman" w:cs="Times New Roman" w:eastAsia="Times New Roman" w:hAnsi="Times New Roman"/>
          <w:sz w:val="22"/>
          <w:szCs w:val="22"/>
        </w:rPr>
        <w:t xml:space="preserve">Two consent lifecycles appear in the demonstration. The evaluated consent, f050c29a, was carried through the complete lifecycle as token #1, being granted access, refused access, and finally revoked. The creation, approval, and granted-access screens were captured from a second lifecycle, 04da25f5, which used the same code, contract, and configuration and was anchored as token #2 in block 11,771,581. The following scenarios follow the order of the consent lifecycle, and each is linked to the research question that it validates.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The patient specifies the Patient DID, the Authorised Doctor DID, the data access scope, the designated guardian DIDs, the jurisdiction, and the start and expiry times. These fields instantiate the consent object C = (I, A, P, T, L, E) of Section 6. As shown in Figure 15, all four EMR modules were selected, two guardians were designated, and the jurisdiction was AU. A consent with an empty data scope is rejected, every guardian entry must be a well-formed DID, and the new consent exists only in the application ledger in the state PENDING_SIGNATURE.</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Each guardian approves the consent with an EIP-712 typed-data signature that binds the approval to this consent, to this guardian, and to the Sepolia network (chainId 11155111). The system recovers the signer address and compares it with the address associated with the guardian DID. A signature produced for another consent, another guardian, or another chain is rejected, and a second signature from the same guardian is refused. As qualified in Section 7, cryptographic resolution of DIDs against a registry is reserved for CA3. In the implemented configuration, the threshold is N = |G|, so the demonstrated 2-of-2 approval is an N-of-N case of the threshold condition of Section 8. As shown in Figure 16, the second approval reaches the 2/2 threshold and the anchoring starts in the background. The anchoring of the evaluated consent is a publicly verifiable transaction confirmed in block 11,771,243, so consent activation can be verified independently of the application.</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enters an authorised Consent ID, and the decision matrix reports the outcome of each predicate individually. As shown in Figure 17, the five checks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all report PASS for a requester jurisdiction of AU, and the request must then be a non-empty subset of the authorised scope. The verification also generates and verifies a Groth16 zero-knowledge proof. Because the prover and the verifier run on the same server, the proof demonstrates the integration of the zero-knowledge toolchain rather than an additional privacy guarantee. As shown in Figure 18, access is granted and the authorised records are displayed per EMR module, which demonstrates fine-grained scope enforcement.</w:t>
      </w:r>
    </w:p>
    <w:p>
      <w:pPr>
        <w:keepNext/>
        <w:spacing w:after="60" w:before="160"/>
        <w:jc w:val="center"/>
      </w:pPr>
      <w:r>
        <w:drawing>
          <wp:inline distT="0" distB="0" distL="0" distR="0">
            <wp:extent cx="4476750" cy="3457575"/>
            <wp:effectExtent t="0" r="0" b="0" l="0"/>
            <wp:docPr id="1" name="F27.png" descr="Doctor subsystem with requester jurisdiction AU: all five checks pass" title="Doctor subsystem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4575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sz w:val="18"/>
          <w:szCs w:val="18"/>
        </w:rPr>
        <w:t xml:space="preserve">Doctor subsystem with requester jurisdiction AU: all five checks pass.</w:t>
      </w:r>
    </w:p>
    <w:p>
      <w:pPr>
        <w:keepNext/>
        <w:spacing w:after="60" w:before="160"/>
        <w:jc w:val="center"/>
      </w:pPr>
      <w:r>
        <w:drawing>
          <wp:inline distT="0" distB="0" distL="0" distR="0">
            <wp:extent cx="3352800" cy="3810000"/>
            <wp:effectExtent t="0" r="0" b="0" l="0"/>
            <wp:docPr id="1" name="F29.png" descr="Doctor subsystem after verification: access granted and records displayed per EMR module" title="Doctor subsystem after verification: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352800" cy="3810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sz w:val="18"/>
          <w:szCs w:val="18"/>
        </w:rPr>
        <w:t xml:space="preserve">Doctor subsystem after verification: access granted and records displayed per EMR module.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The same doctor repeated the request for the evaluated consent while declaring the requester jurisdiction as SA, whereas the consent was issued for AU. The decision matrix reports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consequently, ALLOW = FAIL, although the consent remains ACTIVE and all other checks pass. As shown in Figure 19, the request is refused with the failed check named explicitly, and the audit ledger records the result DENIED with the complete decision matrix. Therefore, the access decision is taken over the complete consent tuple rather than over the consent state alone.</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The patient revokes the evaluated consent, the system submits a revoke transaction to the contract, and the consent is displayed as REVOKED with its token number. A subsequent request by the doctor fails at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because the consent is no longer active. As shown in Figure 20, the revocation is a publicly verifiable transaction in block 11,771,307.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4476750" cy="2266950"/>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476750" cy="22669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sz w:val="18"/>
          <w:szCs w:val="18"/>
        </w:rPr>
        <w:t xml:space="preserve">Revocation transaction on Sepolia Etherscan, block 11,771,307.</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The auditor subsystem reconstructs the complete sequence of events of a consent. As shown in Figure 21, the exported ledger held 60 events, of which five were anchored on Sepolia. The rows of the evaluated consent run from CREATE_CONSENT and the guardian signatures through the on-chain mint, the granted and denied access requests, and the revocation. Because an application ledger could in principle contain fabricated entries, an independent verification tool fetches the receipt of every recorded transaction from Sepolia and compares the on-chain revocation state of each token with the local state. As shown in Figure 22, the run reports ALL CHECKS PASSED, although this verification covers only the events that carry a transaction hash.</w:t>
      </w:r>
    </w:p>
    <w:p>
      <w:pPr>
        <w:keepNext/>
        <w:spacing w:after="60" w:before="160"/>
        <w:jc w:val="center"/>
      </w:pPr>
      <w:r>
        <w:drawing>
          <wp:inline distT="0" distB="0" distL="0" distR="0">
            <wp:extent cx="4476750" cy="2400300"/>
            <wp:effectExtent t="0" r="0" b="0" l="0"/>
            <wp:docPr id="1" name="F39.png" descr="Auditor subsystem: aggregate indicators and the audit ledger rows of the evaluated consent" title="Auditor subsystem: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476750" cy="2400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aggregate indicators and the audit ledger rows of the evaluated consent.</w:t>
      </w:r>
    </w:p>
    <w:p>
      <w:pPr>
        <w:keepNext/>
        <w:spacing w:after="60" w:before="160"/>
        <w:jc w:val="center"/>
      </w:pPr>
      <w:r>
        <w:drawing>
          <wp:inline distT="0" distB="0" distL="0" distR="0">
            <wp:extent cx="4476750" cy="2581275"/>
            <wp:effectExtent t="0" r="0" b="0" l="0"/>
            <wp:docPr id="1" name="F40.png" descr="Independent verification against Sepolia: RESULT: ALL CHECKS PASSED" title="Independent verification against Sepolia: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476750" cy="25812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Independent verification against Sepolia: RESULT: ALL CHECKS PASSED.</w:t>
      </w:r>
    </w:p>
    <w:p>
      <w:pPr>
        <w:spacing w:after="110" w:line="264"/>
        <w:jc w:val="both"/>
      </w:pPr>
      <w:r>
        <w:rPr>
          <w:rFonts w:ascii="Times New Roman" w:cs="Times New Roman" w:eastAsia="Times New Roman" w:hAnsi="Times New Roman"/>
          <w:sz w:val="22"/>
          <w:szCs w:val="22"/>
        </w:rPr>
        <w:t xml:space="preserve">Table 3 maps the components of the framework to the implemented subsystems. The mapping shows that the modules correspond to successive stages of the proposed authorisation protocol rather than to a collection of independent interfaces.</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Verifies guardian identities and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Measured Results</w:t>
      </w:r>
    </w:p>
    <w:p>
      <w:pPr>
        <w:spacing w:after="110" w:line="264"/>
        <w:jc w:val="both"/>
      </w:pPr>
      <w:r>
        <w:rPr>
          <w:rFonts w:ascii="Times New Roman" w:cs="Times New Roman" w:eastAsia="Times New Roman" w:hAnsi="Times New Roman"/>
          <w:sz w:val="22"/>
          <w:szCs w:val="22"/>
        </w:rPr>
        <w:t xml:space="preserve">The measurements are taken from the exported 60-event audit ledger, the receipts of the five anchored transactions, and repeated runs on 1 October 2026 in the development container used for the demonstration. Table 4 presents the on-chain cost and the submit-to-confirmation latency of the five anchored transactions. Two of them belong to an earlier trial consent on the previous contract deployment, and three belong to the current ConsentSBTv3 deployment. Gas used, gas price, and fee are read from the transaction receipts.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sz w:val="22"/>
          <w:szCs w:val="22"/>
        </w:rPr>
        <w:t xml:space="preserve">Figure 23 compares the gas used by the five transactions. On the current contract, the mint of token #1 used 196,406 gas, whereas its revocation used 32,980 gas, which is about one sixth of the mint. This is because a mint creates a token and writes a complete consent record, while a revocation changes only a single flag. The gas price remained between 1.04 and 1.10 gwei, so no fee exceeded 0.00021 ETH. However, Sepolia ether has no monetary value, so the portable measure of cost is the gas used rather than the fee. Confirmation took between 4.9 s and 22.1 s, and the mint is confirmed in the background, so it does not delay the guardians or the doctor.</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5 presents the access decisions recorded in the audit ledger. Each of the five logged ALLOW decisions was followed by a GRANTED access, and all five record the proof mode groth16. The single logged DENY is the jurisdiction scenario, in which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failed while the other four predicates passed, and its ledger row records the proof check as passed and the scope as valid. Consequently, the refusal was produced by the decision matrix alone, and each of the six logged matrices agrees with the access result that followed it. The three earlier grants of 22 September 2026 predate the logging of the matrix and of the proof mode.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sz w:val="22"/>
          <w:szCs w:val="22"/>
        </w:rPr>
        <w:t xml:space="preserve">Table 6 summarises the processing time of the decision components. The decision rule was timed over 1,000 evaluations of the five predicates on a loaded consent object, without signature recovery. Signature recovery, proof generation, proof verification, and the two on-chain read calls were each repeated 20 times, and the anchoring confirmation summarises the five transactions of Table 4.</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sz w:val="18"/>
          <w:szCs w:val="18"/>
        </w:rPr>
        <w:t xml:space="preserve">Processing time of the decision components, measured in the development container used for the demonstration, with the anchoring confirmation taken from Table 4</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24, the time taken to evaluate the decision rule is negligible, with a median of 2.37 µs, and signature recovery takes about 11 ms per guardian. The Groth16 proof dominates the interactive path of an access request, with medians of 1,401.1 ms for generation and 465.3 ms for verification, which include process start-up as well as cryptographic work. At the median, one access request takes about 1.9 s in total, and more than 98 per cent of this time is spent on the proof. Anchoring confirmation is the slowest step, with a median of 11.5 s, but it does not lie on the access path of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itle="Processing time of the decision components on a logarithmic axis (median and minimum to maxim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sz w:val="18"/>
          <w:szCs w:val="18"/>
        </w:rPr>
        <w:t xml:space="preserve">Processing time of the decision components on a logarithmic axis (median and minimum to maximum).</w:t>
      </w:r>
    </w:p>
    <w:p>
      <w:pPr>
        <w:pStyle w:val="Heading2"/>
        <w:keepNext/>
        <w:spacing w:after="120" w:before="240"/>
      </w:pPr>
      <w:r>
        <w:rPr>
          <w:rFonts w:ascii="Times New Roman" w:cs="Times New Roman" w:eastAsia="Times New Roman" w:hAnsi="Times New Roman"/>
          <w:b/>
          <w:bCs/>
          <w:sz w:val="26"/>
          <w:szCs w:val="26"/>
        </w:rPr>
        <w:t xml:space="preserve">11.4  Unit-Level Adversarial Tests</w:t>
      </w:r>
    </w:p>
    <w:p>
      <w:pPr>
        <w:spacing w:after="110" w:line="264"/>
        <w:jc w:val="both"/>
      </w:pPr>
      <w:r>
        <w:rPr>
          <w:rFonts w:ascii="Times New Roman" w:cs="Times New Roman" w:eastAsia="Times New Roman" w:hAnsi="Times New Roman"/>
          <w:sz w:val="22"/>
          <w:szCs w:val="22"/>
        </w:rPr>
        <w:t xml:space="preserve">The adversarial tests assume honest infrastructure and exercise the decision functions, the proof verifier, the digest function of the audit ledger, and the contract at unit level.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each guardian signing key is derived from the public guardian DID.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together target every component of C and the contract at least once, and each is an automated unit test that applies the attack directly to the targeted component. A scenario is counted as refused when the targeted predicate fails and the decision is DENY, or when the scope check, the Groth16 prover or verifier, or the contract rejects the input. None of the tests drives the running application, its data store, or the Sepolia deployment.</w:t>
      </w:r>
    </w:p>
    <w:p>
      <w:pPr>
        <w:spacing w:after="110" w:line="264"/>
        <w:jc w:val="both"/>
      </w:pPr>
      <w:r>
        <w:rPr>
          <w:rFonts w:ascii="Times New Roman" w:cs="Times New Roman" w:eastAsia="Times New Roman" w:hAnsi="Times New Roman"/>
          <w:sz w:val="22"/>
          <w:szCs w:val="22"/>
        </w:rPr>
        <w:t xml:space="preserve">Table 7 lists the twelve scenarios with their targeted component, their outcome, and the test that implements each of them, and Figure 25 summarises the same outcome as an evaluation matrix before and after the hardening of 1 October 2026. Before the hardening, three attacks were accepted when the service functions were called directly, namely an approval from a signer outside G (A1), a repeated approval from the same guardian (A3), and an empty request scope (A5). None of the three was reachable through the interface as used in the demonstration of 24 September 2026, so they represent a gap in defence in depth rather than a demonstrated breach of the deployed system. Accordingly, the service layer now counts only distinct approvals from members of G and requires a non-empty request within the authorised scope. After this hardening, eleven of the twelve scenarios are refused, and the full suite of 36 tests passes, comprising the 23 functional and regression tests and the 13 adversarial tests. In the twelfth scenario, A11, a rewritten audit event changes its digest, but no component of the prototype compares the digest.</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Unit-level adversarial tests A1 to A12, their targeted component and their outcome before the hardening (commit b1468b7)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 These tests are not a penetration test of the deployed system.</w:t>
      </w:r>
    </w:p>
    <w:p>
      <w:pPr>
        <w:pStyle w:val="Heading2"/>
        <w:keepNext/>
        <w:spacing w:after="120" w:before="240"/>
      </w:pPr>
      <w:r>
        <w:rPr>
          <w:rFonts w:ascii="Times New Roman" w:cs="Times New Roman" w:eastAsia="Times New Roman" w:hAnsi="Times New Roman"/>
          <w:b/>
          <w:bCs/>
          <w:sz w:val="26"/>
          <w:szCs w:val="26"/>
        </w:rPr>
        <w:t xml:space="preserve">11.5  Remaining Work for CA3</w:t>
      </w:r>
    </w:p>
    <w:p>
      <w:pPr>
        <w:spacing w:after="110" w:line="264"/>
        <w:jc w:val="both"/>
      </w:pPr>
      <w:r>
        <w:rPr>
          <w:rFonts w:ascii="Times New Roman" w:cs="Times New Roman" w:eastAsia="Times New Roman" w:hAnsi="Times New Roman"/>
          <w:sz w:val="22"/>
          <w:szCs w:val="22"/>
        </w:rPr>
        <w:t xml:space="preserve">RO6 is therefore partially completed through its empirical component for RQ1 to RQ4, and the remaining work for CA3 consists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soundness property Decision(C, R, t) = ALLOW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lifecycle invariant of Section 10 will be verified by model checking of the state machine or by proof over the predicate definitions.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Full performance and scalability study.</w:t>
      </w:r>
      <w:r>
        <w:rPr>
          <w:rFonts w:ascii="Times New Roman" w:cs="Times New Roman" w:eastAsia="Times New Roman" w:hAnsi="Times New Roman"/>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The twelve attack scenarios will be extended to larger sets of positive, negative, and adversarial scenarios, and enforcement accuracy will be reported over this extended set.</w:t>
      </w:r>
    </w:p>
    <w:p>
      <w:pPr>
        <w:spacing w:after="110" w:line="264"/>
        <w:jc w:val="both"/>
      </w:pPr>
      <w:r>
        <w:rPr>
          <w:rFonts w:ascii="Times New Roman" w:cs="Times New Roman" w:eastAsia="Times New Roman" w:hAnsi="Times New Roman"/>
          <w:sz w:val="22"/>
          <w:szCs w:val="22"/>
        </w:rPr>
        <w:t xml:space="preserve">CA3 will address the prototype limitations that the evaluation has exposed. These include the N-of-N approval rule, the server-derived guardian keys, the unauthenticated requester role, the absence of cryptographic DID resolution and VC validation, the missing lifecycle transition check, and the unkeyed and unchained audit digest. The schedule of this work is set out in Section 13.</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research is disseminated through three publications. The first presents the trust-oriented consent framework and its prototype, the second reports the systematic literature review of Section 2, and the third reports the formal assurance and the complete evaluation of the framework. Table 8 summarises these publications, their target venues, and their status at the time of writing.</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The second and third publications build directly on the material of this report. The second publication extends Section 2 into a stand-alone review, and the third publication completes the work that Sections 10 and 11 identify as remaining for CA3.</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the work completed at the CA2 milestone and the work planned for the remainder of the candidature. Table 9 presents the previous and the coming tasks in chronological order, together with their target dates and their status.</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sz w:val="18"/>
          <w:szCs w:val="18"/>
        </w:rPr>
        <w:t xml:space="preserve">Research plan: previous and coming tasks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Jul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Paper conference submission, BWCCA 2026</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CA3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chapters on the research foundation, the architecture, and the proposed solution for RQ1 to RQ4 are complete. The first publication was submitted to BWCCA 2026 in September 2026. The coming stage concentrates on RQ5 and RQ6. Consent modification, delegation, and guardian-set changes extend the lifecycle trust of Section 10.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sz w:val="18"/>
          <w:szCs w:val="18"/>
        </w:rPr>
        <w:t xml:space="preserve">Research timeline: completed milestones, work in progress and the planned stages up to thesis submission.</w:t>
      </w:r>
    </w:p>
    <w:p>
      <w:pPr>
        <w:spacing w:after="110" w:line="264"/>
        <w:jc w:val="both"/>
      </w:pPr>
      <w:r>
        <w:rPr>
          <w:rFonts w:ascii="Times New Roman" w:cs="Times New Roman" w:eastAsia="Times New Roman" w:hAnsi="Times New Roman"/>
          <w:sz w:val="22"/>
          <w:szCs w:val="22"/>
        </w:rPr>
        <w:t xml:space="preserve">Table 10 summarises the research activities of the coming stage, their methodological focus, and their expected outcomes.</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sz w:val="18"/>
          <w:szCs w:val="18"/>
        </w:rPr>
        <w:t xml:space="preserve">Next Stage Research Activities, Methodological Focus, and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tabs>
          <w:tab w:val="left" w:pos="560"/>
        </w:tabs>
        <w:spacing w:after="50" w:line="240"/>
        <w:ind w:left="560" w:hanging="560"/>
        <w:jc w:val="left"/>
      </w:pPr>
      <w:r>
        <w:rPr>
          <w:rFonts w:ascii="Times New Roman" w:cs="Times New Roman" w:eastAsia="Times New Roman" w:hAnsi="Times New Roman"/>
          <w:sz w:val="18"/>
          <w:szCs w:val="18"/>
        </w:rPr>
        <w:t xml:space="preserve">[1]	</w:t>
      </w:r>
      <w:r>
        <w:rPr>
          <w:rFonts w:ascii="Times New Roman" w:cs="Times New Roman" w:eastAsia="Times New Roman" w:hAnsi="Times New Roman"/>
          <w:sz w:val="18"/>
          <w:szCs w:val="18"/>
        </w:rPr>
        <w:t xml:space="preserve">Abdul Ghafoor, Iraklis Symeonidis, Anna Rydberg, Cecilia Lindahl, and Abdul Qadus Abbasi. Towards empowering stakeholders through decentralized trust and secure livestock data sharing. Cryptography, 9(3):52, 2025.</w:t>
      </w:r>
    </w:p>
    <w:p>
      <w:pPr>
        <w:tabs>
          <w:tab w:val="left" w:pos="560"/>
        </w:tabs>
        <w:spacing w:after="50" w:line="240"/>
        <w:ind w:left="560" w:hanging="560"/>
        <w:jc w:val="left"/>
      </w:pPr>
      <w:r>
        <w:rPr>
          <w:rFonts w:ascii="Times New Roman" w:cs="Times New Roman" w:eastAsia="Times New Roman" w:hAnsi="Times New Roman"/>
          <w:sz w:val="18"/>
          <w:szCs w:val="18"/>
        </w:rPr>
        <w:t xml:space="preserve">[2]	</w:t>
      </w:r>
      <w:r>
        <w:rPr>
          <w:rFonts w:ascii="Times New Roman" w:cs="Times New Roman" w:eastAsia="Times New Roman" w:hAnsi="Times New Roman"/>
          <w:sz w:val="18"/>
          <w:szCs w:val="18"/>
        </w:rPr>
        <w:t xml:space="preserve">Richard K. Lomotey, Sandra Kumi, and Ralph Deters. Data trusts as a service: Providing a platform for multi-party data sharing. International Journal of Information Management Data Insights, 2(1):100075, 2022.</w:t>
      </w:r>
    </w:p>
    <w:p>
      <w:pPr>
        <w:tabs>
          <w:tab w:val="left" w:pos="560"/>
        </w:tabs>
        <w:spacing w:after="50" w:line="240"/>
        <w:ind w:left="560" w:hanging="560"/>
        <w:jc w:val="left"/>
      </w:pPr>
      <w:r>
        <w:rPr>
          <w:rFonts w:ascii="Times New Roman" w:cs="Times New Roman" w:eastAsia="Times New Roman" w:hAnsi="Times New Roman"/>
          <w:sz w:val="18"/>
          <w:szCs w:val="18"/>
        </w:rPr>
        <w:t xml:space="preserve">[3]	</w:t>
      </w:r>
      <w:r>
        <w:rPr>
          <w:rFonts w:ascii="Times New Roman" w:cs="Times New Roman" w:eastAsia="Times New Roman" w:hAnsi="Times New Roman"/>
          <w:sz w:val="18"/>
          <w:szCs w:val="18"/>
        </w:rPr>
        <w:t xml:space="preserve">Thanh Linh Nguyen, Lam Nguyen, Thong Hoang, Dilum Bandara, Qin Wang, Qinghua Lu, Xiwei Xu, Liming Zhu, and Shiping Chen. Blockchain-empowered trustworthy data sharing: Fundamentals, applications, and challenges. ACM Computing Surveys, 57(8):1–36, 2025.</w:t>
      </w:r>
    </w:p>
    <w:p>
      <w:pPr>
        <w:tabs>
          <w:tab w:val="left" w:pos="560"/>
        </w:tabs>
        <w:spacing w:after="50" w:line="240"/>
        <w:ind w:left="560" w:hanging="560"/>
        <w:jc w:val="left"/>
      </w:pPr>
      <w:r>
        <w:rPr>
          <w:rFonts w:ascii="Times New Roman" w:cs="Times New Roman" w:eastAsia="Times New Roman" w:hAnsi="Times New Roman"/>
          <w:sz w:val="18"/>
          <w:szCs w:val="18"/>
        </w:rPr>
        <w:t xml:space="preserve">[4]	</w:t>
      </w:r>
      <w:r>
        <w:rPr>
          <w:rFonts w:ascii="Times New Roman" w:cs="Times New Roman" w:eastAsia="Times New Roman" w:hAnsi="Times New Roman"/>
          <w:sz w:val="18"/>
          <w:szCs w:val="18"/>
        </w:rPr>
        <w:t xml:space="preserve">Emily C. Webber, David Brick, James P. Scibilia, Peter Dehnel, Council on Clinical Information Technology, et al. Electronic communication of the health record and information with pediatric patients and their guardians. Pediatrics, 144(1):e20191359, 2019.</w:t>
      </w:r>
    </w:p>
    <w:p>
      <w:pPr>
        <w:tabs>
          <w:tab w:val="left" w:pos="560"/>
        </w:tabs>
        <w:spacing w:after="50" w:line="240"/>
        <w:ind w:left="560" w:hanging="560"/>
        <w:jc w:val="left"/>
      </w:pPr>
      <w:r>
        <w:rPr>
          <w:rFonts w:ascii="Times New Roman" w:cs="Times New Roman" w:eastAsia="Times New Roman" w:hAnsi="Times New Roman"/>
          <w:sz w:val="18"/>
          <w:szCs w:val="18"/>
        </w:rPr>
        <w:t xml:space="preserve">[5]	</w:t>
      </w:r>
      <w:r>
        <w:rPr>
          <w:rFonts w:ascii="Times New Roman" w:cs="Times New Roman" w:eastAsia="Times New Roman" w:hAnsi="Times New Roman"/>
          <w:sz w:val="18"/>
          <w:szCs w:val="18"/>
        </w:rPr>
        <w:t xml:space="preserve">Cindy Welzel, Max Ostermann, Hannah Louise Smith, Timo Minssen, Toralf Kirsten, and Stephen Gilbert. Enabling secure and self determined health data sharing and consent management. npj Digital Medicine, 8(1):560, 2025.</w:t>
      </w:r>
    </w:p>
    <w:p>
      <w:pPr>
        <w:tabs>
          <w:tab w:val="left" w:pos="560"/>
        </w:tabs>
        <w:spacing w:after="50" w:line="240"/>
        <w:ind w:left="560" w:hanging="560"/>
        <w:jc w:val="left"/>
      </w:pPr>
      <w:r>
        <w:rPr>
          <w:rFonts w:ascii="Times New Roman" w:cs="Times New Roman" w:eastAsia="Times New Roman" w:hAnsi="Times New Roman"/>
          <w:sz w:val="18"/>
          <w:szCs w:val="18"/>
        </w:rPr>
        <w:t xml:space="preserve">[6]	</w:t>
      </w:r>
      <w:r>
        <w:rPr>
          <w:rFonts w:ascii="Times New Roman" w:cs="Times New Roman" w:eastAsia="Times New Roman" w:hAnsi="Times New Roman"/>
          <w:sz w:val="18"/>
          <w:szCs w:val="18"/>
        </w:rPr>
        <w:t xml:space="preserve">Minal R. Narkhede, Nilesh I. Wankhede, and Akanksha M. Kamble. Enhancing patient autonomy in data ownership: Privacy models and consent frameworks for healthcare. Journal of Digital Health, 4(1):1–23, 2025.</w:t>
      </w:r>
    </w:p>
    <w:p>
      <w:pPr>
        <w:tabs>
          <w:tab w:val="left" w:pos="560"/>
        </w:tabs>
        <w:spacing w:after="50" w:line="240"/>
        <w:ind w:left="560" w:hanging="560"/>
        <w:jc w:val="left"/>
      </w:pPr>
      <w:r>
        <w:rPr>
          <w:rFonts w:ascii="Times New Roman" w:cs="Times New Roman" w:eastAsia="Times New Roman" w:hAnsi="Times New Roman"/>
          <w:sz w:val="18"/>
          <w:szCs w:val="18"/>
        </w:rPr>
        <w:t xml:space="preserve">[7]	</w:t>
      </w:r>
      <w:r>
        <w:rPr>
          <w:rFonts w:ascii="Times New Roman" w:cs="Times New Roman" w:eastAsia="Times New Roman" w:hAnsi="Times New Roman"/>
          <w:sz w:val="18"/>
          <w:szCs w:val="18"/>
        </w:rPr>
        <w:t xml:space="preserve">Roy McClelland and Colin M. Harper. Information privacy in healthcare: The vital role of informed consent. European Journal of Health Law, 30(4):469–480, 2023.</w:t>
      </w:r>
    </w:p>
    <w:p>
      <w:pPr>
        <w:tabs>
          <w:tab w:val="left" w:pos="560"/>
        </w:tabs>
        <w:spacing w:after="50" w:line="240"/>
        <w:ind w:left="560" w:hanging="560"/>
        <w:jc w:val="left"/>
      </w:pPr>
      <w:r>
        <w:rPr>
          <w:rFonts w:ascii="Times New Roman" w:cs="Times New Roman" w:eastAsia="Times New Roman" w:hAnsi="Times New Roman"/>
          <w:sz w:val="18"/>
          <w:szCs w:val="18"/>
        </w:rPr>
        <w:t xml:space="preserve">[8]	</w:t>
      </w:r>
      <w:r>
        <w:rPr>
          <w:rFonts w:ascii="Times New Roman" w:cs="Times New Roman" w:eastAsia="Times New Roman" w:hAnsi="Times New Roman"/>
          <w:sz w:val="18"/>
          <w:szCs w:val="18"/>
        </w:rPr>
        <w:t xml:space="preserve">Katya Kaplow, Max Downey, Darren Stewart, Allan B. Massie, Jennifer D. Motter, Lauren Taylor, John Massarelli, Taylor Matalon, Carolyn Sidoti, Macey L. Levan, et al. Data professionals’ attitudes on data privacy, sharing, and consent in healthcare and research. Digital Health, 10:20552076241290964, 2024.</w:t>
      </w:r>
    </w:p>
    <w:p>
      <w:pPr>
        <w:tabs>
          <w:tab w:val="left" w:pos="560"/>
        </w:tabs>
        <w:spacing w:after="50" w:line="240"/>
        <w:ind w:left="560" w:hanging="560"/>
        <w:jc w:val="left"/>
      </w:pPr>
      <w:r>
        <w:rPr>
          <w:rFonts w:ascii="Times New Roman" w:cs="Times New Roman" w:eastAsia="Times New Roman" w:hAnsi="Times New Roman"/>
          <w:sz w:val="18"/>
          <w:szCs w:val="18"/>
        </w:rPr>
        <w:t xml:space="preserve">[9]	</w:t>
      </w:r>
      <w:r>
        <w:rPr>
          <w:rFonts w:ascii="Times New Roman" w:cs="Times New Roman" w:eastAsia="Times New Roman" w:hAnsi="Times New Roman"/>
          <w:sz w:val="18"/>
          <w:szCs w:val="18"/>
        </w:rPr>
        <w:t xml:space="preserve">Aleena Nazir, Mubashir Husain Rehmani, Bernard Butler, and Donna O’Shea. Access control in healthcare IoT: A comprehensive survey. Engineering Reports, 8(4):e70766, 2026.</w:t>
      </w:r>
    </w:p>
    <w:p>
      <w:pPr>
        <w:tabs>
          <w:tab w:val="left" w:pos="560"/>
        </w:tabs>
        <w:spacing w:after="50" w:line="240"/>
        <w:ind w:left="560" w:hanging="560"/>
        <w:jc w:val="left"/>
      </w:pPr>
      <w:r>
        <w:rPr>
          <w:rFonts w:ascii="Times New Roman" w:cs="Times New Roman" w:eastAsia="Times New Roman" w:hAnsi="Times New Roman"/>
          <w:sz w:val="18"/>
          <w:szCs w:val="18"/>
        </w:rPr>
        <w:t xml:space="preserve">[10]	</w:t>
      </w:r>
      <w:r>
        <w:rPr>
          <w:rFonts w:ascii="Times New Roman" w:cs="Times New Roman" w:eastAsia="Times New Roman" w:hAnsi="Times New Roman"/>
          <w:sz w:val="18"/>
          <w:szCs w:val="18"/>
        </w:rPr>
        <w:t xml:space="preserve">Ahmed M. Tawfik, Ayman Al-Ahwal, Adly S. Tag Eldien, and Hala H. Zayed. Blockchain-based access control and privacy preservation in healthcare: A comprehensive survey. Cluster Computing, 28(8):529, 2025.</w:t>
      </w:r>
    </w:p>
    <w:p>
      <w:pPr>
        <w:tabs>
          <w:tab w:val="left" w:pos="560"/>
        </w:tabs>
        <w:spacing w:after="50" w:line="240"/>
        <w:ind w:left="560" w:hanging="560"/>
        <w:jc w:val="left"/>
      </w:pPr>
      <w:r>
        <w:rPr>
          <w:rFonts w:ascii="Times New Roman" w:cs="Times New Roman" w:eastAsia="Times New Roman" w:hAnsi="Times New Roman"/>
          <w:sz w:val="18"/>
          <w:szCs w:val="18"/>
        </w:rPr>
        <w:t xml:space="preserve">[11]	</w:t>
      </w:r>
      <w:r>
        <w:rPr>
          <w:rFonts w:ascii="Times New Roman" w:cs="Times New Roman" w:eastAsia="Times New Roman" w:hAnsi="Times New Roman"/>
          <w:sz w:val="18"/>
          <w:szCs w:val="18"/>
        </w:rPr>
        <w:t xml:space="preserve">Ateya Megahed Ibrahim, Hassanat Ramadan Abdel-Aziz, Heba Ali Hamed Mohamed, Donia Elsaid Fathi Zaghamir, Nadia Mohamed Ibrahim Wahba, Ghada A. Hassan, Mostafa Shaban, Mohammad El-Nablaway, Ohoud Naif Aldughmi, and Taghreed Hussien Aboelola. Balancing confidentiality and care coordination: challenges in patient privacy. BMC Nursing, 23(1):564, 2024.</w:t>
      </w:r>
    </w:p>
    <w:p>
      <w:pPr>
        <w:tabs>
          <w:tab w:val="left" w:pos="560"/>
        </w:tabs>
        <w:spacing w:after="50" w:line="240"/>
        <w:ind w:left="560" w:hanging="560"/>
        <w:jc w:val="left"/>
      </w:pPr>
      <w:r>
        <w:rPr>
          <w:rFonts w:ascii="Times New Roman" w:cs="Times New Roman" w:eastAsia="Times New Roman" w:hAnsi="Times New Roman"/>
          <w:sz w:val="18"/>
          <w:szCs w:val="18"/>
        </w:rPr>
        <w:t xml:space="preserve">[12]	</w:t>
      </w:r>
      <w:r>
        <w:rPr>
          <w:rFonts w:ascii="Times New Roman" w:cs="Times New Roman" w:eastAsia="Times New Roman" w:hAnsi="Times New Roman"/>
          <w:sz w:val="18"/>
          <w:szCs w:val="18"/>
        </w:rPr>
        <w:t xml:space="preserve">Abdullah Al Mamun, Sami Azam, and Clementine Gritti. Blockchain-based electronic health records management: A comprehensive review and future research direction. IEEE Access, 10:5768–5789, 2022.</w:t>
      </w:r>
    </w:p>
    <w:p>
      <w:pPr>
        <w:tabs>
          <w:tab w:val="left" w:pos="560"/>
        </w:tabs>
        <w:spacing w:after="50" w:line="240"/>
        <w:ind w:left="560" w:hanging="560"/>
        <w:jc w:val="left"/>
      </w:pPr>
      <w:r>
        <w:rPr>
          <w:rFonts w:ascii="Times New Roman" w:cs="Times New Roman" w:eastAsia="Times New Roman" w:hAnsi="Times New Roman"/>
          <w:sz w:val="18"/>
          <w:szCs w:val="18"/>
        </w:rPr>
        <w:t xml:space="preserve">[13]	</w:t>
      </w:r>
      <w:r>
        <w:rPr>
          <w:rFonts w:ascii="Times New Roman" w:cs="Times New Roman" w:eastAsia="Times New Roman" w:hAnsi="Times New Roman"/>
          <w:sz w:val="18"/>
          <w:szCs w:val="18"/>
        </w:rPr>
        <w:t xml:space="preserve">Carlo Mazzocca, Abbas Acar, Selcuk Uluagac, Rebecca Montanari, Paolo Bellavista, and Mauro Conti. A survey on decentralized identifiers and verifiable credentials. IEEE Communications Surveys &amp; Tutorials, 27:3641–3671, 2025.</w:t>
      </w:r>
    </w:p>
    <w:p>
      <w:pPr>
        <w:tabs>
          <w:tab w:val="left" w:pos="560"/>
        </w:tabs>
        <w:spacing w:after="50" w:line="240"/>
        <w:ind w:left="560" w:hanging="560"/>
        <w:jc w:val="left"/>
      </w:pPr>
      <w:r>
        <w:rPr>
          <w:rFonts w:ascii="Times New Roman" w:cs="Times New Roman" w:eastAsia="Times New Roman" w:hAnsi="Times New Roman"/>
          <w:sz w:val="18"/>
          <w:szCs w:val="18"/>
        </w:rPr>
        <w:t xml:space="preserve">[14]	</w:t>
      </w:r>
      <w:r>
        <w:rPr>
          <w:rFonts w:ascii="Times New Roman" w:cs="Times New Roman" w:eastAsia="Times New Roman" w:hAnsi="Times New Roman"/>
          <w:sz w:val="18"/>
          <w:szCs w:val="18"/>
        </w:rPr>
        <w:t xml:space="preserve">Andrea Flamini, Giada Sciarretta, Mario Scuro, Amir Sharif, Alessandro Tomasi, and Silvio Ranise. On cryptographic mechanisms for the selective disclosure of verifiable credentials. Journal of Information Security and Applications, 83:103789, 2024.</w:t>
      </w:r>
    </w:p>
    <w:p>
      <w:pPr>
        <w:tabs>
          <w:tab w:val="left" w:pos="560"/>
        </w:tabs>
        <w:spacing w:after="50" w:line="240"/>
        <w:ind w:left="560" w:hanging="560"/>
        <w:jc w:val="left"/>
      </w:pPr>
      <w:r>
        <w:rPr>
          <w:rFonts w:ascii="Times New Roman" w:cs="Times New Roman" w:eastAsia="Times New Roman" w:hAnsi="Times New Roman"/>
          <w:sz w:val="18"/>
          <w:szCs w:val="18"/>
        </w:rPr>
        <w:t xml:space="preserve">[15]	</w:t>
      </w:r>
      <w:r>
        <w:rPr>
          <w:rFonts w:ascii="Times New Roman" w:cs="Times New Roman" w:eastAsia="Times New Roman" w:hAnsi="Times New Roman"/>
          <w:sz w:val="18"/>
          <w:szCs w:val="18"/>
        </w:rPr>
        <w:t xml:space="preserve">J. Andrew, Deva Priya Isravel, K. Martin Sagayam, Bharat Bhushan, Yuichi Sei, and Jennifer Eunice. Blockchain for healthcare systems: Architecture, security challenges, trends and future directions. Journal of Network and Computer Applications, 215:103633, 2023.</w:t>
      </w:r>
    </w:p>
    <w:p>
      <w:pPr>
        <w:tabs>
          <w:tab w:val="left" w:pos="560"/>
        </w:tabs>
        <w:spacing w:after="50" w:line="240"/>
        <w:ind w:left="560" w:hanging="560"/>
        <w:jc w:val="left"/>
      </w:pPr>
      <w:r>
        <w:rPr>
          <w:rFonts w:ascii="Times New Roman" w:cs="Times New Roman" w:eastAsia="Times New Roman" w:hAnsi="Times New Roman"/>
          <w:sz w:val="18"/>
          <w:szCs w:val="18"/>
        </w:rPr>
        <w:t xml:space="preserve">[16]	</w:t>
      </w:r>
      <w:r>
        <w:rPr>
          <w:rFonts w:ascii="Times New Roman" w:cs="Times New Roman" w:eastAsia="Times New Roman" w:hAnsi="Times New Roman"/>
          <w:sz w:val="18"/>
          <w:szCs w:val="18"/>
        </w:rPr>
        <w:t xml:space="preserve">Muhammad Irfan Khalid, Mansoor Ahmed, Markus Helfert, and Jungsuk Kim. Privacy-first paradigm for dynamic consent management systems: empowering data subjects through decentralized data controllers and privacy-preserving techniques. Electronics, 12(24):4973, 2023.</w:t>
      </w:r>
    </w:p>
    <w:p>
      <w:pPr>
        <w:tabs>
          <w:tab w:val="left" w:pos="560"/>
        </w:tabs>
        <w:spacing w:after="50" w:line="240"/>
        <w:ind w:left="560" w:hanging="560"/>
        <w:jc w:val="left"/>
      </w:pPr>
      <w:r>
        <w:rPr>
          <w:rFonts w:ascii="Times New Roman" w:cs="Times New Roman" w:eastAsia="Times New Roman" w:hAnsi="Times New Roman"/>
          <w:sz w:val="18"/>
          <w:szCs w:val="18"/>
        </w:rPr>
        <w:t xml:space="preserve">[17]	</w:t>
      </w:r>
      <w:r>
        <w:rPr>
          <w:rFonts w:ascii="Times New Roman" w:cs="Times New Roman" w:eastAsia="Times New Roman" w:hAnsi="Times New Roman"/>
          <w:sz w:val="18"/>
          <w:szCs w:val="18"/>
        </w:rPr>
        <w:t xml:space="preserve">S. Phuyal, M. Bhandari, R. Bista, and J. C. Ferreira. Enabling Cross-Institution Health Data Sharing in Norway: EUDI Wallets, On-Chain Consent, and openEHR↔FHIR Translation. IEEE Access, 2026. doi:10.1109/ACCESS.2026.3661642</w:t>
      </w:r>
    </w:p>
    <w:p>
      <w:pPr>
        <w:tabs>
          <w:tab w:val="left" w:pos="560"/>
        </w:tabs>
        <w:spacing w:after="50" w:line="240"/>
        <w:ind w:left="560" w:hanging="560"/>
        <w:jc w:val="left"/>
      </w:pPr>
      <w:r>
        <w:rPr>
          <w:rFonts w:ascii="Times New Roman" w:cs="Times New Roman" w:eastAsia="Times New Roman" w:hAnsi="Times New Roman"/>
          <w:sz w:val="18"/>
          <w:szCs w:val="18"/>
        </w:rPr>
        <w:t xml:space="preserve">[18]	</w:t>
      </w:r>
      <w:r>
        <w:rPr>
          <w:rFonts w:ascii="Times New Roman" w:cs="Times New Roman" w:eastAsia="Times New Roman" w:hAnsi="Times New Roman"/>
          <w:sz w:val="18"/>
          <w:szCs w:val="18"/>
        </w:rPr>
        <w:t xml:space="preserve">Z. Wu and D. Zhang. HealthDID: An efficient and authorizable multi-party privacy-preserving EMR sharing system based on DID. Computer Standards &amp; Interfaces, 93:103967, 2025. doi:10.1016/j.csi.2024.103967</w:t>
      </w:r>
    </w:p>
    <w:p>
      <w:pPr>
        <w:tabs>
          <w:tab w:val="left" w:pos="560"/>
        </w:tabs>
        <w:spacing w:after="50" w:line="240"/>
        <w:ind w:left="560" w:hanging="560"/>
        <w:jc w:val="left"/>
      </w:pPr>
      <w:r>
        <w:rPr>
          <w:rFonts w:ascii="Times New Roman" w:cs="Times New Roman" w:eastAsia="Times New Roman" w:hAnsi="Times New Roman"/>
          <w:sz w:val="18"/>
          <w:szCs w:val="18"/>
        </w:rPr>
        <w:t xml:space="preserve">[19]	</w:t>
      </w:r>
      <w:r>
        <w:rPr>
          <w:rFonts w:ascii="Times New Roman" w:cs="Times New Roman" w:eastAsia="Times New Roman" w:hAnsi="Times New Roman"/>
          <w:sz w:val="18"/>
          <w:szCs w:val="18"/>
        </w:rPr>
        <w:t xml:space="preserve">M. M. Madine, K. Salah, R. Jayaraman, I. Yaqoob, Y. Al-Hammadi, S. Ellahham, et al. Fully Decentralized Multi-Party Consent Management for Secure Sharing of Patient Health Records. IEEE Access, 2020. doi:10.1109/ACCESS.2020.3045048</w:t>
      </w:r>
    </w:p>
    <w:p>
      <w:pPr>
        <w:tabs>
          <w:tab w:val="left" w:pos="560"/>
        </w:tabs>
        <w:spacing w:after="50" w:line="240"/>
        <w:ind w:left="560" w:hanging="560"/>
        <w:jc w:val="left"/>
      </w:pPr>
      <w:r>
        <w:rPr>
          <w:rFonts w:ascii="Times New Roman" w:cs="Times New Roman" w:eastAsia="Times New Roman" w:hAnsi="Times New Roman"/>
          <w:sz w:val="18"/>
          <w:szCs w:val="18"/>
        </w:rPr>
        <w:t xml:space="preserve">[20]	</w:t>
      </w:r>
      <w:r>
        <w:rPr>
          <w:rFonts w:ascii="Times New Roman" w:cs="Times New Roman" w:eastAsia="Times New Roman" w:hAnsi="Times New Roman"/>
          <w:sz w:val="18"/>
          <w:szCs w:val="18"/>
        </w:rPr>
        <w:t xml:space="preserve">D. Tith, J.-S. Lee, H. Suzuki, W. M. A. B. Wijesundara, N. Taira, T. Obi, et al. Patient consent management by a purpose-based consent model for electronic health record based on blockchain technology. Healthcare Informatics Research, 2020. doi:10.4258/hir.2020.26.4.265</w:t>
      </w:r>
    </w:p>
    <w:p>
      <w:pPr>
        <w:tabs>
          <w:tab w:val="left" w:pos="560"/>
        </w:tabs>
        <w:spacing w:after="50" w:line="240"/>
        <w:ind w:left="560" w:hanging="560"/>
        <w:jc w:val="left"/>
      </w:pPr>
      <w:r>
        <w:rPr>
          <w:rFonts w:ascii="Times New Roman" w:cs="Times New Roman" w:eastAsia="Times New Roman" w:hAnsi="Times New Roman"/>
          <w:sz w:val="18"/>
          <w:szCs w:val="18"/>
        </w:rPr>
        <w:t xml:space="preserve">[21]	</w:t>
      </w:r>
      <w:r>
        <w:rPr>
          <w:rFonts w:ascii="Times New Roman" w:cs="Times New Roman" w:eastAsia="Times New Roman" w:hAnsi="Times New Roman"/>
          <w:sz w:val="18"/>
          <w:szCs w:val="18"/>
        </w:rPr>
        <w:t xml:space="preserve">A. Punia, P. Gulia, N.S. Gill, D. Kaushik, N. Alduaiji, P.K. Shukla, et al. An access control system for cloud-based healthcare systems driven by blockchain. Journal of Cloud Computing, 2025. doi:10.1186/s13677-025-00831-z</w:t>
      </w:r>
    </w:p>
    <w:p>
      <w:pPr>
        <w:tabs>
          <w:tab w:val="left" w:pos="560"/>
        </w:tabs>
        <w:spacing w:after="50" w:line="240"/>
        <w:ind w:left="560" w:hanging="560"/>
        <w:jc w:val="left"/>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K.-L. Tan, C.-H. Chi, and K.-Y. Lam. Secure and privacy-preserving sharing of personal health records with multi-party pre-authorization verification. Wireless Networks, 2024. doi:10.1007/s11276-022-03114-6</w:t>
      </w:r>
    </w:p>
    <w:p>
      <w:pPr>
        <w:tabs>
          <w:tab w:val="left" w:pos="560"/>
        </w:tabs>
        <w:spacing w:after="50" w:line="240"/>
        <w:ind w:left="560" w:hanging="560"/>
        <w:jc w:val="left"/>
      </w:pPr>
      <w:r>
        <w:rPr>
          <w:rFonts w:ascii="Times New Roman" w:cs="Times New Roman" w:eastAsia="Times New Roman" w:hAnsi="Times New Roman"/>
          <w:sz w:val="18"/>
          <w:szCs w:val="18"/>
        </w:rPr>
        <w:t xml:space="preserve">[23]	</w:t>
      </w:r>
      <w:r>
        <w:rPr>
          <w:rFonts w:ascii="Times New Roman" w:cs="Times New Roman" w:eastAsia="Times New Roman" w:hAnsi="Times New Roman"/>
          <w:sz w:val="18"/>
          <w:szCs w:val="18"/>
        </w:rPr>
        <w:t xml:space="preserve">K. Ekholm, A. Augustinsson, J. Sundström, C. Johansen, M. Storgärds, L. Ljöstad, et al. Implementing electronic informed consent in rare disease genomics. Scientific Reports, 2025. doi:10.1038/s41598-025-32740-1</w:t>
      </w:r>
    </w:p>
    <w:p>
      <w:pPr>
        <w:tabs>
          <w:tab w:val="left" w:pos="560"/>
        </w:tabs>
        <w:spacing w:after="50" w:line="240"/>
        <w:ind w:left="560" w:hanging="560"/>
        <w:jc w:val="left"/>
      </w:pPr>
      <w:r>
        <w:rPr>
          <w:rFonts w:ascii="Times New Roman" w:cs="Times New Roman" w:eastAsia="Times New Roman" w:hAnsi="Times New Roman"/>
          <w:sz w:val="18"/>
          <w:szCs w:val="18"/>
        </w:rPr>
        <w:t xml:space="preserve">[24]	</w:t>
      </w:r>
      <w:r>
        <w:rPr>
          <w:rFonts w:ascii="Times New Roman" w:cs="Times New Roman" w:eastAsia="Times New Roman" w:hAnsi="Times New Roman"/>
          <w:sz w:val="18"/>
          <w:szCs w:val="18"/>
        </w:rPr>
        <w:t xml:space="preserve">A. U. Eneh, L. A. C. Ahakonye, J. M. Lee, and D.-S. Kim. Demo: EdgeConsent: On-Chain Attribute-Based Access Control for Data Consent Management. 2026 IEEE International Conference on Blockchain and Cryptocurrency (ICBC), 2026. doi:10.1109/ICBC67748.2026.11575534</w:t>
      </w:r>
    </w:p>
    <w:p>
      <w:pPr>
        <w:tabs>
          <w:tab w:val="left" w:pos="560"/>
        </w:tabs>
        <w:spacing w:after="50" w:line="240"/>
        <w:ind w:left="560" w:hanging="560"/>
        <w:jc w:val="left"/>
      </w:pPr>
      <w:r>
        <w:rPr>
          <w:rFonts w:ascii="Times New Roman" w:cs="Times New Roman" w:eastAsia="Times New Roman" w:hAnsi="Times New Roman"/>
          <w:sz w:val="18"/>
          <w:szCs w:val="18"/>
        </w:rPr>
        <w:t xml:space="preserve">[25]	</w:t>
      </w:r>
      <w:r>
        <w:rPr>
          <w:rFonts w:ascii="Times New Roman" w:cs="Times New Roman" w:eastAsia="Times New Roman" w:hAnsi="Times New Roman"/>
          <w:sz w:val="18"/>
          <w:szCs w:val="18"/>
        </w:rPr>
        <w:t xml:space="preserve">D.P. Panagoulias, A.I. Damian, C. Stamate, V. Toderian, P. Butusina, A. De Franceschi, et al. Blockchain-Enabled Trust and Compliance for Clinical AI: Decentralized Governance Without Decentralized Data Storage. Electronics, 2026. doi:10.3390/electronics15143046</w:t>
      </w:r>
    </w:p>
    <w:p>
      <w:pPr>
        <w:tabs>
          <w:tab w:val="left" w:pos="560"/>
        </w:tabs>
        <w:spacing w:after="50" w:line="240"/>
        <w:ind w:left="560" w:hanging="560"/>
        <w:jc w:val="left"/>
      </w:pPr>
      <w:r>
        <w:rPr>
          <w:rFonts w:ascii="Times New Roman" w:cs="Times New Roman" w:eastAsia="Times New Roman" w:hAnsi="Times New Roman"/>
          <w:sz w:val="18"/>
          <w:szCs w:val="18"/>
        </w:rPr>
        <w:t xml:space="preserve">[26]	</w:t>
      </w:r>
      <w:r>
        <w:rPr>
          <w:rFonts w:ascii="Times New Roman" w:cs="Times New Roman" w:eastAsia="Times New Roman" w:hAnsi="Times New Roman"/>
          <w:sz w:val="18"/>
          <w:szCs w:val="18"/>
        </w:rPr>
        <w:t xml:space="preserve">I. Román-Martínez, J. Calvillo-Arbizu, V. J. Mayor-Gallego, G. Madinabeitia-Luque, A. J. Estepa-Alonso, and R. M. Estepa-Alonso. Blockchain-Based Service-Oriented Architecture for Consent Management, Access Control, and Auditing. IEEE Access, 2023. doi:10.1109/ACCESS.2023.3242605</w:t>
      </w:r>
    </w:p>
    <w:p>
      <w:pPr>
        <w:tabs>
          <w:tab w:val="left" w:pos="560"/>
        </w:tabs>
        <w:spacing w:after="50" w:line="240"/>
        <w:ind w:left="560" w:hanging="560"/>
        <w:jc w:val="left"/>
      </w:pPr>
      <w:r>
        <w:rPr>
          <w:rFonts w:ascii="Times New Roman" w:cs="Times New Roman" w:eastAsia="Times New Roman" w:hAnsi="Times New Roman"/>
          <w:sz w:val="18"/>
          <w:szCs w:val="18"/>
        </w:rPr>
        <w:t xml:space="preserve">[27]	</w:t>
      </w:r>
      <w:r>
        <w:rPr>
          <w:rFonts w:ascii="Times New Roman" w:cs="Times New Roman" w:eastAsia="Times New Roman" w:hAnsi="Times New Roman"/>
          <w:sz w:val="18"/>
          <w:szCs w:val="18"/>
        </w:rPr>
        <w:t xml:space="preserve">Behnam Khayer, Siamak Mirzaei, Hooman Alavizadeh, and Ahmad Salehi Shahraki. Blockchain for secure IoT: A review of identity management, access control, and trust mechanisms. IoT, 6(4):65, 2025.</w:t>
      </w:r>
    </w:p>
    <w:p>
      <w:pPr>
        <w:tabs>
          <w:tab w:val="left" w:pos="560"/>
        </w:tabs>
        <w:spacing w:after="50" w:line="240"/>
        <w:ind w:left="560" w:hanging="560"/>
        <w:jc w:val="left"/>
      </w:pPr>
      <w:r>
        <w:rPr>
          <w:rFonts w:ascii="Times New Roman" w:cs="Times New Roman" w:eastAsia="Times New Roman" w:hAnsi="Times New Roman"/>
          <w:sz w:val="18"/>
          <w:szCs w:val="18"/>
        </w:rPr>
        <w:t xml:space="preserve">[28]	</w:t>
      </w:r>
      <w:r>
        <w:rPr>
          <w:rFonts w:ascii="Times New Roman" w:cs="Times New Roman" w:eastAsia="Times New Roman" w:hAnsi="Times New Roman"/>
          <w:sz w:val="18"/>
          <w:szCs w:val="18"/>
        </w:rPr>
        <w:t xml:space="preserve">J. C. Ferreira, R. Correia, L. Rosário, and A. Vila. Blockchain Integration for Trust and Consent Management in MCP-Enabled FHIR Systems. 2025 IEEE International Conference on Distributed Ledger Technologies (ICDLT), 2025. doi:10.1109/ICDLT66400.2025.11466653</w:t>
      </w:r>
    </w:p>
    <w:p>
      <w:pPr>
        <w:tabs>
          <w:tab w:val="left" w:pos="560"/>
        </w:tabs>
        <w:spacing w:after="50" w:line="240"/>
        <w:ind w:left="560" w:hanging="560"/>
        <w:jc w:val="left"/>
      </w:pPr>
      <w:r>
        <w:rPr>
          <w:rFonts w:ascii="Times New Roman" w:cs="Times New Roman" w:eastAsia="Times New Roman" w:hAnsi="Times New Roman"/>
          <w:sz w:val="18"/>
          <w:szCs w:val="18"/>
        </w:rPr>
        <w:t xml:space="preserve">[29]	</w:t>
      </w:r>
      <w:r>
        <w:rPr>
          <w:rFonts w:ascii="Times New Roman" w:cs="Times New Roman" w:eastAsia="Times New Roman" w:hAnsi="Times New Roman"/>
          <w:sz w:val="18"/>
          <w:szCs w:val="18"/>
        </w:rPr>
        <w:t xml:space="preserve">Alexander Kharlamov, Roland Hohmann, and Glenn Parry. Data sharing decisions: perceptions and intentions in healthcare. Strategic Change, 32(6):223–237,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[30]	</w:t>
      </w:r>
      <w:r>
        <w:rPr>
          <w:rFonts w:ascii="Times New Roman" w:cs="Times New Roman" w:eastAsia="Times New Roman" w:hAnsi="Times New Roman"/>
          <w:sz w:val="18"/>
          <w:szCs w:val="18"/>
        </w:rPr>
        <w:t xml:space="preserve">Pranto Kumar Ghosh, Arindom Chakraborty, Mehedi Hasan, Khalid Rashid, and Abdul Hasib Siddique. Blockchain application in healthcare systems: A review. Systems, 11(1):38,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[31]	</w:t>
      </w:r>
      <w:r>
        <w:rPr>
          <w:rFonts w:ascii="Times New Roman" w:cs="Times New Roman" w:eastAsia="Times New Roman" w:hAnsi="Times New Roman"/>
          <w:sz w:val="18"/>
          <w:szCs w:val="18"/>
        </w:rPr>
        <w:t xml:space="preserve">Mohammad Salar Arbabi, Chhagan Lal, Narasimha Raghavan Veeraragavan, Dusica Marijan, Jan F. Nygård, and Roman Vitenberg. A survey on blockchain for healthcare: Challenges, benefits, and future directions. IEEE Communications Surveys &amp; Tutorials, 25(1):386–424,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[32]	</w:t>
      </w:r>
      <w:r>
        <w:rPr>
          <w:rFonts w:ascii="Times New Roman" w:cs="Times New Roman" w:eastAsia="Times New Roman" w:hAnsi="Times New Roman"/>
          <w:sz w:val="18"/>
          <w:szCs w:val="18"/>
        </w:rPr>
        <w:t xml:space="preserve">Mohammad Nawab Turan, Irshad Ahmed Hashimzai, and Mohammad Qaseem Qiam. A blockchain-based framework for secure and transparent environmental data sharing in smart cities: Enhancing trust, integrity, and interoperability in urban sustainability systems. Nata Palemahan: Journal of Environmental Engineering Innovations, 2(2):70–79, 2025.</w:t>
      </w:r>
    </w:p>
    <w:p>
      <w:pPr>
        <w:tabs>
          <w:tab w:val="left" w:pos="560"/>
        </w:tabs>
        <w:spacing w:after="50" w:line="240"/>
        <w:ind w:left="560" w:hanging="560"/>
        <w:jc w:val="left"/>
      </w:pPr>
      <w:r>
        <w:rPr>
          <w:rFonts w:ascii="Times New Roman" w:cs="Times New Roman" w:eastAsia="Times New Roman" w:hAnsi="Times New Roman"/>
          <w:sz w:val="18"/>
          <w:szCs w:val="18"/>
        </w:rPr>
        <w:t xml:space="preserve">[33]	</w:t>
      </w:r>
      <w:r>
        <w:rPr>
          <w:rFonts w:ascii="Times New Roman" w:cs="Times New Roman" w:eastAsia="Times New Roman" w:hAnsi="Times New Roman"/>
          <w:sz w:val="18"/>
          <w:szCs w:val="18"/>
        </w:rPr>
        <w:t xml:space="preserve">Jie Yin, Yang Xiao, Qian Chen, Xuefeng Liu, Qingqi Pei, Jianying Zhou, et al. DP-DID: A dynamic and proactive decentralized identity system. IEEE Transactions on Information Forensics and Security, 20:4999–5014, 2025.</w:t>
      </w:r>
    </w:p>
    <w:p>
      <w:pPr>
        <w:tabs>
          <w:tab w:val="left" w:pos="560"/>
        </w:tabs>
        <w:spacing w:after="50" w:line="240"/>
        <w:ind w:left="560" w:hanging="560"/>
        <w:jc w:val="left"/>
      </w:pPr>
      <w:r>
        <w:rPr>
          <w:rFonts w:ascii="Times New Roman" w:cs="Times New Roman" w:eastAsia="Times New Roman" w:hAnsi="Times New Roman"/>
          <w:sz w:val="18"/>
          <w:szCs w:val="18"/>
        </w:rPr>
        <w:t xml:space="preserve">[34]	</w:t>
      </w:r>
      <w:r>
        <w:rPr>
          <w:rFonts w:ascii="Times New Roman" w:cs="Times New Roman" w:eastAsia="Times New Roman" w:hAnsi="Times New Roman"/>
          <w:sz w:val="18"/>
          <w:szCs w:val="18"/>
        </w:rPr>
        <w:t xml:space="preserve">Haotian Deng, Jinwen Liang, Chuan Zhang, Ximeng Liu, Liehuang Zhu, and Song Guo. FutureDID: A fully decentralized identity system with multi-party verification. IEEE Transactions on Computers, 73(8):2051–2065, 2024.</w:t>
      </w:r>
    </w:p>
    <w:p>
      <w:pPr>
        <w:tabs>
          <w:tab w:val="left" w:pos="560"/>
        </w:tabs>
        <w:spacing w:after="50" w:line="240"/>
        <w:ind w:left="560" w:hanging="560"/>
        <w:jc w:val="left"/>
      </w:pPr>
      <w:r>
        <w:rPr>
          <w:rFonts w:ascii="Times New Roman" w:cs="Times New Roman" w:eastAsia="Times New Roman" w:hAnsi="Times New Roman"/>
          <w:sz w:val="18"/>
          <w:szCs w:val="18"/>
        </w:rPr>
        <w:t xml:space="preserve">[35]	</w:t>
      </w:r>
      <w:r>
        <w:rPr>
          <w:rFonts w:ascii="Times New Roman" w:cs="Times New Roman" w:eastAsia="Times New Roman" w:hAnsi="Times New Roman"/>
          <w:sz w:val="18"/>
          <w:szCs w:val="18"/>
        </w:rPr>
        <w:t xml:space="preserve">Chalima Dimitra Nassar Kyriakidou, Athanasia Maria Papathanasiou, and George C. Polyzos. Decentralized identity with applications to security and privacy for the internet of things. Computer Networks and Communications, 1(2):244–271,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[36]	</w:t>
      </w:r>
      <w:r>
        <w:rPr>
          <w:rFonts w:ascii="Times New Roman" w:cs="Times New Roman" w:eastAsia="Times New Roman" w:hAnsi="Times New Roman"/>
          <w:sz w:val="18"/>
          <w:szCs w:val="18"/>
        </w:rPr>
        <w:t xml:space="preserve">Rohini Poolat Parameswarath, Prosanta Gope, and Biplab Sikdar. User-empowered privacy-preserving authentication protocol for electric vehicle charging based on decentralized identity and verifiable credential. ACM Transactions on Management Information Systems, 13(4):1–21, 2022.</w:t>
      </w:r>
    </w:p>
    <w:p>
      <w:pPr>
        <w:tabs>
          <w:tab w:val="left" w:pos="560"/>
        </w:tabs>
        <w:spacing w:after="50" w:line="240"/>
        <w:ind w:left="560" w:hanging="560"/>
        <w:jc w:val="left"/>
      </w:pPr>
      <w:r>
        <w:rPr>
          <w:rFonts w:ascii="Times New Roman" w:cs="Times New Roman" w:eastAsia="Times New Roman" w:hAnsi="Times New Roman"/>
          <w:sz w:val="18"/>
          <w:szCs w:val="18"/>
        </w:rPr>
        <w:t xml:space="preserve">[37]	</w:t>
      </w:r>
      <w:r>
        <w:rPr>
          <w:rFonts w:ascii="Times New Roman" w:cs="Times New Roman" w:eastAsia="Times New Roman" w:hAnsi="Times New Roman"/>
          <w:sz w:val="18"/>
          <w:szCs w:val="18"/>
        </w:rPr>
        <w:t xml:space="preserve">Hongjian Yin, Yiming Zhao, Lei Zhang, Baojun Qiao, Wenbo Chen, and Huaqing Wang. Attribute-based searchable encryption with decentralized key management for healthcare data sharing. Journal of Systems Architecture, 148:103081, 2024.</w:t>
      </w:r>
    </w:p>
    <w:p>
      <w:pPr>
        <w:tabs>
          <w:tab w:val="left" w:pos="560"/>
        </w:tabs>
        <w:spacing w:after="50" w:line="240"/>
        <w:ind w:left="560" w:hanging="560"/>
        <w:jc w:val="left"/>
      </w:pPr>
      <w:r>
        <w:rPr>
          <w:rFonts w:ascii="Times New Roman" w:cs="Times New Roman" w:eastAsia="Times New Roman" w:hAnsi="Times New Roman"/>
          <w:sz w:val="18"/>
          <w:szCs w:val="18"/>
        </w:rPr>
        <w:t xml:space="preserve">[38]	</w:t>
      </w:r>
      <w:r>
        <w:rPr>
          <w:rFonts w:ascii="Times New Roman" w:cs="Times New Roman" w:eastAsia="Times New Roman" w:hAnsi="Times New Roman"/>
          <w:sz w:val="18"/>
          <w:szCs w:val="18"/>
        </w:rPr>
        <w:t xml:space="preserve">Rong Jiang, Xue Chen, Yimin Yu, Ying Zhang, and Weiping Ding. Risk and UCON-based access control model for healthcare big data. Journal of Big Data, 10(1):104,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[39]	</w:t>
      </w:r>
      <w:r>
        <w:rPr>
          <w:rFonts w:ascii="Times New Roman" w:cs="Times New Roman" w:eastAsia="Times New Roman" w:hAnsi="Times New Roman"/>
          <w:sz w:val="18"/>
          <w:szCs w:val="18"/>
        </w:rPr>
        <w:t xml:space="preserve">Matthew J. Page, Joanne E. McKenzie, Patrick M. Bossuyt, Isabelle Boutron, Tammy C. Hoffmann, Cynthia D. Mulrow, et al. The PRISMA 2020 statement: an updated guideline for reporting systematic reviews. BMJ, 372:n71, 2021.</w:t>
      </w:r>
    </w:p>
    <w:p>
      <w:pPr>
        <w:tabs>
          <w:tab w:val="left" w:pos="560"/>
        </w:tabs>
        <w:spacing w:after="50" w:line="240"/>
        <w:ind w:left="560" w:hanging="560"/>
        <w:jc w:val="left"/>
      </w:pPr>
      <w:r>
        <w:rPr>
          <w:rFonts w:ascii="Times New Roman" w:cs="Times New Roman" w:eastAsia="Times New Roman" w:hAnsi="Times New Roman"/>
          <w:sz w:val="18"/>
          <w:szCs w:val="18"/>
        </w:rPr>
        <w:t xml:space="preserve">[40]	</w:t>
      </w:r>
      <w:r>
        <w:rPr>
          <w:rFonts w:ascii="Times New Roman" w:cs="Times New Roman" w:eastAsia="Times New Roman" w:hAnsi="Times New Roman"/>
          <w:sz w:val="18"/>
          <w:szCs w:val="18"/>
        </w:rPr>
        <w:t xml:space="preserve">V. Jaiman and V. Urovi. A Consent Model for Blockchain-Based Health Data Sharing Platforms. IEEE Access, 2020. doi:10.1109/ACCESS.2020.3014565</w:t>
      </w:r>
    </w:p>
    <w:p>
      <w:pPr>
        <w:tabs>
          <w:tab w:val="left" w:pos="560"/>
        </w:tabs>
        <w:spacing w:after="50" w:line="240"/>
        <w:ind w:left="560" w:hanging="560"/>
        <w:jc w:val="left"/>
      </w:pPr>
      <w:r>
        <w:rPr>
          <w:rFonts w:ascii="Times New Roman" w:cs="Times New Roman" w:eastAsia="Times New Roman" w:hAnsi="Times New Roman"/>
          <w:sz w:val="18"/>
          <w:szCs w:val="18"/>
        </w:rPr>
        <w:t xml:space="preserve">[41]	</w:t>
      </w:r>
      <w:r>
        <w:rPr>
          <w:rFonts w:ascii="Times New Roman" w:cs="Times New Roman" w:eastAsia="Times New Roman" w:hAnsi="Times New Roman"/>
          <w:sz w:val="18"/>
          <w:szCs w:val="18"/>
        </w:rPr>
        <w:t xml:space="preserve">F. Albalwy, A. Brass, and A. Davies. A Blockchain-based dynamic consent architecture to support clinical genomic data sharing (ConsentChain): Proof-of-concept study. JMIR Medical Informatics, 2021. doi:10.2196/27816</w:t>
      </w:r>
    </w:p>
    <w:p>
      <w:pPr>
        <w:tabs>
          <w:tab w:val="left" w:pos="560"/>
        </w:tabs>
        <w:spacing w:after="50" w:line="240"/>
        <w:ind w:left="560" w:hanging="560"/>
        <w:jc w:val="left"/>
      </w:pPr>
      <w:r>
        <w:rPr>
          <w:rFonts w:ascii="Times New Roman" w:cs="Times New Roman" w:eastAsia="Times New Roman" w:hAnsi="Times New Roman"/>
          <w:sz w:val="18"/>
          <w:szCs w:val="18"/>
        </w:rPr>
        <w:t xml:space="preserve">[42]	</w:t>
      </w:r>
      <w:r>
        <w:rPr>
          <w:rFonts w:ascii="Times New Roman" w:cs="Times New Roman" w:eastAsia="Times New Roman" w:hAnsi="Times New Roman"/>
          <w:sz w:val="18"/>
          <w:szCs w:val="18"/>
        </w:rPr>
        <w:t xml:space="preserve">H. Li, D. Li, G. Lv, N. Crespi, R. Minerva, W. Shao, et al. Privacy-Preserving Fine-Grained EMR Access Control for IoMT: A Hybrid RBAC-Smart Contract Scheme With Attribute-Based Authorization. IEEE Internet of Things Journal, 2026. doi:10.1109/JIOT.2025.3633504</w:t>
      </w:r>
    </w:p>
    <w:p>
      <w:pPr>
        <w:tabs>
          <w:tab w:val="left" w:pos="560"/>
        </w:tabs>
        <w:spacing w:after="50" w:line="240"/>
        <w:ind w:left="560" w:hanging="560"/>
        <w:jc w:val="left"/>
      </w:pPr>
      <w:r>
        <w:rPr>
          <w:rFonts w:ascii="Times New Roman" w:cs="Times New Roman" w:eastAsia="Times New Roman" w:hAnsi="Times New Roman"/>
          <w:sz w:val="18"/>
          <w:szCs w:val="18"/>
        </w:rPr>
        <w:t xml:space="preserve">[43]	</w:t>
      </w:r>
      <w:r>
        <w:rPr>
          <w:rFonts w:ascii="Times New Roman" w:cs="Times New Roman" w:eastAsia="Times New Roman" w:hAnsi="Times New Roman"/>
          <w:sz w:val="18"/>
          <w:szCs w:val="18"/>
        </w:rPr>
        <w:t xml:space="preserve">S. L. Soohoo, M. S. Keller, Y. Chen, D. Hu, S.-C. Huang, T.-T. Kuo, et al. Development of the authentication and authorization processes for the iAgree portal, a platform for patient-controlled data sharing across health systems. JAMIA Open, 2026. doi:10.1093/jamiaopen/ooag111</w:t>
      </w:r>
    </w:p>
    <w:p>
      <w:pPr>
        <w:tabs>
          <w:tab w:val="left" w:pos="560"/>
        </w:tabs>
        <w:spacing w:after="50" w:line="240"/>
        <w:ind w:left="560" w:hanging="560"/>
        <w:jc w:val="left"/>
      </w:pPr>
      <w:r>
        <w:rPr>
          <w:rFonts w:ascii="Times New Roman" w:cs="Times New Roman" w:eastAsia="Times New Roman" w:hAnsi="Times New Roman"/>
          <w:sz w:val="18"/>
          <w:szCs w:val="18"/>
        </w:rPr>
        <w:t xml:space="preserve">[44]	</w:t>
      </w:r>
      <w:r>
        <w:rPr>
          <w:rFonts w:ascii="Times New Roman" w:cs="Times New Roman" w:eastAsia="Times New Roman" w:hAnsi="Times New Roman"/>
          <w:sz w:val="18"/>
          <w:szCs w:val="18"/>
        </w:rPr>
        <w:t xml:space="preserve">G. Tremper, T. Brenner, M. Ben Amor, T. Kussel, and M. Lablans. Mainzelliste: Ten years of pseudonymization, record linkage, and informed consent management. Patterns, 2026. doi:10.1016/j.patter.2025.101432</w:t>
      </w:r>
    </w:p>
    <w:p>
      <w:pPr>
        <w:tabs>
          <w:tab w:val="left" w:pos="560"/>
        </w:tabs>
        <w:spacing w:after="50" w:line="240"/>
        <w:ind w:left="560" w:hanging="560"/>
        <w:jc w:val="left"/>
      </w:pPr>
      <w:r>
        <w:rPr>
          <w:rFonts w:ascii="Times New Roman" w:cs="Times New Roman" w:eastAsia="Times New Roman" w:hAnsi="Times New Roman"/>
          <w:sz w:val="18"/>
          <w:szCs w:val="18"/>
        </w:rPr>
        <w:t xml:space="preserve">[45]	</w:t>
      </w:r>
      <w:r>
        <w:rPr>
          <w:rFonts w:ascii="Times New Roman" w:cs="Times New Roman" w:eastAsia="Times New Roman" w:hAnsi="Times New Roman"/>
          <w:sz w:val="18"/>
          <w:szCs w:val="18"/>
        </w:rPr>
        <w:t xml:space="preserve">S. Akter and T. F. Sanam. A Blockchain Framework for Secure Healthcare Data Management Using Role-Based Access Control and Smart Contracts. 2025 International Conference on Electrical, Computer and Communication Engineering (ECCE), 2025. doi:10.1109/ECCE64574.2025.11013162</w:t>
      </w:r>
    </w:p>
    <w:p>
      <w:pPr>
        <w:tabs>
          <w:tab w:val="left" w:pos="560"/>
        </w:tabs>
        <w:spacing w:after="50" w:line="240"/>
        <w:ind w:left="560" w:hanging="560"/>
        <w:jc w:val="left"/>
      </w:pPr>
      <w:r>
        <w:rPr>
          <w:rFonts w:ascii="Times New Roman" w:cs="Times New Roman" w:eastAsia="Times New Roman" w:hAnsi="Times New Roman"/>
          <w:sz w:val="18"/>
          <w:szCs w:val="18"/>
        </w:rPr>
        <w:t xml:space="preserve">[46]	</w:t>
      </w:r>
      <w:r>
        <w:rPr>
          <w:rFonts w:ascii="Times New Roman" w:cs="Times New Roman" w:eastAsia="Times New Roman" w:hAnsi="Times New Roman"/>
          <w:sz w:val="18"/>
          <w:szCs w:val="18"/>
        </w:rPr>
        <w:t xml:space="preserve">M.S. Prashanth, R. Karnati, M.S. Velpuru, and H. Venkateshwara Reddy. Enhancing Health Record Security and Privacy with Blockchain-Based Access Management. Lecture Notes of the Institute for Computer Sciences, Social-Informatics and Telecommunications Engineering, LNICST, 2024. doi:10.1007/978-3-031-66044-3_13</w:t>
      </w:r>
    </w:p>
    <w:p>
      <w:pPr>
        <w:tabs>
          <w:tab w:val="left" w:pos="560"/>
        </w:tabs>
        <w:spacing w:after="50" w:line="240"/>
        <w:ind w:left="560" w:hanging="560"/>
        <w:jc w:val="left"/>
      </w:pPr>
      <w:r>
        <w:rPr>
          <w:rFonts w:ascii="Times New Roman" w:cs="Times New Roman" w:eastAsia="Times New Roman" w:hAnsi="Times New Roman"/>
          <w:sz w:val="18"/>
          <w:szCs w:val="18"/>
        </w:rPr>
        <w:t xml:space="preserve">[47]	</w:t>
      </w:r>
      <w:r>
        <w:rPr>
          <w:rFonts w:ascii="Times New Roman" w:cs="Times New Roman" w:eastAsia="Times New Roman" w:hAnsi="Times New Roman"/>
          <w:sz w:val="18"/>
          <w:szCs w:val="18"/>
        </w:rPr>
        <w:t xml:space="preserve">A. Teeda and Y.V. Subba Rao. A Patient-Centric Blockchain Based Electronic Health Records for Data Privacy and Confidentiality. Lecture Notes in Networks and Systems, 2026. doi:10.1007/978-3-032-08246-6_15</w:t>
      </w:r>
    </w:p>
    <w:p>
      <w:pPr>
        <w:tabs>
          <w:tab w:val="left" w:pos="560"/>
        </w:tabs>
        <w:spacing w:after="50" w:line="240"/>
        <w:ind w:left="560" w:hanging="560"/>
        <w:jc w:val="left"/>
      </w:pPr>
      <w:r>
        <w:rPr>
          <w:rFonts w:ascii="Times New Roman" w:cs="Times New Roman" w:eastAsia="Times New Roman" w:hAnsi="Times New Roman"/>
          <w:sz w:val="18"/>
          <w:szCs w:val="18"/>
        </w:rPr>
        <w:t xml:space="preserve">[48]	</w:t>
      </w:r>
      <w:r>
        <w:rPr>
          <w:rFonts w:ascii="Times New Roman" w:cs="Times New Roman" w:eastAsia="Times New Roman" w:hAnsi="Times New Roman"/>
          <w:sz w:val="18"/>
          <w:szCs w:val="18"/>
        </w:rPr>
        <w:t xml:space="preserve">L. Zhang, H. Kan, and H. Huang. Patient-centered cross-enterprise document sharing and dynamic consent framework using consortium blockchain and ciphertext-policy attribute-based encryption. ACM International Conference Proceeding Series, 2022. doi:10.1145/3528416.3530228</w:t>
      </w:r>
    </w:p>
    <w:p>
      <w:pPr>
        <w:tabs>
          <w:tab w:val="left" w:pos="560"/>
        </w:tabs>
        <w:spacing w:after="50" w:line="240"/>
        <w:ind w:left="560" w:hanging="560"/>
        <w:jc w:val="left"/>
      </w:pPr>
      <w:r>
        <w:rPr>
          <w:rFonts w:ascii="Times New Roman" w:cs="Times New Roman" w:eastAsia="Times New Roman" w:hAnsi="Times New Roman"/>
          <w:sz w:val="18"/>
          <w:szCs w:val="18"/>
        </w:rPr>
        <w:t xml:space="preserve">[49]	</w:t>
      </w:r>
      <w:r>
        <w:rPr>
          <w:rFonts w:ascii="Times New Roman" w:cs="Times New Roman" w:eastAsia="Times New Roman" w:hAnsi="Times New Roman"/>
          <w:sz w:val="18"/>
          <w:szCs w:val="18"/>
        </w:rPr>
        <w:t xml:space="preserve">S. Phuyal, M. Bhandari, R. Bista, and J.C. Ferreira. A Blockchain-Based Architecture for Dynamic and Auditable Patient Consent in Secondary Use of Health Data. Blockchain in Healthcare Today, 2026. doi:10.30953/bhty.v9.491</w:t>
      </w:r>
    </w:p>
    <w:p>
      <w:pPr>
        <w:tabs>
          <w:tab w:val="left" w:pos="560"/>
        </w:tabs>
        <w:spacing w:after="50" w:line="240"/>
        <w:ind w:left="560" w:hanging="560"/>
        <w:jc w:val="left"/>
      </w:pPr>
      <w:r>
        <w:rPr>
          <w:rFonts w:ascii="Times New Roman" w:cs="Times New Roman" w:eastAsia="Times New Roman" w:hAnsi="Times New Roman"/>
          <w:sz w:val="18"/>
          <w:szCs w:val="18"/>
        </w:rPr>
        <w:t xml:space="preserve">[50]	</w:t>
      </w:r>
      <w:r>
        <w:rPr>
          <w:rFonts w:ascii="Times New Roman" w:cs="Times New Roman" w:eastAsia="Times New Roman" w:hAnsi="Times New Roman"/>
          <w:sz w:val="18"/>
          <w:szCs w:val="18"/>
        </w:rPr>
        <w:t xml:space="preserve">C.-H. Tseng, Y.-H. Hsieh, H.-Y. Lin, and S.-M. Yuan. EMR-Chain: Decentralized Electronic Medical Record Exchange System. Technologies, 2025. doi:10.3390/technologies13100446</w:t>
      </w:r>
    </w:p>
    <w:p>
      <w:pPr>
        <w:tabs>
          <w:tab w:val="left" w:pos="560"/>
        </w:tabs>
        <w:spacing w:after="50" w:line="240"/>
        <w:ind w:left="560" w:hanging="560"/>
        <w:jc w:val="left"/>
      </w:pPr>
      <w:r>
        <w:rPr>
          <w:rFonts w:ascii="Times New Roman" w:cs="Times New Roman" w:eastAsia="Times New Roman" w:hAnsi="Times New Roman"/>
          <w:sz w:val="18"/>
          <w:szCs w:val="18"/>
        </w:rPr>
        <w:t xml:space="preserve">[51]	</w:t>
      </w:r>
      <w:r>
        <w:rPr>
          <w:rFonts w:ascii="Times New Roman" w:cs="Times New Roman" w:eastAsia="Times New Roman" w:hAnsi="Times New Roman"/>
          <w:sz w:val="18"/>
          <w:szCs w:val="18"/>
        </w:rPr>
        <w:t xml:space="preserve">Y. Wu, C. Liu, L. Sebald, P. Nguyen, and Y. Yesha. Apply Trust Computing and Privacy Preserving Smart Contracts to Manage, Share, and Analyze Multi-site Clinical Trial Data. In Proceedings of the International Conference on Deep Learning, Big Data and Blockchain (DBB 2022), Lecture Notes in Networks and Systems, vol. 541, pages 3–14. Springer, 2023. doi:10.1007/978-3-031-16035-6_1</w:t>
      </w:r>
    </w:p>
    <w:p>
      <w:pPr>
        <w:tabs>
          <w:tab w:val="left" w:pos="560"/>
        </w:tabs>
        <w:spacing w:after="50" w:line="240"/>
        <w:ind w:left="560" w:hanging="560"/>
        <w:jc w:val="left"/>
      </w:pPr>
      <w:r>
        <w:rPr>
          <w:rFonts w:ascii="Times New Roman" w:cs="Times New Roman" w:eastAsia="Times New Roman" w:hAnsi="Times New Roman"/>
          <w:sz w:val="18"/>
          <w:szCs w:val="18"/>
        </w:rPr>
        <w:t xml:space="preserve">[52]	</w:t>
      </w:r>
      <w:r>
        <w:rPr>
          <w:rFonts w:ascii="Times New Roman" w:cs="Times New Roman" w:eastAsia="Times New Roman" w:hAnsi="Times New Roman"/>
          <w:sz w:val="18"/>
          <w:szCs w:val="18"/>
        </w:rPr>
        <w:t xml:space="preserve">A. Abbasi, M. N. Humeidi, and Q. Wang. Nexa: Enabling Secure, Scalable, and Decentralized Management of Electronic Health Records Using Threshold Cryptography and Public Blockchains. IEEE Access, 2026. doi:10.1109/ACCESS.2026.3677499</w:t>
      </w:r>
    </w:p>
    <w:p>
      <w:pPr>
        <w:tabs>
          <w:tab w:val="left" w:pos="560"/>
        </w:tabs>
        <w:spacing w:after="50" w:line="240"/>
        <w:ind w:left="560" w:hanging="560"/>
        <w:jc w:val="left"/>
      </w:pPr>
      <w:r>
        <w:rPr>
          <w:rFonts w:ascii="Times New Roman" w:cs="Times New Roman" w:eastAsia="Times New Roman" w:hAnsi="Times New Roman"/>
          <w:sz w:val="18"/>
          <w:szCs w:val="18"/>
        </w:rPr>
        <w:t xml:space="preserve">[53]	</w:t>
      </w:r>
      <w:r>
        <w:rPr>
          <w:rFonts w:ascii="Times New Roman" w:cs="Times New Roman" w:eastAsia="Times New Roman" w:hAnsi="Times New Roman"/>
          <w:sz w:val="18"/>
          <w:szCs w:val="18"/>
        </w:rPr>
        <w:t xml:space="preserve">J. Hagström, M. Hägglund, M. Holmroos, P. Lähteenmäki, and I. Hörhammer. Minors’ and guardian access to and use of a national patient portal: A retrospective comparative case study of Sweden and Finland. International Journal of Medical Informatics, 2024. doi:10.1016/j.ijmedinf.2024.105465</w:t>
      </w:r>
    </w:p>
    <w:p>
      <w:pPr>
        <w:tabs>
          <w:tab w:val="left" w:pos="560"/>
        </w:tabs>
        <w:spacing w:after="50" w:line="240"/>
        <w:ind w:left="560" w:hanging="560"/>
        <w:jc w:val="left"/>
      </w:pPr>
      <w:r>
        <w:rPr>
          <w:rFonts w:ascii="Times New Roman" w:cs="Times New Roman" w:eastAsia="Times New Roman" w:hAnsi="Times New Roman"/>
          <w:sz w:val="18"/>
          <w:szCs w:val="18"/>
        </w:rPr>
        <w:t xml:space="preserve">[54]	</w:t>
      </w:r>
      <w:r>
        <w:rPr>
          <w:rFonts w:ascii="Times New Roman" w:cs="Times New Roman" w:eastAsia="Times New Roman" w:hAnsi="Times New Roman"/>
          <w:sz w:val="18"/>
          <w:szCs w:val="18"/>
        </w:rPr>
        <w:t xml:space="preserve">Hema S., Goli Bulli Sai Reddy, and Shalini R. Patient Centric Cryptographic Protection of Cloud Electronic Health Records. 2026 6th International Conference on Expert Clouds and Applications (ICOECA), 2026. doi:10.1109/ICOECA68095.2026.11485301</w:t>
      </w:r>
    </w:p>
    <w:p>
      <w:pPr>
        <w:tabs>
          <w:tab w:val="left" w:pos="560"/>
        </w:tabs>
        <w:spacing w:after="50" w:line="240"/>
        <w:ind w:left="560" w:hanging="560"/>
        <w:jc w:val="left"/>
      </w:pPr>
      <w:r>
        <w:rPr>
          <w:rFonts w:ascii="Times New Roman" w:cs="Times New Roman" w:eastAsia="Times New Roman" w:hAnsi="Times New Roman"/>
          <w:sz w:val="18"/>
          <w:szCs w:val="18"/>
        </w:rPr>
        <w:t xml:space="preserve">[55]	</w:t>
      </w:r>
      <w:r>
        <w:rPr>
          <w:rFonts w:ascii="Times New Roman" w:cs="Times New Roman" w:eastAsia="Times New Roman" w:hAnsi="Times New Roman"/>
          <w:sz w:val="18"/>
          <w:szCs w:val="18"/>
        </w:rPr>
        <w:t xml:space="preserve">J. Zhao and Q. Su. A threshold traceable delegation authorization scheme for data sharing in healthcare. Computers &amp; Security, 139:103686, 2024. doi:10.1016/j.cose.2023.103686</w:t>
      </w:r>
    </w:p>
    <w:p>
      <w:pPr>
        <w:tabs>
          <w:tab w:val="left" w:pos="560"/>
        </w:tabs>
        <w:spacing w:after="50" w:line="240"/>
        <w:ind w:left="560" w:hanging="560"/>
        <w:jc w:val="left"/>
      </w:pPr>
      <w:r>
        <w:rPr>
          <w:rFonts w:ascii="Times New Roman" w:cs="Times New Roman" w:eastAsia="Times New Roman" w:hAnsi="Times New Roman"/>
          <w:sz w:val="18"/>
          <w:szCs w:val="18"/>
        </w:rPr>
        <w:t xml:space="preserve">[56]	</w:t>
      </w:r>
      <w:r>
        <w:rPr>
          <w:rFonts w:ascii="Times New Roman" w:cs="Times New Roman" w:eastAsia="Times New Roman" w:hAnsi="Times New Roman"/>
          <w:sz w:val="18"/>
          <w:szCs w:val="18"/>
        </w:rPr>
        <w:t xml:space="preserve">V. Maruthi and K. Singh. Enhancing Security and Privacy of IoMT Data for Unconscious Patient With Blockchain. IEEE Transactions on Network and Service Management, 2025. doi:10.1109/TNSM.2025.3602117</w:t>
      </w:r>
    </w:p>
    <w:p>
      <w:pPr>
        <w:tabs>
          <w:tab w:val="left" w:pos="560"/>
        </w:tabs>
        <w:spacing w:after="50" w:line="240"/>
        <w:ind w:left="560" w:hanging="560"/>
        <w:jc w:val="left"/>
      </w:pPr>
      <w:r>
        <w:rPr>
          <w:rFonts w:ascii="Times New Roman" w:cs="Times New Roman" w:eastAsia="Times New Roman" w:hAnsi="Times New Roman"/>
          <w:sz w:val="18"/>
          <w:szCs w:val="18"/>
        </w:rPr>
        <w:t xml:space="preserve">[57]	</w:t>
      </w:r>
      <w:r>
        <w:rPr>
          <w:rFonts w:ascii="Times New Roman" w:cs="Times New Roman" w:eastAsia="Times New Roman" w:hAnsi="Times New Roman"/>
          <w:sz w:val="18"/>
          <w:szCs w:val="18"/>
        </w:rPr>
        <w:t xml:space="preserve">L. Mei, K. Huang, X. Li, H. Wang, and X. Zhang. Efficient Dual-Revocation CP-ABE for Secure and Fine-Grained Data Sharing in IoMT. IEEE Internet of Things Journal, 2026. doi:10.1109/JIOT.2026.3685269</w:t>
      </w:r>
    </w:p>
    <w:p>
      <w:pPr>
        <w:tabs>
          <w:tab w:val="left" w:pos="560"/>
        </w:tabs>
        <w:spacing w:after="50" w:line="240"/>
        <w:ind w:left="560" w:hanging="560"/>
        <w:jc w:val="left"/>
      </w:pPr>
      <w:r>
        <w:rPr>
          <w:rFonts w:ascii="Times New Roman" w:cs="Times New Roman" w:eastAsia="Times New Roman" w:hAnsi="Times New Roman"/>
          <w:sz w:val="18"/>
          <w:szCs w:val="18"/>
        </w:rPr>
        <w:t xml:space="preserve">[58]	</w:t>
      </w:r>
      <w:r>
        <w:rPr>
          <w:rFonts w:ascii="Times New Roman" w:cs="Times New Roman" w:eastAsia="Times New Roman" w:hAnsi="Times New Roman"/>
          <w:sz w:val="18"/>
          <w:szCs w:val="18"/>
        </w:rPr>
        <w:t xml:space="preserve">M. Al Amin, A. Altarawneh, and I. Ray. Informed Consent as Patient Driven Policy for Clinical Diagnosis and Treatment: A Smart Contract Based Approach. Proceedings of the International Conference on Security and Cryptography, 2023. doi:10.5220/0012090600003555</w:t>
      </w:r>
    </w:p>
    <w:p>
      <w:pPr>
        <w:tabs>
          <w:tab w:val="left" w:pos="560"/>
        </w:tabs>
        <w:spacing w:after="50" w:line="240"/>
        <w:ind w:left="560" w:hanging="560"/>
        <w:jc w:val="left"/>
      </w:pPr>
      <w:r>
        <w:rPr>
          <w:rFonts w:ascii="Times New Roman" w:cs="Times New Roman" w:eastAsia="Times New Roman" w:hAnsi="Times New Roman"/>
          <w:sz w:val="18"/>
          <w:szCs w:val="18"/>
        </w:rPr>
        <w:t xml:space="preserve">[59]	</w:t>
      </w:r>
      <w:r>
        <w:rPr>
          <w:rFonts w:ascii="Times New Roman" w:cs="Times New Roman" w:eastAsia="Times New Roman" w:hAnsi="Times New Roman"/>
          <w:sz w:val="18"/>
          <w:szCs w:val="18"/>
        </w:rPr>
        <w:t xml:space="preserve">M. Shanmugham and C. Senthilkumar. Blockchain Enabled Self-Sovereign Identity and Consent Framework for Secure Healthcare Data Access. 2026 3rd International Conference on Emerging Trends in Engineering and Medical Sciences (ICETEMS), 2026. doi:10.1109/ICETEMS66917.2026.11469586</w:t>
      </w:r>
    </w:p>
    <w:p>
      <w:pPr>
        <w:tabs>
          <w:tab w:val="left" w:pos="560"/>
        </w:tabs>
        <w:spacing w:after="50" w:line="240"/>
        <w:ind w:left="560" w:hanging="560"/>
        <w:jc w:val="left"/>
      </w:pPr>
      <w:r>
        <w:rPr>
          <w:rFonts w:ascii="Times New Roman" w:cs="Times New Roman" w:eastAsia="Times New Roman" w:hAnsi="Times New Roman"/>
          <w:sz w:val="18"/>
          <w:szCs w:val="18"/>
        </w:rPr>
        <w:t xml:space="preserve">[60]	</w:t>
      </w:r>
      <w:r>
        <w:rPr>
          <w:rFonts w:ascii="Times New Roman" w:cs="Times New Roman" w:eastAsia="Times New Roman" w:hAnsi="Times New Roman"/>
          <w:sz w:val="18"/>
          <w:szCs w:val="18"/>
        </w:rPr>
        <w:t xml:space="preserve">N.M. Sawant and J. Gomes. A Decentralized Solution for Smarter and Safer Healthcare Systems with FabricMedChain. Iranian Journal of Science and Technology, Transactions of Electrical Engineering, 2026. doi:10.1007/s40998-025-00994-0</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22df1687083c1aa86c90931669619b25666899b.png"/><Relationship Id="rId9" Type="http://schemas.openxmlformats.org/officeDocument/2006/relationships/image" Target="media/759e288d014dfc281b63ba10a0a103690581aa0b.png"/><Relationship Id="rId10" Type="http://schemas.openxmlformats.org/officeDocument/2006/relationships/image" Target="media/7f691d763dba86ee49b25518e490fe406bd1e793.png"/><Relationship Id="rId11" Type="http://schemas.openxmlformats.org/officeDocument/2006/relationships/image" Target="media/0fc1020c5f2d577fb45977f6ee9d775a5b66ce0a.png"/><Relationship Id="rId12" Type="http://schemas.openxmlformats.org/officeDocument/2006/relationships/image" Target="media/5dda75865b8a7d4d8bbd3d4e406d6ac57f913b3c.png"/><Relationship Id="rId13" Type="http://schemas.openxmlformats.org/officeDocument/2006/relationships/image" Target="media/9becb05c4a6101f5d421517f324e978051b8cf09.png"/><Relationship Id="rId14" Type="http://schemas.openxmlformats.org/officeDocument/2006/relationships/image" Target="media/6f692c439de61f2c2064c85f12b2c7408b6da610.png"/><Relationship Id="rId15" Type="http://schemas.openxmlformats.org/officeDocument/2006/relationships/image" Target="media/efcb745b76bd75b54bf53f1c859df350299a2c6a.png"/><Relationship Id="rId16" Type="http://schemas.openxmlformats.org/officeDocument/2006/relationships/image" Target="media/11081a2422bebced6d030d22f0ebf13798832173.png"/><Relationship Id="rId17" Type="http://schemas.openxmlformats.org/officeDocument/2006/relationships/image" Target="media/cb3ff9df210f6ca37563bb96441f27f5987b686b.png"/><Relationship Id="rId18" Type="http://schemas.openxmlformats.org/officeDocument/2006/relationships/image" Target="media/70806ca075a018d1832052673cf0a8a54f10cc25.png"/><Relationship Id="rId19" Type="http://schemas.openxmlformats.org/officeDocument/2006/relationships/image" Target="media/4eba5d9267467f413da1872413e65d2897ea5f8d.png"/><Relationship Id="rId20" Type="http://schemas.openxmlformats.org/officeDocument/2006/relationships/image" Target="media/1a88f385ea18ee24f3143e2be805b94b95340d8c.png"/><Relationship Id="rId21" Type="http://schemas.openxmlformats.org/officeDocument/2006/relationships/image" Target="media/9d7e95eb43f6e9e653dbde9cb6afb2c4db7f0f36.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a5b9b3ccbbdd73d6bbf6c105cedc858a5966b7f9.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437d3b5dafb646c4afc365beb5e51e2de16280e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8d37ec6dfd7b5ada41ed458b574790aaa33c10b0.png"/><Relationship Id="rId33" Type="http://schemas.openxmlformats.org/officeDocument/2006/relationships/image" Target="media/5d3d88fec89ad26a975f334cd92619aa2ce50806.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CA2 Report: A Trusted Authorization Framework for Multi-Party Patient Consent in Healthcare Data Sharing</dc:title>
  <dc:creator>Yasir Dhaifallah O Alyoubi</dc:creator>
  <cp:lastModifiedBy>Un-named</cp:lastModifiedBy>
  <cp:revision>1</cp:revision>
  <dcterms:created xsi:type="dcterms:W3CDTF">2026-10-02T11:49:45.380Z</dcterms:created>
  <dcterms:modified xsi:type="dcterms:W3CDTF">2026-10-02T11:49:45.380Z</dcterms:modified>
</cp:coreProperties>
</file>

<file path=docProps/custom.xml><?xml version="1.0" encoding="utf-8"?>
<Properties xmlns="http://schemas.openxmlformats.org/officeDocument/2006/custom-properties" xmlns:vt="http://schemas.openxmlformats.org/officeDocument/2006/docPropsVTypes"/>
</file>