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.03. If the salesperson contacts 100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08">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9">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A">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B">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0C">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0D">
      <w:pPr>
        <w:pageBreakBefore w:val="0"/>
        <w:numPr>
          <w:ilvl w:val="0"/>
          <w:numId w:val="2"/>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0E">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0F">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14">
      <w:pPr>
        <w:pageBreakBefore w:val="0"/>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15">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