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2CE" w:rsidRDefault="006B02CE" w:rsidP="006B02CE">
      <w:pPr>
        <w:jc w:val="center"/>
        <w:rPr>
          <w:sz w:val="40"/>
          <w:szCs w:val="40"/>
        </w:rPr>
      </w:pPr>
      <w:bookmarkStart w:id="0" w:name="_GoBack"/>
      <w:bookmarkEnd w:id="0"/>
      <w:r>
        <w:rPr>
          <w:sz w:val="40"/>
          <w:szCs w:val="40"/>
        </w:rPr>
        <w:t>GENERALIZACION Y ESPECIALIZACION</w:t>
      </w:r>
    </w:p>
    <w:p w:rsidR="006B02CE" w:rsidRDefault="006B02CE" w:rsidP="006B02CE">
      <w:pPr>
        <w:jc w:val="center"/>
        <w:rPr>
          <w:sz w:val="40"/>
          <w:szCs w:val="40"/>
        </w:rPr>
      </w:pPr>
    </w:p>
    <w:p w:rsidR="006B02CE" w:rsidRDefault="006B02CE" w:rsidP="006B02CE">
      <w:pPr>
        <w:jc w:val="center"/>
        <w:rPr>
          <w:sz w:val="40"/>
          <w:szCs w:val="40"/>
        </w:rPr>
      </w:pPr>
    </w:p>
    <w:p w:rsidR="006B02CE" w:rsidRDefault="006B02CE" w:rsidP="006B02CE">
      <w:pPr>
        <w:jc w:val="center"/>
        <w:rPr>
          <w:sz w:val="40"/>
          <w:szCs w:val="40"/>
        </w:rPr>
      </w:pPr>
    </w:p>
    <w:p w:rsidR="006B02CE" w:rsidRDefault="006B02CE" w:rsidP="006B02CE">
      <w:pPr>
        <w:jc w:val="center"/>
        <w:rPr>
          <w:sz w:val="40"/>
          <w:szCs w:val="40"/>
        </w:rPr>
      </w:pPr>
    </w:p>
    <w:p w:rsidR="006B02CE" w:rsidRDefault="006B02CE" w:rsidP="006B02CE">
      <w:pPr>
        <w:jc w:val="right"/>
        <w:rPr>
          <w:sz w:val="32"/>
          <w:szCs w:val="32"/>
        </w:rPr>
      </w:pPr>
      <w:r>
        <w:rPr>
          <w:sz w:val="32"/>
          <w:szCs w:val="32"/>
        </w:rPr>
        <w:t>DARLY YASIRA HENAO LOPEZ</w:t>
      </w:r>
    </w:p>
    <w:p w:rsidR="006B02CE" w:rsidRDefault="006B02CE" w:rsidP="006B02CE">
      <w:pPr>
        <w:jc w:val="right"/>
        <w:rPr>
          <w:sz w:val="32"/>
          <w:szCs w:val="32"/>
        </w:rPr>
      </w:pPr>
      <w:r>
        <w:rPr>
          <w:sz w:val="32"/>
          <w:szCs w:val="32"/>
        </w:rPr>
        <w:t>ADALBERTO</w:t>
      </w:r>
    </w:p>
    <w:p w:rsidR="006B02CE" w:rsidRDefault="006B02CE" w:rsidP="006B02CE">
      <w:pPr>
        <w:jc w:val="right"/>
        <w:rPr>
          <w:sz w:val="32"/>
          <w:szCs w:val="32"/>
        </w:rPr>
      </w:pPr>
      <w:r>
        <w:rPr>
          <w:sz w:val="32"/>
          <w:szCs w:val="32"/>
        </w:rPr>
        <w:t>FICHA: 2026994</w:t>
      </w: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jc w:val="right"/>
        <w:rPr>
          <w:sz w:val="32"/>
          <w:szCs w:val="32"/>
        </w:rPr>
      </w:pPr>
    </w:p>
    <w:p w:rsidR="006B02CE" w:rsidRDefault="006B02CE" w:rsidP="006B02CE">
      <w:pPr>
        <w:rPr>
          <w:sz w:val="32"/>
          <w:szCs w:val="32"/>
        </w:rPr>
      </w:pPr>
      <w:r>
        <w:rPr>
          <w:sz w:val="32"/>
          <w:szCs w:val="32"/>
        </w:rPr>
        <w:lastRenderedPageBreak/>
        <w:t>¿QUE ES GENERALICACION?</w:t>
      </w:r>
    </w:p>
    <w:p w:rsidR="00D769A1" w:rsidRDefault="00D769A1" w:rsidP="006B02CE">
      <w:pPr>
        <w:rPr>
          <w:rFonts w:ascii="Helvetica" w:hAnsi="Helvetica" w:cs="Helvetica"/>
          <w:color w:val="333333"/>
          <w:sz w:val="28"/>
          <w:szCs w:val="28"/>
          <w:shd w:val="clear" w:color="auto" w:fill="FFFFFF"/>
        </w:rPr>
      </w:pPr>
      <w:r w:rsidRPr="00D769A1">
        <w:rPr>
          <w:rFonts w:ascii="Helvetica" w:hAnsi="Helvetica" w:cs="Helvetica"/>
          <w:color w:val="333333"/>
          <w:sz w:val="28"/>
          <w:szCs w:val="28"/>
          <w:shd w:val="clear" w:color="auto" w:fill="FFFFFF"/>
        </w:rPr>
        <w:t>Es el proceso según el cual se crea un conjunto de entidades a partir de otros que comparten ciertos atributos.</w:t>
      </w:r>
      <w:r w:rsidRPr="00D769A1">
        <w:rPr>
          <w:rFonts w:ascii="Helvetica" w:hAnsi="Helvetica" w:cs="Helvetica"/>
          <w:color w:val="333333"/>
          <w:sz w:val="28"/>
          <w:szCs w:val="28"/>
        </w:rPr>
        <w:br/>
      </w:r>
      <w:r w:rsidRPr="00D769A1">
        <w:rPr>
          <w:rFonts w:ascii="Helvetica" w:hAnsi="Helvetica" w:cs="Helvetica"/>
          <w:color w:val="333333"/>
          <w:sz w:val="28"/>
          <w:szCs w:val="28"/>
          <w:shd w:val="clear" w:color="auto" w:fill="FFFFFF"/>
        </w:rPr>
        <w:t>A veces existen situaciones en que sea conveniente cre</w:t>
      </w:r>
      <w:r w:rsidRPr="00D769A1">
        <w:rPr>
          <w:rFonts w:ascii="Times" w:hAnsi="Times" w:cs="Times"/>
          <w:color w:val="333333"/>
          <w:sz w:val="28"/>
          <w:szCs w:val="28"/>
          <w:shd w:val="clear" w:color="auto" w:fill="FFFFFF"/>
        </w:rPr>
        <w:t>ar una entidad como una fusión de otras, en principio, diferentes, aunque con atributos c</w:t>
      </w:r>
      <w:r w:rsidRPr="00D769A1">
        <w:rPr>
          <w:rFonts w:ascii="Helvetica" w:hAnsi="Helvetica" w:cs="Helvetica"/>
          <w:color w:val="333333"/>
          <w:sz w:val="28"/>
          <w:szCs w:val="28"/>
          <w:shd w:val="clear" w:color="auto" w:fill="FFFFFF"/>
        </w:rPr>
        <w:t>omunes. Esto</w:t>
      </w:r>
      <w:r w:rsidRPr="00D769A1">
        <w:rPr>
          <w:rFonts w:ascii="Times" w:hAnsi="Times" w:cs="Times"/>
          <w:color w:val="333333"/>
          <w:sz w:val="28"/>
          <w:szCs w:val="28"/>
          <w:shd w:val="clear" w:color="auto" w:fill="FFFFFF"/>
        </w:rPr>
        <w:t> disminuye el número de c</w:t>
      </w:r>
      <w:r w:rsidRPr="00D769A1">
        <w:rPr>
          <w:rFonts w:ascii="Helvetica" w:hAnsi="Helvetica" w:cs="Helvetica"/>
          <w:color w:val="333333"/>
          <w:sz w:val="28"/>
          <w:szCs w:val="28"/>
          <w:shd w:val="clear" w:color="auto" w:fill="FFFFFF"/>
        </w:rPr>
        <w:t>onjuntos de entidades y facilita el establecimiento de interrelaciones.</w:t>
      </w:r>
      <w:r w:rsidRPr="00D769A1">
        <w:rPr>
          <w:rFonts w:ascii="Helvetica" w:hAnsi="Helvetica" w:cs="Helvetica"/>
          <w:color w:val="333333"/>
          <w:sz w:val="28"/>
          <w:szCs w:val="28"/>
        </w:rPr>
        <w:br/>
      </w:r>
      <w:r w:rsidRPr="00D769A1">
        <w:rPr>
          <w:rFonts w:ascii="Helvetica" w:hAnsi="Helvetica" w:cs="Helvetica"/>
          <w:color w:val="333333"/>
          <w:sz w:val="28"/>
          <w:szCs w:val="28"/>
        </w:rPr>
        <w:br/>
      </w:r>
      <w:r w:rsidRPr="00D769A1">
        <w:rPr>
          <w:rFonts w:ascii="Helvetica" w:hAnsi="Helvetica" w:cs="Helvetica"/>
          <w:color w:val="333333"/>
          <w:sz w:val="28"/>
          <w:szCs w:val="28"/>
          <w:shd w:val="clear" w:color="auto" w:fill="FFFFFF"/>
        </w:rPr>
        <w:t>La especialización es el proceso inverso al de generalización, en lugar de crear una entidad a partir de varias, descomponemos una entidad en varias más especializadas.</w:t>
      </w:r>
      <w:r w:rsidRPr="00D769A1">
        <w:rPr>
          <w:rFonts w:ascii="Helvetica" w:hAnsi="Helvetica" w:cs="Helvetica"/>
          <w:color w:val="333333"/>
          <w:sz w:val="28"/>
          <w:szCs w:val="28"/>
        </w:rPr>
        <w:br/>
      </w:r>
      <w:r w:rsidRPr="00D769A1">
        <w:rPr>
          <w:rFonts w:ascii="Helvetica" w:hAnsi="Helvetica" w:cs="Helvetica"/>
          <w:color w:val="333333"/>
          <w:sz w:val="28"/>
          <w:szCs w:val="28"/>
          <w:shd w:val="clear" w:color="auto" w:fill="FFFFFF"/>
        </w:rPr>
        <w:t>Especialización: es el proceso según el cual se crean varios tipos de entidades a partir de uno. Cada una de los conjuntos de entidades resultantes contendrá sólo algunos de los atributos del conjunto original.</w:t>
      </w:r>
      <w:r w:rsidRPr="00D769A1">
        <w:rPr>
          <w:rFonts w:ascii="Helvetica" w:hAnsi="Helvetica" w:cs="Helvetica"/>
          <w:color w:val="333333"/>
          <w:sz w:val="28"/>
          <w:szCs w:val="28"/>
        </w:rPr>
        <w:br/>
      </w:r>
      <w:r w:rsidRPr="00D769A1">
        <w:rPr>
          <w:rFonts w:ascii="Helvetica" w:hAnsi="Helvetica" w:cs="Helvetica"/>
          <w:color w:val="333333"/>
          <w:sz w:val="28"/>
          <w:szCs w:val="28"/>
        </w:rPr>
        <w:br/>
      </w:r>
      <w:r w:rsidRPr="00D769A1">
        <w:rPr>
          <w:rFonts w:ascii="Helvetica" w:hAnsi="Helvetica" w:cs="Helvetica"/>
          <w:color w:val="333333"/>
          <w:sz w:val="28"/>
          <w:szCs w:val="28"/>
          <w:shd w:val="clear" w:color="auto" w:fill="FFFFFF"/>
        </w:rPr>
        <w:t>Ejemplo:</w:t>
      </w:r>
      <w:r w:rsidRPr="00D769A1">
        <w:rPr>
          <w:rFonts w:ascii="Helvetica" w:hAnsi="Helvetica" w:cs="Helvetica"/>
          <w:color w:val="333333"/>
          <w:sz w:val="28"/>
          <w:szCs w:val="28"/>
        </w:rPr>
        <w:br/>
      </w:r>
      <w:r w:rsidRPr="00D769A1">
        <w:rPr>
          <w:rFonts w:ascii="Helvetica" w:hAnsi="Helvetica" w:cs="Helvetica"/>
          <w:color w:val="333333"/>
          <w:sz w:val="28"/>
          <w:szCs w:val="28"/>
          <w:shd w:val="clear" w:color="auto" w:fill="FFFFFF"/>
        </w:rPr>
        <w:t>Los conjuntos de entidades puede tener subgrupos de entidades, que se diferencian  de alguna forma de los grupos de entidades del conjunto.Estos subgrupos de entidades pueden tener atributos que no son compartidos por todos los demás conjuntos de entidades.</w:t>
      </w:r>
    </w:p>
    <w:p w:rsidR="00D769A1" w:rsidRDefault="00D769A1" w:rsidP="006B02CE">
      <w:pPr>
        <w:rPr>
          <w:rFonts w:ascii="Helvetica" w:hAnsi="Helvetica" w:cs="Helvetica"/>
          <w:color w:val="333333"/>
          <w:sz w:val="28"/>
          <w:szCs w:val="28"/>
          <w:shd w:val="clear" w:color="auto" w:fill="FFFFFF"/>
        </w:rPr>
      </w:pPr>
    </w:p>
    <w:p w:rsidR="00D769A1" w:rsidRDefault="00D769A1" w:rsidP="006B02CE">
      <w:pPr>
        <w:rPr>
          <w:rFonts w:ascii="Helvetica" w:hAnsi="Helvetica" w:cs="Helvetica"/>
          <w:color w:val="333333"/>
          <w:sz w:val="28"/>
          <w:szCs w:val="28"/>
          <w:shd w:val="clear" w:color="auto" w:fill="FFFFFF"/>
        </w:rPr>
      </w:pPr>
    </w:p>
    <w:p w:rsidR="00D769A1" w:rsidRDefault="00D769A1" w:rsidP="006B02CE">
      <w:pPr>
        <w:rPr>
          <w:noProof/>
        </w:rPr>
      </w:pPr>
    </w:p>
    <w:p w:rsidR="00D769A1" w:rsidRDefault="00D769A1" w:rsidP="006B02CE">
      <w:pPr>
        <w:rPr>
          <w:noProof/>
        </w:rPr>
      </w:pPr>
    </w:p>
    <w:p w:rsidR="00D769A1" w:rsidRDefault="00D769A1" w:rsidP="006B02CE">
      <w:pPr>
        <w:rPr>
          <w:sz w:val="28"/>
          <w:szCs w:val="28"/>
        </w:rPr>
      </w:pPr>
      <w:r>
        <w:rPr>
          <w:noProof/>
        </w:rPr>
        <w:drawing>
          <wp:inline distT="0" distB="0" distL="0" distR="0">
            <wp:extent cx="3352800" cy="1362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2800" cy="1362075"/>
                    </a:xfrm>
                    <a:prstGeom prst="rect">
                      <a:avLst/>
                    </a:prstGeom>
                    <a:noFill/>
                    <a:ln>
                      <a:noFill/>
                    </a:ln>
                  </pic:spPr>
                </pic:pic>
              </a:graphicData>
            </a:graphic>
          </wp:inline>
        </w:drawing>
      </w:r>
    </w:p>
    <w:p w:rsidR="00D769A1" w:rsidRDefault="00D769A1" w:rsidP="006B02CE">
      <w:pPr>
        <w:rPr>
          <w:sz w:val="28"/>
          <w:szCs w:val="28"/>
        </w:rPr>
      </w:pPr>
    </w:p>
    <w:p w:rsidR="00D769A1" w:rsidRDefault="00D769A1" w:rsidP="006B02CE">
      <w:pPr>
        <w:rPr>
          <w:sz w:val="28"/>
          <w:szCs w:val="28"/>
        </w:rPr>
      </w:pPr>
    </w:p>
    <w:p w:rsidR="00D769A1" w:rsidRDefault="00D769A1" w:rsidP="006B02CE">
      <w:pPr>
        <w:rPr>
          <w:sz w:val="28"/>
          <w:szCs w:val="28"/>
        </w:rPr>
      </w:pPr>
    </w:p>
    <w:p w:rsidR="00D769A1" w:rsidRDefault="00D769A1" w:rsidP="006B02CE">
      <w:pPr>
        <w:rPr>
          <w:sz w:val="28"/>
          <w:szCs w:val="28"/>
        </w:rPr>
      </w:pPr>
    </w:p>
    <w:p w:rsidR="00D769A1" w:rsidRPr="00D769A1" w:rsidRDefault="00D769A1" w:rsidP="00D769A1">
      <w:pPr>
        <w:shd w:val="clear" w:color="auto" w:fill="FFFFFF"/>
        <w:spacing w:after="0" w:line="240" w:lineRule="auto"/>
        <w:jc w:val="both"/>
        <w:rPr>
          <w:rFonts w:ascii="Helvetica" w:eastAsia="Times New Roman" w:hAnsi="Helvetica" w:cs="Helvetica"/>
          <w:color w:val="333333"/>
          <w:sz w:val="28"/>
          <w:szCs w:val="28"/>
          <w:lang w:eastAsia="es-ES"/>
        </w:rPr>
      </w:pPr>
      <w:r w:rsidRPr="00D769A1">
        <w:rPr>
          <w:rFonts w:ascii="Times" w:eastAsia="Times New Roman" w:hAnsi="Times" w:cs="Times"/>
          <w:color w:val="333333"/>
          <w:sz w:val="28"/>
          <w:szCs w:val="28"/>
          <w:u w:val="single"/>
          <w:lang w:eastAsia="es-ES"/>
        </w:rPr>
        <w:lastRenderedPageBreak/>
        <w:t>Cada jerarquía es total o parcial, y exclusiva o superpuesta</w:t>
      </w:r>
      <w:r w:rsidRPr="00D769A1">
        <w:rPr>
          <w:rFonts w:ascii="Times" w:eastAsia="Times New Roman" w:hAnsi="Times" w:cs="Times"/>
          <w:color w:val="333333"/>
          <w:sz w:val="28"/>
          <w:szCs w:val="28"/>
          <w:lang w:eastAsia="es-ES"/>
        </w:rPr>
        <w:t>. Una jerarquía es </w:t>
      </w:r>
      <w:r w:rsidRPr="00D769A1">
        <w:rPr>
          <w:rFonts w:ascii="Times" w:eastAsia="Times New Roman" w:hAnsi="Times" w:cs="Times"/>
          <w:i/>
          <w:iCs/>
          <w:color w:val="333333"/>
          <w:sz w:val="28"/>
          <w:szCs w:val="28"/>
          <w:lang w:eastAsia="es-ES"/>
        </w:rPr>
        <w:t>total</w:t>
      </w:r>
      <w:r w:rsidRPr="00D769A1">
        <w:rPr>
          <w:rFonts w:ascii="Times" w:eastAsia="Times New Roman" w:hAnsi="Times" w:cs="Times"/>
          <w:color w:val="333333"/>
          <w:sz w:val="28"/>
          <w:szCs w:val="28"/>
          <w:lang w:eastAsia="es-ES"/>
        </w:rPr>
        <w:t> si cada ocurrencia de la entidad genérica corresponde al menos con una ocurrencia de alguna subentidad. Es </w:t>
      </w:r>
      <w:r w:rsidRPr="00D769A1">
        <w:rPr>
          <w:rFonts w:ascii="Times" w:eastAsia="Times New Roman" w:hAnsi="Times" w:cs="Times"/>
          <w:i/>
          <w:iCs/>
          <w:color w:val="333333"/>
          <w:sz w:val="28"/>
          <w:szCs w:val="28"/>
          <w:lang w:eastAsia="es-ES"/>
        </w:rPr>
        <w:t>parcial</w:t>
      </w:r>
      <w:r w:rsidRPr="00D769A1">
        <w:rPr>
          <w:rFonts w:ascii="Times" w:eastAsia="Times New Roman" w:hAnsi="Times" w:cs="Times"/>
          <w:color w:val="333333"/>
          <w:sz w:val="28"/>
          <w:szCs w:val="28"/>
          <w:lang w:eastAsia="es-ES"/>
        </w:rPr>
        <w:t> si existe alguna ocurrencia de la entidad genérica que no corresponde con ninguna ocurrencia de ninguna subentidad. Una jerarquía es </w:t>
      </w:r>
      <w:r w:rsidRPr="00D769A1">
        <w:rPr>
          <w:rFonts w:ascii="Times" w:eastAsia="Times New Roman" w:hAnsi="Times" w:cs="Times"/>
          <w:i/>
          <w:iCs/>
          <w:color w:val="333333"/>
          <w:sz w:val="28"/>
          <w:szCs w:val="28"/>
          <w:lang w:eastAsia="es-ES"/>
        </w:rPr>
        <w:t>exclusiva</w:t>
      </w:r>
      <w:r w:rsidRPr="00D769A1">
        <w:rPr>
          <w:rFonts w:ascii="Times" w:eastAsia="Times New Roman" w:hAnsi="Times" w:cs="Times"/>
          <w:color w:val="333333"/>
          <w:sz w:val="28"/>
          <w:szCs w:val="28"/>
          <w:lang w:eastAsia="es-ES"/>
        </w:rPr>
        <w:t> si cada ocurrencia de la entidad genérica corresponde, como mucho, con una ocurrencia de una sola de las subentidades. Es </w:t>
      </w:r>
      <w:r w:rsidRPr="00D769A1">
        <w:rPr>
          <w:rFonts w:ascii="Times" w:eastAsia="Times New Roman" w:hAnsi="Times" w:cs="Times"/>
          <w:i/>
          <w:iCs/>
          <w:color w:val="333333"/>
          <w:sz w:val="28"/>
          <w:szCs w:val="28"/>
          <w:lang w:eastAsia="es-ES"/>
        </w:rPr>
        <w:t>superpuesta</w:t>
      </w:r>
      <w:r w:rsidRPr="00D769A1">
        <w:rPr>
          <w:rFonts w:ascii="Times" w:eastAsia="Times New Roman" w:hAnsi="Times" w:cs="Times"/>
          <w:color w:val="333333"/>
          <w:sz w:val="28"/>
          <w:szCs w:val="28"/>
          <w:lang w:eastAsia="es-ES"/>
        </w:rPr>
        <w:t> si existe alguna ocurrencia de la entidad genérica que corresponde a ocurrencias de dos o más subentidades diferentes.</w:t>
      </w:r>
    </w:p>
    <w:p w:rsidR="00D769A1" w:rsidRPr="00D769A1" w:rsidRDefault="00D769A1" w:rsidP="00D769A1">
      <w:pPr>
        <w:shd w:val="clear" w:color="auto" w:fill="FFFFFF"/>
        <w:spacing w:after="0" w:line="240" w:lineRule="auto"/>
        <w:jc w:val="both"/>
        <w:rPr>
          <w:rFonts w:ascii="Helvetica" w:eastAsia="Times New Roman" w:hAnsi="Helvetica" w:cs="Helvetica"/>
          <w:color w:val="333333"/>
          <w:sz w:val="28"/>
          <w:szCs w:val="28"/>
          <w:lang w:eastAsia="es-ES"/>
        </w:rPr>
      </w:pPr>
      <w:r w:rsidRPr="00D769A1">
        <w:rPr>
          <w:rFonts w:ascii="Times" w:eastAsia="Times New Roman" w:hAnsi="Times" w:cs="Times"/>
          <w:color w:val="333333"/>
          <w:sz w:val="28"/>
          <w:szCs w:val="28"/>
          <w:lang w:eastAsia="es-ES"/>
        </w:rPr>
        <w:t>Un </w:t>
      </w:r>
      <w:r w:rsidRPr="00D769A1">
        <w:rPr>
          <w:rFonts w:ascii="Times" w:eastAsia="Times New Roman" w:hAnsi="Times" w:cs="Times"/>
          <w:i/>
          <w:iCs/>
          <w:color w:val="333333"/>
          <w:sz w:val="28"/>
          <w:szCs w:val="28"/>
          <w:lang w:eastAsia="es-ES"/>
        </w:rPr>
        <w:t>subconjunto</w:t>
      </w:r>
      <w:r w:rsidRPr="00D769A1">
        <w:rPr>
          <w:rFonts w:ascii="Times" w:eastAsia="Times New Roman" w:hAnsi="Times" w:cs="Times"/>
          <w:color w:val="333333"/>
          <w:sz w:val="28"/>
          <w:szCs w:val="28"/>
          <w:lang w:eastAsia="es-ES"/>
        </w:rPr>
        <w:t> es un caso particular de generalización con una sola entidad como subentidad. Un subconjunto siempre es una jerarquía parcial y exclusiva. </w:t>
      </w:r>
      <w:r w:rsidRPr="00D769A1">
        <w:rPr>
          <w:rFonts w:ascii="Helvetica" w:eastAsia="Times New Roman" w:hAnsi="Helvetica" w:cs="Helvetica"/>
          <w:color w:val="333333"/>
          <w:sz w:val="28"/>
          <w:szCs w:val="28"/>
          <w:lang w:eastAsia="es-ES"/>
        </w:rPr>
        <w:br/>
      </w:r>
      <w:r w:rsidRPr="00D769A1">
        <w:rPr>
          <w:rFonts w:ascii="Times" w:eastAsia="Times New Roman" w:hAnsi="Times" w:cs="Times"/>
          <w:color w:val="333333"/>
          <w:sz w:val="28"/>
          <w:szCs w:val="28"/>
          <w:lang w:eastAsia="es-ES"/>
        </w:rPr>
        <w:br/>
      </w:r>
      <w:r w:rsidRPr="00D769A1">
        <w:rPr>
          <w:rFonts w:ascii="Times" w:eastAsia="Times New Roman" w:hAnsi="Times" w:cs="Times"/>
          <w:color w:val="333333"/>
          <w:sz w:val="28"/>
          <w:szCs w:val="28"/>
          <w:u w:val="single"/>
          <w:lang w:eastAsia="es-ES"/>
        </w:rPr>
        <w:t>Herencia</w:t>
      </w:r>
      <w:r w:rsidRPr="00D769A1">
        <w:rPr>
          <w:rFonts w:ascii="Helvetica" w:eastAsia="Times New Roman" w:hAnsi="Helvetica" w:cs="Helvetica"/>
          <w:color w:val="333333"/>
          <w:sz w:val="28"/>
          <w:szCs w:val="28"/>
          <w:lang w:eastAsia="es-ES"/>
        </w:rPr>
        <w:br/>
      </w:r>
      <w:r w:rsidRPr="00D769A1">
        <w:rPr>
          <w:rFonts w:ascii="Times" w:eastAsia="Times New Roman" w:hAnsi="Times" w:cs="Times"/>
          <w:color w:val="222222"/>
          <w:sz w:val="28"/>
          <w:szCs w:val="28"/>
          <w:shd w:val="clear" w:color="auto" w:fill="FFFFFF"/>
          <w:lang w:eastAsia="es-ES"/>
        </w:rPr>
        <w:t>Es un intento de adaptación</w:t>
      </w:r>
      <w:r w:rsidRPr="00D769A1">
        <w:rPr>
          <w:rFonts w:ascii="Times" w:eastAsia="Times New Roman" w:hAnsi="Times" w:cs="Times"/>
          <w:color w:val="222222"/>
          <w:sz w:val="28"/>
          <w:szCs w:val="28"/>
          <w:lang w:eastAsia="es-ES"/>
        </w:rPr>
        <w:t> l</w:t>
      </w:r>
      <w:r w:rsidRPr="00D769A1">
        <w:rPr>
          <w:rFonts w:ascii="Times" w:eastAsia="Times New Roman" w:hAnsi="Times" w:cs="Times"/>
          <w:color w:val="222222"/>
          <w:sz w:val="28"/>
          <w:szCs w:val="28"/>
          <w:shd w:val="clear" w:color="auto" w:fill="FFFFFF"/>
          <w:lang w:eastAsia="es-ES"/>
        </w:rPr>
        <w:t>a herencia es un tipo de</w:t>
      </w:r>
      <w:r w:rsidRPr="00D769A1">
        <w:rPr>
          <w:rFonts w:ascii="Times" w:eastAsia="Times New Roman" w:hAnsi="Times" w:cs="Times"/>
          <w:color w:val="222222"/>
          <w:sz w:val="28"/>
          <w:szCs w:val="28"/>
          <w:lang w:eastAsia="es-ES"/>
        </w:rPr>
        <w:t> </w:t>
      </w:r>
      <w:r w:rsidRPr="00D769A1">
        <w:rPr>
          <w:rFonts w:ascii="Times" w:eastAsia="Times New Roman" w:hAnsi="Times" w:cs="Times"/>
          <w:color w:val="222222"/>
          <w:sz w:val="28"/>
          <w:szCs w:val="28"/>
          <w:shd w:val="clear" w:color="auto" w:fill="FFFFFF"/>
          <w:lang w:eastAsia="es-ES"/>
        </w:rPr>
        <w:t>relación entre una entidad "padre" y una entidad "hijo". La</w:t>
      </w:r>
      <w:r w:rsidRPr="00D769A1">
        <w:rPr>
          <w:rFonts w:ascii="Times" w:eastAsia="Times New Roman" w:hAnsi="Times" w:cs="Times"/>
          <w:color w:val="222222"/>
          <w:sz w:val="28"/>
          <w:szCs w:val="28"/>
          <w:lang w:eastAsia="es-ES"/>
        </w:rPr>
        <w:t> </w:t>
      </w:r>
      <w:r w:rsidRPr="00D769A1">
        <w:rPr>
          <w:rFonts w:ascii="Times" w:eastAsia="Times New Roman" w:hAnsi="Times" w:cs="Times"/>
          <w:color w:val="222222"/>
          <w:sz w:val="28"/>
          <w:szCs w:val="28"/>
          <w:shd w:val="clear" w:color="auto" w:fill="FFFFFF"/>
          <w:lang w:eastAsia="es-ES"/>
        </w:rPr>
        <w:t>entidad "hijo" hereda todos los atributos y relaciones de la entidad "padre". Por tanto, no necesitan ser representadas dos veces en el diagrama. La relación de herencia se representa mediante un triángulo</w:t>
      </w:r>
      <w:r w:rsidRPr="00D769A1">
        <w:rPr>
          <w:rFonts w:ascii="Times" w:eastAsia="Times New Roman" w:hAnsi="Times" w:cs="Times"/>
          <w:color w:val="222222"/>
          <w:sz w:val="28"/>
          <w:szCs w:val="28"/>
          <w:lang w:eastAsia="es-ES"/>
        </w:rPr>
        <w:t> </w:t>
      </w:r>
      <w:r w:rsidRPr="00D769A1">
        <w:rPr>
          <w:rFonts w:ascii="Times" w:eastAsia="Times New Roman" w:hAnsi="Times" w:cs="Times"/>
          <w:color w:val="222222"/>
          <w:sz w:val="28"/>
          <w:szCs w:val="28"/>
          <w:shd w:val="clear" w:color="auto" w:fill="FFFFFF"/>
          <w:lang w:eastAsia="es-ES"/>
        </w:rPr>
        <w:t>interconectado por líneas a las entidades. La entidad conectada por el vértice</w:t>
      </w:r>
      <w:r w:rsidRPr="00D769A1">
        <w:rPr>
          <w:rFonts w:ascii="Times" w:eastAsia="Times New Roman" w:hAnsi="Times" w:cs="Times"/>
          <w:color w:val="222222"/>
          <w:sz w:val="28"/>
          <w:szCs w:val="28"/>
          <w:lang w:eastAsia="es-ES"/>
        </w:rPr>
        <w:t> </w:t>
      </w:r>
      <w:r w:rsidRPr="00D769A1">
        <w:rPr>
          <w:rFonts w:ascii="Times" w:eastAsia="Times New Roman" w:hAnsi="Times" w:cs="Times"/>
          <w:color w:val="222222"/>
          <w:sz w:val="28"/>
          <w:szCs w:val="28"/>
          <w:shd w:val="clear" w:color="auto" w:fill="FFFFFF"/>
          <w:lang w:eastAsia="es-ES"/>
        </w:rPr>
        <w:t>superior del triángulo es la entidad "padre". Solamente puede existir</w:t>
      </w:r>
      <w:r w:rsidRPr="00D769A1">
        <w:rPr>
          <w:rFonts w:ascii="Times" w:eastAsia="Times New Roman" w:hAnsi="Times" w:cs="Times"/>
          <w:color w:val="222222"/>
          <w:sz w:val="28"/>
          <w:szCs w:val="28"/>
          <w:lang w:eastAsia="es-ES"/>
        </w:rPr>
        <w:t> </w:t>
      </w:r>
      <w:r w:rsidRPr="00D769A1">
        <w:rPr>
          <w:rFonts w:ascii="Times" w:eastAsia="Times New Roman" w:hAnsi="Times" w:cs="Times"/>
          <w:color w:val="222222"/>
          <w:sz w:val="28"/>
          <w:szCs w:val="28"/>
          <w:shd w:val="clear" w:color="auto" w:fill="FFFFFF"/>
          <w:lang w:eastAsia="es-ES"/>
        </w:rPr>
        <w:t>una entidad "padre" (herencia simple). Las entidades "hijo"</w:t>
      </w:r>
      <w:r w:rsidRPr="00D769A1">
        <w:rPr>
          <w:rFonts w:ascii="Times" w:eastAsia="Times New Roman" w:hAnsi="Times" w:cs="Times"/>
          <w:color w:val="222222"/>
          <w:sz w:val="28"/>
          <w:szCs w:val="28"/>
          <w:lang w:eastAsia="es-ES"/>
        </w:rPr>
        <w:t> </w:t>
      </w:r>
      <w:r w:rsidRPr="00D769A1">
        <w:rPr>
          <w:rFonts w:ascii="Times" w:eastAsia="Times New Roman" w:hAnsi="Times" w:cs="Times"/>
          <w:color w:val="222222"/>
          <w:sz w:val="28"/>
          <w:szCs w:val="28"/>
          <w:shd w:val="clear" w:color="auto" w:fill="FFFFFF"/>
          <w:lang w:eastAsia="es-ES"/>
        </w:rPr>
        <w:t>se conectan por la base del triángulo.</w:t>
      </w:r>
    </w:p>
    <w:p w:rsidR="00D769A1" w:rsidRPr="00D769A1" w:rsidRDefault="00D769A1" w:rsidP="00D769A1">
      <w:pPr>
        <w:shd w:val="clear" w:color="auto" w:fill="FFFFFF"/>
        <w:spacing w:after="0" w:line="240" w:lineRule="auto"/>
        <w:rPr>
          <w:rFonts w:ascii="Helvetica" w:eastAsia="Times New Roman" w:hAnsi="Helvetica" w:cs="Helvetica"/>
          <w:color w:val="333333"/>
          <w:sz w:val="28"/>
          <w:szCs w:val="28"/>
          <w:lang w:eastAsia="es-ES"/>
        </w:rPr>
      </w:pPr>
    </w:p>
    <w:p w:rsidR="00D769A1" w:rsidRDefault="00D769A1" w:rsidP="006B02CE">
      <w:pPr>
        <w:rPr>
          <w:sz w:val="28"/>
          <w:szCs w:val="28"/>
        </w:rPr>
      </w:pPr>
    </w:p>
    <w:p w:rsidR="00D769A1" w:rsidRDefault="00D769A1" w:rsidP="006B02CE">
      <w:pPr>
        <w:rPr>
          <w:sz w:val="28"/>
          <w:szCs w:val="28"/>
        </w:rPr>
      </w:pPr>
      <w:r>
        <w:rPr>
          <w:noProof/>
        </w:rPr>
        <w:drawing>
          <wp:inline distT="0" distB="0" distL="0" distR="0">
            <wp:extent cx="2604770" cy="2028393"/>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529" cy="2041443"/>
                    </a:xfrm>
                    <a:prstGeom prst="rect">
                      <a:avLst/>
                    </a:prstGeom>
                    <a:noFill/>
                    <a:ln>
                      <a:noFill/>
                    </a:ln>
                  </pic:spPr>
                </pic:pic>
              </a:graphicData>
            </a:graphic>
          </wp:inline>
        </w:drawing>
      </w:r>
      <w:r>
        <w:rPr>
          <w:noProof/>
        </w:rPr>
        <w:drawing>
          <wp:inline distT="0" distB="0" distL="0" distR="0">
            <wp:extent cx="2447925" cy="185124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2225" cy="1869620"/>
                    </a:xfrm>
                    <a:prstGeom prst="rect">
                      <a:avLst/>
                    </a:prstGeom>
                    <a:noFill/>
                    <a:ln>
                      <a:noFill/>
                    </a:ln>
                  </pic:spPr>
                </pic:pic>
              </a:graphicData>
            </a:graphic>
          </wp:inline>
        </w:drawing>
      </w:r>
    </w:p>
    <w:p w:rsidR="00D769A1" w:rsidRDefault="00D769A1" w:rsidP="006B02CE">
      <w:pPr>
        <w:rPr>
          <w:sz w:val="28"/>
          <w:szCs w:val="28"/>
        </w:rPr>
      </w:pPr>
    </w:p>
    <w:p w:rsidR="00D769A1" w:rsidRPr="00D769A1" w:rsidRDefault="00D769A1" w:rsidP="00D769A1">
      <w:pPr>
        <w:shd w:val="clear" w:color="auto" w:fill="FFFFFF"/>
        <w:spacing w:after="0" w:line="240" w:lineRule="auto"/>
        <w:rPr>
          <w:rFonts w:ascii="Helvetica" w:eastAsia="Times New Roman" w:hAnsi="Helvetica" w:cs="Helvetica"/>
          <w:color w:val="333333"/>
          <w:sz w:val="28"/>
          <w:szCs w:val="28"/>
          <w:lang w:eastAsia="es-ES"/>
        </w:rPr>
      </w:pPr>
      <w:r w:rsidRPr="00D769A1">
        <w:rPr>
          <w:rFonts w:ascii="Helvetica" w:eastAsia="Times New Roman" w:hAnsi="Helvetica" w:cs="Helvetica"/>
          <w:b/>
          <w:bCs/>
          <w:color w:val="333333"/>
          <w:sz w:val="28"/>
          <w:szCs w:val="28"/>
          <w:u w:val="single"/>
          <w:lang w:eastAsia="es-ES"/>
        </w:rPr>
        <w:t>Bibliografia: </w:t>
      </w:r>
    </w:p>
    <w:p w:rsidR="00D769A1" w:rsidRPr="00D769A1" w:rsidRDefault="00D769A1" w:rsidP="00D769A1">
      <w:pPr>
        <w:shd w:val="clear" w:color="auto" w:fill="FFFFFF"/>
        <w:spacing w:after="0" w:line="240" w:lineRule="auto"/>
        <w:rPr>
          <w:rFonts w:ascii="Helvetica" w:eastAsia="Times New Roman" w:hAnsi="Helvetica" w:cs="Helvetica"/>
          <w:color w:val="333333"/>
          <w:sz w:val="21"/>
          <w:szCs w:val="21"/>
          <w:lang w:eastAsia="es-ES"/>
        </w:rPr>
      </w:pPr>
      <w:r w:rsidRPr="00D769A1">
        <w:rPr>
          <w:rFonts w:ascii="Helvetica" w:eastAsia="Times New Roman" w:hAnsi="Helvetica" w:cs="Helvetica"/>
          <w:b/>
          <w:bCs/>
          <w:color w:val="333333"/>
          <w:sz w:val="28"/>
          <w:szCs w:val="28"/>
          <w:lang w:eastAsia="es-ES"/>
        </w:rPr>
        <w:t>• </w:t>
      </w:r>
      <w:hyperlink r:id="rId7" w:history="1">
        <w:r w:rsidRPr="00D769A1">
          <w:rPr>
            <w:rFonts w:ascii="Helvetica" w:eastAsia="Times New Roman" w:hAnsi="Helvetica" w:cs="Helvetica"/>
            <w:color w:val="009EB8"/>
            <w:sz w:val="28"/>
            <w:szCs w:val="28"/>
            <w:u w:val="single"/>
            <w:lang w:eastAsia="es-ES"/>
          </w:rPr>
          <w:t>http://www.base-de-datos.info/2013/03/especializacion-y-generalizacion.html</w:t>
        </w:r>
      </w:hyperlink>
    </w:p>
    <w:p w:rsidR="00D769A1" w:rsidRDefault="00D769A1" w:rsidP="006B02CE">
      <w:pPr>
        <w:rPr>
          <w:sz w:val="28"/>
          <w:szCs w:val="28"/>
        </w:rPr>
      </w:pPr>
    </w:p>
    <w:p w:rsidR="00D769A1" w:rsidRDefault="00D769A1" w:rsidP="006B02CE">
      <w:pPr>
        <w:rPr>
          <w:sz w:val="28"/>
          <w:szCs w:val="28"/>
        </w:rPr>
      </w:pPr>
    </w:p>
    <w:p w:rsidR="00D769A1" w:rsidRPr="00D769A1" w:rsidRDefault="00D769A1" w:rsidP="00D769A1">
      <w:pPr>
        <w:shd w:val="clear" w:color="auto" w:fill="FFFFFF"/>
        <w:spacing w:after="0" w:line="240" w:lineRule="auto"/>
        <w:rPr>
          <w:rFonts w:ascii="Helvetica" w:eastAsia="Times New Roman" w:hAnsi="Helvetica" w:cs="Helvetica"/>
          <w:color w:val="333333"/>
          <w:sz w:val="28"/>
          <w:szCs w:val="28"/>
          <w:lang w:eastAsia="es-ES"/>
        </w:rPr>
      </w:pPr>
      <w:r w:rsidRPr="00D769A1">
        <w:rPr>
          <w:rFonts w:ascii="Helvetica" w:eastAsia="Times New Roman" w:hAnsi="Helvetica" w:cs="Helvetica"/>
          <w:b/>
          <w:bCs/>
          <w:color w:val="333333"/>
          <w:sz w:val="28"/>
          <w:szCs w:val="28"/>
          <w:u w:val="single"/>
          <w:lang w:eastAsia="es-ES"/>
        </w:rPr>
        <w:lastRenderedPageBreak/>
        <w:t>Bibliografia: </w:t>
      </w:r>
    </w:p>
    <w:p w:rsidR="00D769A1" w:rsidRPr="00D769A1" w:rsidRDefault="00D769A1" w:rsidP="00D769A1">
      <w:pPr>
        <w:shd w:val="clear" w:color="auto" w:fill="FFFFFF"/>
        <w:spacing w:after="0" w:line="240" w:lineRule="auto"/>
        <w:rPr>
          <w:rFonts w:ascii="Helvetica" w:eastAsia="Times New Roman" w:hAnsi="Helvetica" w:cs="Helvetica"/>
          <w:color w:val="333333"/>
          <w:sz w:val="21"/>
          <w:szCs w:val="21"/>
          <w:lang w:eastAsia="es-ES"/>
        </w:rPr>
      </w:pPr>
      <w:r w:rsidRPr="00D769A1">
        <w:rPr>
          <w:rFonts w:ascii="Helvetica" w:eastAsia="Times New Roman" w:hAnsi="Helvetica" w:cs="Helvetica"/>
          <w:b/>
          <w:bCs/>
          <w:color w:val="333333"/>
          <w:sz w:val="28"/>
          <w:szCs w:val="28"/>
          <w:lang w:eastAsia="es-ES"/>
        </w:rPr>
        <w:t>• </w:t>
      </w:r>
      <w:hyperlink r:id="rId8" w:history="1">
        <w:r w:rsidRPr="00D769A1">
          <w:rPr>
            <w:rFonts w:ascii="Helvetica" w:eastAsia="Times New Roman" w:hAnsi="Helvetica" w:cs="Helvetica"/>
            <w:color w:val="009EB8"/>
            <w:sz w:val="28"/>
            <w:szCs w:val="28"/>
            <w:u w:val="single"/>
            <w:lang w:eastAsia="es-ES"/>
          </w:rPr>
          <w:t>http://www.base-de-datos.info/2013/03/especializacion-y-generalizacion.html</w:t>
        </w:r>
      </w:hyperlink>
    </w:p>
    <w:p w:rsidR="00D769A1" w:rsidRDefault="00D769A1" w:rsidP="006B02CE">
      <w:pPr>
        <w:rPr>
          <w:sz w:val="28"/>
          <w:szCs w:val="28"/>
        </w:rPr>
      </w:pPr>
    </w:p>
    <w:p w:rsidR="00D769A1" w:rsidRPr="00D769A1" w:rsidRDefault="00D769A1" w:rsidP="006B02CE">
      <w:pPr>
        <w:rPr>
          <w:sz w:val="28"/>
          <w:szCs w:val="28"/>
        </w:rPr>
      </w:pPr>
    </w:p>
    <w:sectPr w:rsidR="00D769A1" w:rsidRPr="00D769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CE"/>
    <w:rsid w:val="004F48C3"/>
    <w:rsid w:val="00624BC6"/>
    <w:rsid w:val="006B02CE"/>
    <w:rsid w:val="00D769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B82B6-F057-4630-BBE7-2459E4771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02CE"/>
    <w:pPr>
      <w:spacing w:after="0" w:line="240" w:lineRule="auto"/>
    </w:pPr>
  </w:style>
  <w:style w:type="character" w:styleId="Hipervnculo">
    <w:name w:val="Hyperlink"/>
    <w:basedOn w:val="Fuentedeprrafopredeter"/>
    <w:uiPriority w:val="99"/>
    <w:semiHidden/>
    <w:unhideWhenUsed/>
    <w:rsid w:val="00D769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93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se-de-datos.info/2013/03/especializacion-y-generalizacion.html" TargetMode="External"/><Relationship Id="rId3" Type="http://schemas.openxmlformats.org/officeDocument/2006/relationships/webSettings" Target="webSettings.xml"/><Relationship Id="rId7" Type="http://schemas.openxmlformats.org/officeDocument/2006/relationships/hyperlink" Target="http://www.base-de-datos.info/2013/03/especializacion-y-generalizac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439</Words>
  <Characters>2419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Yasira</dc:creator>
  <cp:keywords/>
  <dc:description/>
  <cp:lastModifiedBy>Yasira</cp:lastModifiedBy>
  <cp:revision>2</cp:revision>
  <dcterms:created xsi:type="dcterms:W3CDTF">2020-03-26T03:04:00Z</dcterms:created>
  <dcterms:modified xsi:type="dcterms:W3CDTF">2020-03-26T03:04:00Z</dcterms:modified>
</cp:coreProperties>
</file>