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0E7C7B"/>
          <w:sz w:val="72"/>
          <w:szCs w:val="72"/>
        </w:rPr>
        <w:t xml:space="preserve">OBGYNBillingPro.com</w:t>
      </w:r>
    </w:p>
    <w:p>
      <w:pPr>
        <w:spacing w:after="160"/>
        <w:jc w:val="center"/>
      </w:pPr>
      <w:r>
        <w:rPr>
          <w:rFonts w:ascii="Arial" w:cs="Arial" w:eastAsia="Arial" w:hAnsi="Arial"/>
          <w:i/>
          <w:iCs/>
          <w:color w:val="1A2B3C"/>
          <w:sz w:val="32"/>
          <w:szCs w:val="32"/>
        </w:rPr>
        <w:t xml:space="preserve">obgynbillingpro.com</w:t>
      </w:r>
    </w:p>
    <w:p>
      <w:pPr>
        <w:spacing w:after="240"/>
        <w:jc w:val="center"/>
      </w:pPr>
      <w:r>
        <w:rPr>
          <w:rFonts w:ascii="Arial" w:cs="Arial" w:eastAsia="Arial" w:hAnsi="Arial"/>
          <w:b/>
          <w:bCs/>
          <w:color w:val="1A2B3C"/>
          <w:sz w:val="40"/>
          <w:szCs w:val="40"/>
        </w:rPr>
        <w:t xml:space="preserve">WEBSITE DEVELOPMENT MASTER DOCUMENTATION</w:t>
      </w:r>
    </w:p>
    <w:p>
      <w:pPr>
        <w:spacing w:after="120"/>
        <w:jc w:val="center"/>
      </w:pPr>
      <w:r>
        <w:rPr>
          <w:rFonts w:ascii="Arial" w:cs="Arial" w:eastAsia="Arial" w:hAnsi="Arial"/>
          <w:i/>
          <w:iCs/>
          <w:color w:val="4A5568"/>
          <w:sz w:val="24"/>
          <w:szCs w:val="24"/>
        </w:rPr>
        <w:t xml:space="preserve">Technical Architecture  |  Next.js Build Guide  |  SEO Strategy  |  Page Structure  |  200+ Keywords Per Service</w:t>
      </w:r>
    </w:p>
    <w:p>
      <w:pPr>
        <w:pBdr>
          <w:bottom w:val="single" w:color="0E7C7B" w:sz="4"/>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r>
      <w:tr>
        <w:tc>
          <w:tcPr>
            <w:tcW w:type="dxa" w:w="28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Version</w:t>
            </w:r>
          </w:p>
        </w:tc>
        <w:tc>
          <w:tcPr>
            <w:tcW w:type="dxa" w:w="64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v3.0 — Master Merged Edition — April 2026</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Prepared By</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Yasir Maqsood | ProBuild Sites | probuildsites.com</w:t>
            </w:r>
          </w:p>
        </w:tc>
      </w:tr>
      <w:tr>
        <w:tc>
          <w:tcPr>
            <w:tcW w:type="dxa" w:w="28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Service Scope</w:t>
            </w:r>
          </w:p>
        </w:tc>
        <w:tc>
          <w:tcPr>
            <w:tcW w:type="dxa" w:w="64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OB/GYN Billing &amp; Revenue Cycle Management (RCM)</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Framework</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Next.js 14+ (App Router, RSC, ISR)</w:t>
            </w:r>
          </w:p>
        </w:tc>
      </w:tr>
      <w:tr>
        <w:tc>
          <w:tcPr>
            <w:tcW w:type="dxa" w:w="28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Website URL</w:t>
            </w:r>
          </w:p>
        </w:tc>
        <w:tc>
          <w:tcPr>
            <w:tcW w:type="dxa" w:w="64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https://obgynbillingpro.com</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Development Phases</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3 Phases / 9–14 Months</w:t>
            </w:r>
          </w:p>
        </w:tc>
      </w:tr>
      <w:tr>
        <w:tc>
          <w:tcPr>
            <w:tcW w:type="dxa" w:w="28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Contact Phone</w:t>
            </w:r>
          </w:p>
        </w:tc>
        <w:tc>
          <w:tcPr>
            <w:tcW w:type="dxa" w:w="64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{{PHONE}}  ← Update this shortcode once; updates everywhere</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Contact Email</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{{EMAIL}}  ← Update this shortcode once; updates everywhere</w:t>
            </w:r>
          </w:p>
        </w:tc>
      </w:tr>
      <w:tr>
        <w:tc>
          <w:tcPr>
            <w:tcW w:type="dxa" w:w="28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Document Scope</w:t>
            </w:r>
          </w:p>
        </w:tc>
        <w:tc>
          <w:tcPr>
            <w:tcW w:type="dxa" w:w="64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Website Development Only — Marketing, SEO, Architecture, Content</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Security Classification</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Confidential &amp; Proprietary</w:t>
            </w:r>
          </w:p>
        </w:tc>
      </w:tr>
    </w:tbl>
    <w:p>
      <w:r>
        <w:br w:type="page"/>
      </w:r>
    </w:p>
    <w:p>
      <w:pPr>
        <w:pStyle w:val="Heading1"/>
        <w:spacing w:after="200" w:before="400"/>
      </w:pPr>
      <w:r>
        <w:rPr>
          <w:rFonts w:ascii="Arial" w:cs="Arial" w:eastAsia="Arial" w:hAnsi="Arial"/>
          <w:b/>
          <w:bCs/>
          <w:color w:val="1A2B3C"/>
          <w:sz w:val="36"/>
          <w:szCs w:val="36"/>
        </w:rPr>
        <w:t xml:space="preserve">0. Shortcode Reference — Update Once, Apply Everywhere</w:t>
      </w:r>
    </w:p>
    <w:p>
      <w:pPr>
        <w:spacing w:after="120"/>
      </w:pPr>
      <w:r>
        <w:rPr>
          <w:rFonts w:ascii="Arial" w:cs="Arial" w:eastAsia="Arial" w:hAnsi="Arial"/>
          <w:color w:val="4A5568"/>
          <w:sz w:val="22"/>
          <w:szCs w:val="22"/>
        </w:rPr>
        <w:t xml:space="preserve">This document uses two shortcodes for contact details. When you decide on your final phone number and email address, perform a Find &amp; Replace on the shortcode — all instances in headers, footers, contact pages, forms, and CTA sections will update simultaneously.</w:t>
      </w:r>
    </w:p>
    <w:p>
      <w:pPr>
        <w:spacing w:after="120"/>
      </w:pPr>
      <w:r>
        <w:t xml:space="preserve"/>
      </w:r>
    </w:p>
    <w:p>
      <w:pPr>
        <w:spacing w:after="100"/>
      </w:pPr>
      <w:r>
        <w:rPr>
          <w:rFonts w:ascii="Courier New" w:cs="Courier New" w:eastAsia="Courier New" w:hAnsi="Courier New"/>
          <w:b/>
          <w:bCs/>
          <w:color w:val="1A2B3C"/>
          <w:sz w:val="22"/>
          <w:szCs w:val="22"/>
        </w:rPr>
        <w:t xml:space="preserve">Phone Shortcode: </w:t>
      </w:r>
      <w:r>
        <w:rPr>
          <w:rFonts w:ascii="Courier New" w:cs="Courier New" w:eastAsia="Courier New" w:hAnsi="Courier New"/>
          <w:b/>
          <w:bCs/>
          <w:color w:val="C0392B"/>
          <w:sz w:val="22"/>
          <w:szCs w:val="22"/>
        </w:rPr>
        <w:t xml:space="preserve">{{PHONE}}</w:t>
      </w:r>
      <w:r>
        <w:rPr>
          <w:rFonts w:ascii="Arial" w:cs="Arial" w:eastAsia="Arial" w:hAnsi="Arial"/>
          <w:color w:val="4A5568"/>
          <w:sz w:val="20"/>
          <w:szCs w:val="20"/>
        </w:rPr>
        <w:t xml:space="preserve">  →  Current value: {{PHONE}} — Replace with your real number</w:t>
      </w:r>
    </w:p>
    <w:p>
      <w:pPr>
        <w:spacing w:after="100"/>
      </w:pPr>
      <w:r>
        <w:rPr>
          <w:rFonts w:ascii="Courier New" w:cs="Courier New" w:eastAsia="Courier New" w:hAnsi="Courier New"/>
          <w:b/>
          <w:bCs/>
          <w:color w:val="1A2B3C"/>
          <w:sz w:val="22"/>
          <w:szCs w:val="22"/>
        </w:rPr>
        <w:t xml:space="preserve">Email Shortcode: </w:t>
      </w:r>
      <w:r>
        <w:rPr>
          <w:rFonts w:ascii="Courier New" w:cs="Courier New" w:eastAsia="Courier New" w:hAnsi="Courier New"/>
          <w:b/>
          <w:bCs/>
          <w:color w:val="C0392B"/>
          <w:sz w:val="22"/>
          <w:szCs w:val="22"/>
        </w:rPr>
        <w:t xml:space="preserve">{{EMAIL}}</w:t>
      </w:r>
      <w:r>
        <w:rPr>
          <w:rFonts w:ascii="Arial" w:cs="Arial" w:eastAsia="Arial" w:hAnsi="Arial"/>
          <w:color w:val="4A5568"/>
          <w:sz w:val="20"/>
          <w:szCs w:val="20"/>
        </w:rPr>
        <w:t xml:space="preserve">  →  Current value: {{EMAIL}} — Replace with your real email</w:t>
      </w:r>
    </w:p>
    <w:p>
      <w:pPr>
        <w:spacing w:after="120"/>
      </w:pPr>
      <w:r>
        <w:t xml:space="preserve"/>
      </w:r>
    </w:p>
    <w:p>
      <w:pPr>
        <w:pBdr>
          <w:left w:val="single" w:color="D97706" w:sz="8" w:space="6"/>
        </w:pBdr>
        <w:spacing w:after="120" w:before="80"/>
        <w:ind w:left="360"/>
      </w:pPr>
      <w:r>
        <w:rPr>
          <w:rFonts w:ascii="Arial" w:cs="Arial" w:eastAsia="Arial" w:hAnsi="Arial"/>
          <w:i/>
          <w:iCs/>
          <w:color w:val="7B4F00"/>
          <w:sz w:val="20"/>
          <w:szCs w:val="20"/>
        </w:rPr>
        <w:t xml:space="preserve">⚠ NOTE: In Next.js code, store these as environment variables: NEXT_PUBLIC_PHONE and NEXT_PUBLIC_EMAIL in .env.local. Use them in JSX as {process.env.NEXT_PUBLIC_PHONE}. Update .env.local once and all components update automatically.</w:t>
      </w:r>
    </w:p>
    <w:p>
      <w:pPr>
        <w:spacing w:after="120"/>
      </w:pPr>
      <w:r>
        <w:rPr>
          <w:rFonts w:ascii="Arial" w:cs="Arial" w:eastAsia="Arial" w:hAnsi="Arial"/>
          <w:color w:val="4A5568"/>
          <w:sz w:val="22"/>
          <w:szCs w:val="22"/>
        </w:rPr>
        <w:t xml:space="preserve">Example usage in code:</w:t>
      </w:r>
    </w:p>
    <w:p>
      <w:pPr>
        <w:spacing w:after="80"/>
      </w:pPr>
      <w:r>
        <w:rPr>
          <w:rFonts w:ascii="Courier New" w:cs="Courier New" w:eastAsia="Courier New" w:hAnsi="Courier New"/>
          <w:color w:val="065F5E"/>
          <w:sz w:val="18"/>
          <w:szCs w:val="18"/>
        </w:rPr>
        <w:t xml:space="preserve">  const phone = process.env.NEXT_PUBLIC_PHONE; // Used in Header, Footer, Contact page, CTA buttons</w:t>
      </w:r>
    </w:p>
    <w:p>
      <w:pPr>
        <w:spacing w:after="80"/>
      </w:pPr>
      <w:r>
        <w:rPr>
          <w:rFonts w:ascii="Courier New" w:cs="Courier New" w:eastAsia="Courier New" w:hAnsi="Courier New"/>
          <w:color w:val="065F5E"/>
          <w:sz w:val="18"/>
          <w:szCs w:val="18"/>
        </w:rPr>
        <w:t xml:space="preserve">  const email = process.env.NEXT_PUBLIC_EMAIL; // Used in Header, Footer, Contact page, lead forms</w:t>
      </w:r>
    </w:p>
    <w:p>
      <w:r>
        <w:br w:type="page"/>
      </w:r>
    </w:p>
    <w:p>
      <w:pPr>
        <w:pStyle w:val="Heading1"/>
        <w:spacing w:after="200" w:before="400"/>
      </w:pPr>
      <w:r>
        <w:rPr>
          <w:rFonts w:ascii="Arial" w:cs="Arial" w:eastAsia="Arial" w:hAnsi="Arial"/>
          <w:b/>
          <w:bCs/>
          <w:color w:val="1A2B3C"/>
          <w:sz w:val="36"/>
          <w:szCs w:val="36"/>
        </w:rPr>
        <w:t xml:space="preserve">1. Executive Summary</w:t>
      </w:r>
    </w:p>
    <w:p>
      <w:pPr>
        <w:pStyle w:val="Heading2"/>
        <w:spacing w:after="160" w:before="300"/>
      </w:pPr>
      <w:r>
        <w:rPr>
          <w:rFonts w:ascii="Arial" w:cs="Arial" w:eastAsia="Arial" w:hAnsi="Arial"/>
          <w:b/>
          <w:bCs/>
          <w:color w:val="0E7C7B"/>
          <w:sz w:val="28"/>
          <w:szCs w:val="28"/>
        </w:rPr>
        <w:t xml:space="preserve">1.1 The Market Opportunity</w:t>
      </w:r>
    </w:p>
    <w:p>
      <w:pPr>
        <w:spacing w:after="120"/>
      </w:pPr>
      <w:r>
        <w:rPr>
          <w:rFonts w:ascii="Arial" w:cs="Arial" w:eastAsia="Arial" w:hAnsi="Arial"/>
          <w:color w:val="4A5568"/>
          <w:sz w:val="22"/>
          <w:szCs w:val="22"/>
        </w:rPr>
        <w:t xml:space="preserve">obgynbillingpro.com is a specialized Revenue Cycle Management (RCM) and medical billing platform built exclusively for OB/GYN and women's health practices. In 2026, the market opportunity for niche, specialty-specific billing services has never been stronger.</w:t>
      </w:r>
    </w:p>
    <w:p>
      <w:pPr>
        <w:spacing w:after="120"/>
      </w:pPr>
      <w:r>
        <w:rPr>
          <w:rFonts w:ascii="Arial" w:cs="Arial" w:eastAsia="Arial" w:hAnsi="Arial"/>
          <w:color w:val="4A5568"/>
          <w:sz w:val="22"/>
          <w:szCs w:val="22"/>
        </w:rPr>
        <w:t xml:space="preserve">OB/GYN billing is among the most complex and error-prone billing environments in all of healthcare. Between global maternity packages, GYN surgical procedure coding, preventive vs. diagnostic visit splits, payer-specific maternity bundles, and continuously evolving ICD-10/CPT code sets, general billing companies consistently underperform in this specialty.</w:t>
      </w:r>
    </w:p>
    <w:p>
      <w:pPr>
        <w:spacing w:after="120"/>
      </w:pPr>
      <w:r>
        <w:rPr>
          <w:rFonts w:ascii="Arial" w:cs="Arial" w:eastAsia="Arial" w:hAnsi="Arial"/>
          <w:color w:val="4A5568"/>
          <w:sz w:val="22"/>
          <w:szCs w:val="22"/>
        </w:rPr>
        <w:t xml:space="preserve">The 2026 landscape is defined by critical shifts:</w:t>
      </w:r>
    </w:p>
    <w:p>
      <w:pPr>
        <w:pStyle w:val="ListParagraph"/>
        <w:numPr>
          <w:ilvl w:val="0"/>
          <w:numId w:val="2"/>
        </w:numPr>
        <w:spacing w:after="80"/>
      </w:pPr>
      <w:r>
        <w:rPr>
          <w:rFonts w:ascii="Arial" w:cs="Arial" w:eastAsia="Arial" w:hAnsi="Arial"/>
          <w:color w:val="4A5568"/>
          <w:sz w:val="22"/>
          <w:szCs w:val="22"/>
        </w:rPr>
        <w:t xml:space="preserve">Denied amounts in outpatient settings rose by 14% in the prior year</w:t>
      </w:r>
    </w:p>
    <w:p>
      <w:pPr>
        <w:pStyle w:val="ListParagraph"/>
        <w:numPr>
          <w:ilvl w:val="0"/>
          <w:numId w:val="2"/>
        </w:numPr>
        <w:spacing w:after="80"/>
      </w:pPr>
      <w:r>
        <w:rPr>
          <w:rFonts w:ascii="Arial" w:cs="Arial" w:eastAsia="Arial" w:hAnsi="Arial"/>
          <w:color w:val="4A5568"/>
          <w:sz w:val="22"/>
          <w:szCs w:val="22"/>
        </w:rPr>
        <w:t xml:space="preserve">Coding-related denials surged by 26%</w:t>
      </w:r>
    </w:p>
    <w:p>
      <w:pPr>
        <w:pStyle w:val="ListParagraph"/>
        <w:numPr>
          <w:ilvl w:val="0"/>
          <w:numId w:val="2"/>
        </w:numPr>
        <w:spacing w:after="80"/>
      </w:pPr>
      <w:r>
        <w:rPr>
          <w:rFonts w:ascii="Arial" w:cs="Arial" w:eastAsia="Arial" w:hAnsi="Arial"/>
          <w:color w:val="4A5568"/>
          <w:sz w:val="22"/>
          <w:szCs w:val="22"/>
        </w:rPr>
        <w:t xml:space="preserve">15–30% average revenue loss from claim denials and unbilled procedures</w:t>
      </w:r>
    </w:p>
    <w:p>
      <w:pPr>
        <w:pStyle w:val="ListParagraph"/>
        <w:numPr>
          <w:ilvl w:val="0"/>
          <w:numId w:val="2"/>
        </w:numPr>
        <w:spacing w:after="80"/>
      </w:pPr>
      <w:r>
        <w:rPr>
          <w:rFonts w:ascii="Arial" w:cs="Arial" w:eastAsia="Arial" w:hAnsi="Arial"/>
          <w:color w:val="4A5568"/>
          <w:sz w:val="22"/>
          <w:szCs w:val="22"/>
        </w:rPr>
        <w:t xml:space="preserve">High rejection rates on global maternity billing due to incorrect global period tracking</w:t>
      </w:r>
    </w:p>
    <w:p>
      <w:pPr>
        <w:pStyle w:val="ListParagraph"/>
        <w:numPr>
          <w:ilvl w:val="0"/>
          <w:numId w:val="2"/>
        </w:numPr>
        <w:spacing w:after="80"/>
      </w:pPr>
      <w:r>
        <w:rPr>
          <w:rFonts w:ascii="Arial" w:cs="Arial" w:eastAsia="Arial" w:hAnsi="Arial"/>
          <w:color w:val="4A5568"/>
          <w:sz w:val="22"/>
          <w:szCs w:val="22"/>
        </w:rPr>
        <w:t xml:space="preserve">Significant undercoding risk on GYN surgical procedures</w:t>
      </w:r>
    </w:p>
    <w:p>
      <w:pPr>
        <w:pStyle w:val="ListParagraph"/>
        <w:numPr>
          <w:ilvl w:val="0"/>
          <w:numId w:val="2"/>
        </w:numPr>
        <w:spacing w:after="80"/>
      </w:pPr>
      <w:r>
        <w:rPr>
          <w:rFonts w:ascii="Arial" w:cs="Arial" w:eastAsia="Arial" w:hAnsi="Arial"/>
          <w:color w:val="4A5568"/>
          <w:sz w:val="22"/>
          <w:szCs w:val="22"/>
        </w:rPr>
        <w:t xml:space="preserve">Increasing payer scrutiny on E/M code selection following 2024 AMA updates</w:t>
      </w:r>
    </w:p>
    <w:p>
      <w:pPr>
        <w:pStyle w:val="ListParagraph"/>
        <w:numPr>
          <w:ilvl w:val="0"/>
          <w:numId w:val="2"/>
        </w:numPr>
        <w:spacing w:after="80"/>
      </w:pPr>
      <w:r>
        <w:rPr>
          <w:rFonts w:ascii="Arial" w:cs="Arial" w:eastAsia="Arial" w:hAnsi="Arial"/>
          <w:color w:val="4A5568"/>
          <w:sz w:val="22"/>
          <w:szCs w:val="22"/>
        </w:rPr>
        <w:t xml:space="preserve">Cost to rework a denied claim now approximately $57.23, driven primarily by labor expenses</w:t>
      </w:r>
    </w:p>
    <w:p>
      <w:pPr>
        <w:pStyle w:val="ListParagraph"/>
        <w:numPr>
          <w:ilvl w:val="0"/>
          <w:numId w:val="2"/>
        </w:numPr>
        <w:spacing w:after="80"/>
      </w:pPr>
      <w:r>
        <w:rPr>
          <w:rFonts w:ascii="Arial" w:cs="Arial" w:eastAsia="Arial" w:hAnsi="Arial"/>
          <w:color w:val="4A5568"/>
          <w:sz w:val="22"/>
          <w:szCs w:val="22"/>
        </w:rPr>
        <w:t xml:space="preserve">19% of in-network claims denied in 2025</w:t>
      </w:r>
    </w:p>
    <w:p>
      <w:pPr>
        <w:spacing w:after="120"/>
      </w:pPr>
      <w:r>
        <w:t xml:space="preserve"/>
      </w:r>
    </w:p>
    <w:p>
      <w:pPr>
        <w:pStyle w:val="Heading2"/>
        <w:spacing w:after="160" w:before="300"/>
      </w:pPr>
      <w:r>
        <w:rPr>
          <w:rFonts w:ascii="Arial" w:cs="Arial" w:eastAsia="Arial" w:hAnsi="Arial"/>
          <w:b/>
          <w:bCs/>
          <w:color w:val="0E7C7B"/>
          <w:sz w:val="28"/>
          <w:szCs w:val="28"/>
        </w:rPr>
        <w:t xml:space="preserve">1.2 The Value Proposition</w:t>
      </w:r>
    </w:p>
    <w:p>
      <w:pPr>
        <w:spacing w:after="120"/>
      </w:pPr>
      <w:r>
        <w:rPr>
          <w:rFonts w:ascii="Arial" w:cs="Arial" w:eastAsia="Arial" w:hAnsi="Arial"/>
          <w:color w:val="4A5568"/>
          <w:sz w:val="22"/>
          <w:szCs w:val="22"/>
        </w:rPr>
        <w:t xml:space="preserve">obgynbillingpro.com positions itself against general billing services with a single, powerful differentiator: we only bill for OB/GYN. The platform centers on three pillars: clinical precision, regulatory foresight, and agentic automation.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58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Our Solution</w:t>
            </w:r>
          </w:p>
        </w:tc>
      </w:tr>
      <w:tr>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High claim denial rates</w:t>
            </w:r>
          </w:p>
        </w:tc>
        <w:tc>
          <w:tcPr>
            <w:tcW w:type="dxa" w:w="5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OB/GYN-specific denial management with specialty payer rules built in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Global maternity billing errors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Dedicated maternity tracking dashboard with automated global period management</w:t>
            </w:r>
          </w:p>
        </w:tc>
      </w:tr>
      <w:tr>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GYN surgery undercoding</w:t>
            </w:r>
          </w:p>
        </w:tc>
        <w:tc>
          <w:tcPr>
            <w:tcW w:type="dxa" w:w="5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Procedure-level coding review by certified OB/GYN coders (CPC-OB)</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Lost revenue from unbilled items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AI-powered Revenue Leakage Scanner that flags missed billable encounters</w:t>
            </w:r>
          </w:p>
        </w:tc>
      </w:tr>
      <w:tr>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Staff bandwidth limitations</w:t>
            </w:r>
          </w:p>
        </w:tc>
        <w:tc>
          <w:tcPr>
            <w:tcW w:type="dxa" w:w="5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Full-cycle RCM outsourcing with dedicated account manager per practice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Compliance risk</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HIPAA-compliant infrastructure with audit logs and BAA-covered data handling</w:t>
            </w:r>
          </w:p>
        </w:tc>
      </w:tr>
      <w:tr>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Rising denial complexity</w:t>
            </w:r>
          </w:p>
        </w:tc>
        <w:tc>
          <w:tcPr>
            <w:tcW w:type="dxa" w:w="5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Predictive AI denial flagging and automated root-cause analysis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Regulatory acceleration (2027)</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Scalable data architecture and proactive coding-shift education</w:t>
            </w:r>
          </w:p>
        </w:tc>
      </w:tr>
      <w:tr>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Payer AI downcoding engines</w:t>
            </w:r>
          </w:p>
        </w:tc>
        <w:tc>
          <w:tcPr>
            <w:tcW w:type="dxa" w:w="5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Agentic AI that generates structured, defensible data for appeals</w:t>
            </w:r>
          </w:p>
        </w:tc>
      </w:tr>
    </w:tbl>
    <w:p>
      <w:pPr>
        <w:spacing w:after="120"/>
      </w:pPr>
      <w:r>
        <w:t xml:space="preserve"/>
      </w:r>
    </w:p>
    <w:p>
      <w:pPr>
        <w:pStyle w:val="Heading2"/>
        <w:spacing w:after="160" w:before="300"/>
      </w:pPr>
      <w:r>
        <w:rPr>
          <w:rFonts w:ascii="Arial" w:cs="Arial" w:eastAsia="Arial" w:hAnsi="Arial"/>
          <w:b/>
          <w:bCs/>
          <w:color w:val="0E7C7B"/>
          <w:sz w:val="28"/>
          <w:szCs w:val="28"/>
        </w:rPr>
        <w:t xml:space="preserve">1.3 Revenue Potential</w:t>
      </w:r>
    </w:p>
    <w:p>
      <w:pPr>
        <w:spacing w:after="120"/>
      </w:pPr>
      <w:r>
        <w:rPr>
          <w:rFonts w:ascii="Arial" w:cs="Arial" w:eastAsia="Arial" w:hAnsi="Arial"/>
          <w:color w:val="4A5568"/>
          <w:sz w:val="22"/>
          <w:szCs w:val="22"/>
        </w:rPr>
        <w:t xml:space="preserve">The addressable market in the US alone comprises over 40,000 active OB/GYN physicians across private practices, multi-specialty clinics, and hospital-affiliated groups. Even capturing a small slice of this market at an average monthly retainer of $1,500–$4,000 per practice represents a multi-million dollar annual revenue opportunity.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Industry Reality 2026</w:t>
            </w:r>
          </w:p>
        </w:tc>
        <w:tc>
          <w:tcPr>
            <w:tcW w:type="dxa" w:w="33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Impact on OB/GYN Practices</w:t>
            </w:r>
          </w:p>
        </w:tc>
        <w:tc>
          <w:tcPr>
            <w:tcW w:type="dxa" w:w="35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Strategic Solution</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Rising Denial Complexity</w:t>
            </w:r>
          </w:p>
        </w:tc>
        <w:tc>
          <w:tcPr>
            <w:tcW w:type="dxa" w:w="33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19% of in-network claims denied in 2025; 26% increase in coding denials</w:t>
            </w:r>
          </w:p>
        </w:tc>
        <w:tc>
          <w:tcPr>
            <w:tcW w:type="dxa" w:w="35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Predictive AI denial flagging and automated root-cause analysis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Regulatory Acceleration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2027 Maternity Code Update: shift from global to service-based billing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Scalable data architecture and proactive coding-shift education</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Payer-Provider AI Race</w:t>
            </w:r>
          </w:p>
        </w:tc>
        <w:tc>
          <w:tcPr>
            <w:tcW w:type="dxa" w:w="33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Payers use automated engines for downcoding and medical necessity reviews</w:t>
            </w:r>
          </w:p>
        </w:tc>
        <w:tc>
          <w:tcPr>
            <w:tcW w:type="dxa" w:w="35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Agentic AI that generates structured, defensible data for appeals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Margin Compression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Rising operational costs and labor-intensive manual billing processes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RPA for eligibility, payment posting, and patient statement automation</w:t>
            </w:r>
          </w:p>
        </w:tc>
      </w:tr>
    </w:tbl>
    <w:p>
      <w:r>
        <w:br w:type="page"/>
      </w:r>
    </w:p>
    <w:p>
      <w:pPr>
        <w:pStyle w:val="Heading1"/>
        <w:spacing w:after="200" w:before="400"/>
      </w:pPr>
      <w:r>
        <w:rPr>
          <w:rFonts w:ascii="Arial" w:cs="Arial" w:eastAsia="Arial" w:hAnsi="Arial"/>
          <w:b/>
          <w:bCs/>
          <w:color w:val="1A2B3C"/>
          <w:sz w:val="36"/>
          <w:szCs w:val="36"/>
        </w:rPr>
        <w:t xml:space="preserve">2. Website Page Structure &amp; URL Architecture</w:t>
      </w:r>
    </w:p>
    <w:p>
      <w:pPr>
        <w:pBdr>
          <w:left w:val="single" w:color="D97706" w:sz="8" w:space="6"/>
        </w:pBdr>
        <w:spacing w:after="120" w:before="80"/>
        <w:ind w:left="360"/>
      </w:pPr>
      <w:r>
        <w:rPr>
          <w:rFonts w:ascii="Arial" w:cs="Arial" w:eastAsia="Arial" w:hAnsi="Arial"/>
          <w:i/>
          <w:iCs/>
          <w:color w:val="7B4F00"/>
          <w:sz w:val="20"/>
          <w:szCs w:val="20"/>
        </w:rPr>
        <w:t xml:space="preserve">⚠ NOTE: IMPORTANT URL RULE: Service pages use clean URLs without the /services/ prefix in the visible slug. Format: /global-maternity-billing NOT /services/global-maternity-billing. In Next.js App Router, these are placed at src/app/(marketing)/global-maternity-billing/page.tsx — the (marketing) is a route group and does NOT appear in the URL.</w:t>
      </w:r>
    </w:p>
    <w:p>
      <w:pPr>
        <w:spacing w:after="120"/>
      </w:pPr>
      <w:r>
        <w:t xml:space="preserve"/>
      </w:r>
    </w:p>
    <w:p>
      <w:pPr>
        <w:pStyle w:val="Heading2"/>
        <w:spacing w:after="160" w:before="300"/>
      </w:pPr>
      <w:r>
        <w:rPr>
          <w:rFonts w:ascii="Arial" w:cs="Arial" w:eastAsia="Arial" w:hAnsi="Arial"/>
          <w:b/>
          <w:bCs/>
          <w:color w:val="0E7C7B"/>
          <w:sz w:val="28"/>
          <w:szCs w:val="28"/>
        </w:rPr>
        <w:t xml:space="preserve">2.1 Top-Level Marketing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Page Title (SEO — under 60 chars)</w:t>
            </w:r>
          </w:p>
        </w:tc>
        <w:tc>
          <w:tcPr>
            <w:tcW w:type="dxa" w:w="16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9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OB/GYN Billing Services | #1 Specialized | obgynbillingpro.com</w:t>
            </w:r>
          </w:p>
        </w:tc>
        <w:tc>
          <w:tcPr>
            <w:tcW w:type="dxa" w:w="1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w:t>
            </w:r>
          </w:p>
        </w:tc>
        <w:tc>
          <w:tcPr>
            <w:tcW w:type="dxa" w:w="3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Primary conversion. Hero, value props, trust signals, Revenue Calculator CTA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About Us | OB/GYN Billing Experts | obgynbillingpro.com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/about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Credibility. Team bios, certifications (CPC-OB, AHIMA), years of experience</w:t>
            </w:r>
          </w:p>
        </w:tc>
      </w:tr>
      <w:tr>
        <w:tc>
          <w:tcPr>
            <w:tcW w:type="dxa" w:w="3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OB/GYN Medical Billing Services | Full RCM Solutions</w:t>
            </w:r>
          </w:p>
        </w:tc>
        <w:tc>
          <w:tcPr>
            <w:tcW w:type="dxa" w:w="1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/services</w:t>
            </w:r>
          </w:p>
        </w:tc>
        <w:tc>
          <w:tcPr>
            <w:tcW w:type="dxa" w:w="3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Services hub — links to all specialty landing pages with overview of each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Client Results &amp; Case Studies | OB/GYN Billing ROI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/results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Case studies and performance metrics. Social proof hub.</w:t>
            </w:r>
          </w:p>
        </w:tc>
      </w:tr>
      <w:tr>
        <w:tc>
          <w:tcPr>
            <w:tcW w:type="dxa" w:w="3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OB/GYN Billing Blog | CPT &amp; ICD-10 Updates 2026</w:t>
            </w:r>
          </w:p>
        </w:tc>
        <w:tc>
          <w:tcPr>
            <w:tcW w:type="dxa" w:w="1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/blog</w:t>
            </w:r>
          </w:p>
        </w:tc>
        <w:tc>
          <w:tcPr>
            <w:tcW w:type="dxa" w:w="3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CPT/ICD-10 update hub, billing guides, compliance posts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Contact Us | Free OB/GYN Billing Audit | obgynbillingpro.com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/contact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Short lead form + calendar embed (Calendly or Cal.com)</w:t>
            </w:r>
          </w:p>
        </w:tc>
      </w:tr>
      <w:tr>
        <w:tc>
          <w:tcPr>
            <w:tcW w:type="dxa" w:w="3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OB/GYN Revenue Leakage Calculator | Free Tool</w:t>
            </w:r>
          </w:p>
        </w:tc>
        <w:tc>
          <w:tcPr>
            <w:tcW w:type="dxa" w:w="1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/calculator</w:t>
            </w:r>
          </w:p>
        </w:tc>
        <w:tc>
          <w:tcPr>
            <w:tcW w:type="dxa" w:w="3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Interactive Revenue Leakage Calculator — primary lead magnet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Client Portal | Secure OB/GYN Billing Dashboard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/portal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Authenticated client-only area — documents, reports, messaging</w:t>
            </w:r>
          </w:p>
        </w:tc>
      </w:tr>
      <w:tr>
        <w:tc>
          <w:tcPr>
            <w:tcW w:type="dxa" w:w="3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HIPAA Compliance | obgynbillingpro.com</w:t>
            </w:r>
          </w:p>
        </w:tc>
        <w:tc>
          <w:tcPr>
            <w:tcW w:type="dxa" w:w="1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/hipaa</w:t>
            </w:r>
          </w:p>
        </w:tc>
        <w:tc>
          <w:tcPr>
            <w:tcW w:type="dxa" w:w="3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Legal compliance page — required for HIPAA BAA and trust signals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Privacy Policy | obgynbillingpro.com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/privacy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Legal privacy policy page</w:t>
            </w:r>
          </w:p>
        </w:tc>
      </w:tr>
      <w:tr>
        <w:tc>
          <w:tcPr>
            <w:tcW w:type="dxa" w:w="3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Thank You | Free Revenue Audit Request Received</w:t>
            </w:r>
          </w:p>
        </w:tc>
        <w:tc>
          <w:tcPr>
            <w:tcW w:type="dxa" w:w="1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/thank-you</w:t>
            </w:r>
          </w:p>
        </w:tc>
        <w:tc>
          <w:tcPr>
            <w:tcW w:type="dxa" w:w="3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Post-form-submission page with calendar booking CTA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RCM Health Grade Assessment | OB/GYN Billing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/assessment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Interactive billing health quiz — secondary lead magnet</w:t>
            </w:r>
          </w:p>
        </w:tc>
      </w:tr>
    </w:tbl>
    <w:p>
      <w:pPr>
        <w:spacing w:after="120"/>
      </w:pPr>
      <w:r>
        <w:t xml:space="preserve"/>
      </w:r>
    </w:p>
    <w:p>
      <w:pPr>
        <w:pStyle w:val="Heading2"/>
        <w:spacing w:after="160" w:before="300"/>
      </w:pPr>
      <w:r>
        <w:rPr>
          <w:rFonts w:ascii="Arial" w:cs="Arial" w:eastAsia="Arial" w:hAnsi="Arial"/>
          <w:b/>
          <w:bCs/>
          <w:color w:val="0E7C7B"/>
          <w:sz w:val="28"/>
          <w:szCs w:val="28"/>
        </w:rPr>
        <w:t xml:space="preserve">2.2 Specialty Service Landing Pages — Clean URL Structure</w:t>
      </w:r>
    </w:p>
    <w:p>
      <w:pPr>
        <w:pBdr>
          <w:left w:val="single" w:color="C0392B" w:sz="8" w:space="6"/>
        </w:pBdr>
        <w:spacing w:after="120" w:before="100"/>
        <w:ind w:left="360"/>
      </w:pPr>
      <w:r>
        <w:rPr>
          <w:rFonts w:ascii="Arial" w:cs="Arial" w:eastAsia="Arial" w:hAnsi="Arial"/>
          <w:b/>
          <w:bCs/>
          <w:color w:val="C0392B"/>
          <w:sz w:val="20"/>
          <w:szCs w:val="20"/>
        </w:rPr>
        <w:t xml:space="preserve">🔴 CRITICAL: All service pages use the format /service-name (NOT /services/service-name). In Next.js, place them in src/app/(marketing)/[service-slug]/page.tsx. The (marketing) route group keeps them organized but does NOT add to the URL.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100"/>
        <w:gridCol w:w="3760"/>
      </w:tblGrid>
      <w:tr>
        <w:trPr>
          <w:tblHeader/>
        </w:trPr>
        <w:tc>
          <w:tcPr>
            <w:tcW w:type="dxa" w:w="35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Page Title (SEO)</w:t>
            </w:r>
          </w:p>
        </w:tc>
        <w:tc>
          <w:tcPr>
            <w:tcW w:type="dxa" w:w="21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URL (Clean — No /services/ Prefix)</w:t>
            </w:r>
          </w:p>
        </w:tc>
        <w:tc>
          <w:tcPr>
            <w:tcW w:type="dxa" w:w="37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Primary Keyword Target</w:t>
            </w:r>
          </w:p>
        </w:tc>
      </w:tr>
      <w:tr>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Global Maternity Billing Services | OB/GYN Specialists</w:t>
            </w:r>
          </w:p>
        </w:tc>
        <w:tc>
          <w:tcPr>
            <w:tcW w:type="dxa" w:w="2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/global-maternity-billing</w:t>
            </w:r>
          </w:p>
        </w:tc>
        <w:tc>
          <w:tcPr>
            <w:tcW w:type="dxa" w:w="3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OB/GYN global maternity billing service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GYN Surgery Coding Services | CPT Expert Coders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/gyn-surgery-coding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Gynecology surgery CPT coding service</w:t>
            </w:r>
          </w:p>
        </w:tc>
      </w:tr>
      <w:tr>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OB/GYN Claim Denial Management | AI-Powered</w:t>
            </w:r>
          </w:p>
        </w:tc>
        <w:tc>
          <w:tcPr>
            <w:tcW w:type="dxa" w:w="2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/denial-management</w:t>
            </w:r>
          </w:p>
        </w:tc>
        <w:tc>
          <w:tcPr>
            <w:tcW w:type="dxa" w:w="3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AI-powered OB/GYN claim denial management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OB/GYN Physician Credentialing Services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/credentialing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OB/GYN physician credentialing service</w:t>
            </w:r>
          </w:p>
        </w:tc>
      </w:tr>
      <w:tr>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OB/GYN Revenue Cycle Management | Full RCM</w:t>
            </w:r>
          </w:p>
        </w:tc>
        <w:tc>
          <w:tcPr>
            <w:tcW w:type="dxa" w:w="2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/revenue-cycle-management</w:t>
            </w:r>
          </w:p>
        </w:tc>
        <w:tc>
          <w:tcPr>
            <w:tcW w:type="dxa" w:w="3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OB/GYN revenue cycle management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OB/GYN Medical Billing Coding Audits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/coding-audits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OB/GYN medical billing coding audit</w:t>
            </w:r>
          </w:p>
        </w:tc>
      </w:tr>
      <w:tr>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New OB/GYN Practice Billing Setup | Launch Ready</w:t>
            </w:r>
          </w:p>
        </w:tc>
        <w:tc>
          <w:tcPr>
            <w:tcW w:type="dxa" w:w="2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/practice-setup</w:t>
            </w:r>
          </w:p>
        </w:tc>
        <w:tc>
          <w:tcPr>
            <w:tcW w:type="dxa" w:w="3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New OB/GYN practice billing setup</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OB/GYN Telehealth Billing Services | 2026</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/telehealth-billing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OB/GYN telehealth billing service</w:t>
            </w:r>
          </w:p>
        </w:tc>
      </w:tr>
      <w:tr>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Infertility &amp; REI Billing Services | Specialists</w:t>
            </w:r>
          </w:p>
        </w:tc>
        <w:tc>
          <w:tcPr>
            <w:tcW w:type="dxa" w:w="2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/infertility-rei-billing</w:t>
            </w:r>
          </w:p>
        </w:tc>
        <w:tc>
          <w:tcPr>
            <w:tcW w:type="dxa" w:w="3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REI billing for infertility clinics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Urogynecology Billing &amp; Coding Services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/urogynecology-billing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Urogynecology billing complexity coding</w:t>
            </w:r>
          </w:p>
        </w:tc>
      </w:tr>
      <w:tr>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OB/GYN Patient Eligibility Verification</w:t>
            </w:r>
          </w:p>
        </w:tc>
        <w:tc>
          <w:tcPr>
            <w:tcW w:type="dxa" w:w="2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/eligibility-verification</w:t>
            </w:r>
          </w:p>
        </w:tc>
        <w:tc>
          <w:tcPr>
            <w:tcW w:type="dxa" w:w="3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Real-time OB/GYN eligibility verification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OB/GYN Fee Schedule Analysis &amp; Optimization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/fee-schedule-optimization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OB/GYN fee schedule optimizer payer contract</w:t>
            </w:r>
          </w:p>
        </w:tc>
      </w:tr>
    </w:tbl>
    <w:p>
      <w:pPr>
        <w:spacing w:after="120"/>
      </w:pPr>
      <w:r>
        <w:t xml:space="preserve"/>
      </w:r>
    </w:p>
    <w:p>
      <w:pPr>
        <w:pStyle w:val="Heading2"/>
        <w:spacing w:after="160" w:before="300"/>
      </w:pPr>
      <w:r>
        <w:rPr>
          <w:rFonts w:ascii="Arial" w:cs="Arial" w:eastAsia="Arial" w:hAnsi="Arial"/>
          <w:b/>
          <w:bCs/>
          <w:color w:val="0E7C7B"/>
          <w:sz w:val="28"/>
          <w:szCs w:val="28"/>
        </w:rPr>
        <w:t xml:space="preserve">2.3 Blog Category &amp; Sub-Pages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Blog Category</w:t>
            </w:r>
          </w:p>
        </w:tc>
        <w:tc>
          <w:tcPr>
            <w:tcW w:type="dxa" w:w="24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URL Prefix</w:t>
            </w:r>
          </w:p>
        </w:tc>
        <w:tc>
          <w:tcPr>
            <w:tcW w:type="dxa" w:w="47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Content Focus</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CPT &amp; ICD-10 Code Updates</w:t>
            </w:r>
          </w:p>
        </w:tc>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/blog/cpt-icd10-updates</w:t>
            </w:r>
          </w:p>
        </w:tc>
        <w:tc>
          <w:tcPr>
            <w:tcW w:type="dxa" w:w="4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Monthly posts targeting coders and practice managers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Denial Management Tips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/blog/denial-management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Tactical guides on specific payer denial codes</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Practice Revenue Optimization</w:t>
            </w:r>
          </w:p>
        </w:tc>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/blog/revenue-optimization</w:t>
            </w:r>
          </w:p>
        </w:tc>
        <w:tc>
          <w:tcPr>
            <w:tcW w:type="dxa" w:w="4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Educational content for physicians and administrators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Compliance &amp; HIPAA Updates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/blog/compliance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Regulatory content that builds authority</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Maternity Billing Guides</w:t>
            </w:r>
          </w:p>
        </w:tc>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/blog/maternity-billing</w:t>
            </w:r>
          </w:p>
        </w:tc>
        <w:tc>
          <w:tcPr>
            <w:tcW w:type="dxa" w:w="4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Deep dives on global period, antepartum, postpartum billing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GYN Surgery Coding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/blog/gyn-surgery-coding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Surgical modifier guides, CPT code deep dives</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Payer Policy Watch</w:t>
            </w:r>
          </w:p>
        </w:tc>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/blog/payer-policy</w:t>
            </w:r>
          </w:p>
        </w:tc>
        <w:tc>
          <w:tcPr>
            <w:tcW w:type="dxa" w:w="4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Payer-specific updates, Gold Card programs, Medicare Advantage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2027 Maternity Transition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/blog/2027-maternity-transition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Bridge content preparing practices for upcoming code shift</w:t>
            </w:r>
          </w:p>
        </w:tc>
      </w:tr>
    </w:tbl>
    <w:p>
      <w:pPr>
        <w:spacing w:after="120"/>
      </w:pPr>
      <w:r>
        <w:t xml:space="preserve"/>
      </w:r>
    </w:p>
    <w:p>
      <w:pPr>
        <w:pStyle w:val="Heading2"/>
        <w:spacing w:after="160" w:before="300"/>
      </w:pPr>
      <w:r>
        <w:rPr>
          <w:rFonts w:ascii="Arial" w:cs="Arial" w:eastAsia="Arial" w:hAnsi="Arial"/>
          <w:b/>
          <w:bCs/>
          <w:color w:val="0E7C7B"/>
          <w:sz w:val="28"/>
          <w:szCs w:val="28"/>
        </w:rPr>
        <w:t xml:space="preserve">2.4 Resource &amp; Regulatory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Page Title (SEO)</w:t>
            </w:r>
          </w:p>
        </w:tc>
        <w:tc>
          <w:tcPr>
            <w:tcW w:type="dxa" w:w="28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3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2027 Maternity Billing Transition Guide</w:t>
            </w:r>
          </w:p>
        </w:tc>
        <w:tc>
          <w:tcPr>
            <w:tcW w:type="dxa" w:w="2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/resources/2027-maternity-transition</w:t>
            </w:r>
          </w:p>
        </w:tc>
        <w:tc>
          <w:tcPr>
            <w:tcW w:type="dxa" w:w="3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Deep resource on the upcoming global-to-service-based billing shift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ICD-10-CM O-Code Reference Database | OB/GYN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/resources/icd10-o-codes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Searchable reference for obstetrics ICD-10 codes</w:t>
            </w:r>
          </w:p>
        </w:tc>
      </w:tr>
      <w:tr>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OB/GYN CPT Code Reference Library | 2026</w:t>
            </w:r>
          </w:p>
        </w:tc>
        <w:tc>
          <w:tcPr>
            <w:tcW w:type="dxa" w:w="2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/resources/cpt-library</w:t>
            </w:r>
          </w:p>
        </w:tc>
        <w:tc>
          <w:tcPr>
            <w:tcW w:type="dxa" w:w="3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Curated CPT code reference for common OB/GYN procedures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HIPAA Security Mandates for OB/GYN Practices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/resources/hipaa-security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Compliance resource explaining 2026 HIPAA security rule updates</w:t>
            </w:r>
          </w:p>
        </w:tc>
      </w:tr>
      <w:tr>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OB/GYN Billing Whitepapers &amp; Downloads</w:t>
            </w:r>
          </w:p>
        </w:tc>
        <w:tc>
          <w:tcPr>
            <w:tcW w:type="dxa" w:w="2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/resources/whitepapers</w:t>
            </w:r>
          </w:p>
        </w:tc>
        <w:tc>
          <w:tcPr>
            <w:tcW w:type="dxa" w:w="3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Gated PDF downloads — lead generation assets</w:t>
            </w:r>
          </w:p>
        </w:tc>
      </w:tr>
    </w:tbl>
    <w:p>
      <w:r>
        <w:br w:type="page"/>
      </w:r>
    </w:p>
    <w:p>
      <w:pPr>
        <w:pStyle w:val="Heading1"/>
        <w:spacing w:after="200" w:before="400"/>
      </w:pPr>
      <w:r>
        <w:rPr>
          <w:rFonts w:ascii="Arial" w:cs="Arial" w:eastAsia="Arial" w:hAnsi="Arial"/>
          <w:b/>
          <w:bCs/>
          <w:color w:val="1A2B3C"/>
          <w:sz w:val="36"/>
          <w:szCs w:val="36"/>
        </w:rPr>
        <w:t xml:space="preserve">3. Next.js Build Guide — Developer Reference</w:t>
      </w:r>
    </w:p>
    <w:p>
      <w:pPr>
        <w:pBdr>
          <w:left w:val="single" w:color="D97706" w:sz="8" w:space="6"/>
        </w:pBdr>
        <w:spacing w:after="120" w:before="80"/>
        <w:ind w:left="360"/>
      </w:pPr>
      <w:r>
        <w:rPr>
          <w:rFonts w:ascii="Arial" w:cs="Arial" w:eastAsia="Arial" w:hAnsi="Arial"/>
          <w:i/>
          <w:iCs/>
          <w:color w:val="7B4F00"/>
          <w:sz w:val="20"/>
          <w:szCs w:val="20"/>
        </w:rPr>
        <w:t xml:space="preserve">⚠ NOTE: This section is written for developers who may be new to Next.js. Every concept is explained clearly. Follow the instructions in order.</w:t>
      </w:r>
    </w:p>
    <w:p>
      <w:pPr>
        <w:spacing w:after="120"/>
      </w:pPr>
      <w:r>
        <w:t xml:space="preserve"/>
      </w:r>
    </w:p>
    <w:p>
      <w:pPr>
        <w:pStyle w:val="Heading2"/>
        <w:spacing w:after="160" w:before="300"/>
      </w:pPr>
      <w:r>
        <w:rPr>
          <w:rFonts w:ascii="Arial" w:cs="Arial" w:eastAsia="Arial" w:hAnsi="Arial"/>
          <w:b/>
          <w:bCs/>
          <w:color w:val="0E7C7B"/>
          <w:sz w:val="28"/>
          <w:szCs w:val="28"/>
        </w:rPr>
        <w:t xml:space="preserve">3.1 What is Next.js and Why Are We Using It?</w:t>
      </w:r>
    </w:p>
    <w:p>
      <w:pPr>
        <w:spacing w:after="120"/>
      </w:pPr>
      <w:r>
        <w:rPr>
          <w:rFonts w:ascii="Arial" w:cs="Arial" w:eastAsia="Arial" w:hAnsi="Arial"/>
          <w:color w:val="4A5568"/>
          <w:sz w:val="22"/>
          <w:szCs w:val="22"/>
        </w:rPr>
        <w:t xml:space="preserve">Next.js is a web framework built on React. It handles rendering (how pages are built and served), routing (how URLs map to pages), API routes (server-side logic), image optimization, and SEO features — all in one package. We use the App Router version (Next.js 14+), which is the modern, recommended approach.</w:t>
      </w:r>
    </w:p>
    <w:p>
      <w:pPr>
        <w:spacing w:after="120"/>
      </w:pPr>
      <w:r>
        <w:rPr>
          <w:rFonts w:ascii="Arial" w:cs="Arial" w:eastAsia="Arial" w:hAnsi="Arial"/>
          <w:color w:val="4A5568"/>
          <w:sz w:val="22"/>
          <w:szCs w:val="22"/>
        </w:rPr>
        <w:t xml:space="preserve">Key benefits for this project:</w:t>
      </w:r>
    </w:p>
    <w:p>
      <w:pPr>
        <w:pStyle w:val="ListParagraph"/>
        <w:numPr>
          <w:ilvl w:val="0"/>
          <w:numId w:val="2"/>
        </w:numPr>
        <w:spacing w:after="80"/>
      </w:pPr>
      <w:r>
        <w:rPr>
          <w:rFonts w:ascii="Arial" w:cs="Arial" w:eastAsia="Arial" w:hAnsi="Arial"/>
          <w:color w:val="4A5568"/>
          <w:sz w:val="22"/>
          <w:szCs w:val="22"/>
        </w:rPr>
        <w:t xml:space="preserve">Server-Side Rendering (SSR): Pages are built on the server, so search engines can read them — crucial for SEO</w:t>
      </w:r>
    </w:p>
    <w:p>
      <w:pPr>
        <w:pStyle w:val="ListParagraph"/>
        <w:numPr>
          <w:ilvl w:val="0"/>
          <w:numId w:val="2"/>
        </w:numPr>
        <w:spacing w:after="80"/>
      </w:pPr>
      <w:r>
        <w:rPr>
          <w:rFonts w:ascii="Arial" w:cs="Arial" w:eastAsia="Arial" w:hAnsi="Arial"/>
          <w:color w:val="4A5568"/>
          <w:sz w:val="22"/>
          <w:szCs w:val="22"/>
        </w:rPr>
        <w:t xml:space="preserve">Static Site Generation (SSG): Marketing pages are pre-built at deployment for maximum speed</w:t>
      </w:r>
    </w:p>
    <w:p>
      <w:pPr>
        <w:pStyle w:val="ListParagraph"/>
        <w:numPr>
          <w:ilvl w:val="0"/>
          <w:numId w:val="2"/>
        </w:numPr>
        <w:spacing w:after="80"/>
      </w:pPr>
      <w:r>
        <w:rPr>
          <w:rFonts w:ascii="Arial" w:cs="Arial" w:eastAsia="Arial" w:hAnsi="Arial"/>
          <w:color w:val="4A5568"/>
          <w:sz w:val="22"/>
          <w:szCs w:val="22"/>
        </w:rPr>
        <w:t xml:space="preserve">Incremental Static Regeneration (ISR): Blog posts update automatically without rebuilding the whole site</w:t>
      </w:r>
    </w:p>
    <w:p>
      <w:pPr>
        <w:pStyle w:val="ListParagraph"/>
        <w:numPr>
          <w:ilvl w:val="0"/>
          <w:numId w:val="2"/>
        </w:numPr>
        <w:spacing w:after="80"/>
      </w:pPr>
      <w:r>
        <w:rPr>
          <w:rFonts w:ascii="Arial" w:cs="Arial" w:eastAsia="Arial" w:hAnsi="Arial"/>
          <w:color w:val="4A5568"/>
          <w:sz w:val="22"/>
          <w:szCs w:val="22"/>
        </w:rPr>
        <w:t xml:space="preserve">React Server Components: Reduces JavaScript sent to the browser — faster page loads</w:t>
      </w:r>
    </w:p>
    <w:p>
      <w:pPr>
        <w:pStyle w:val="ListParagraph"/>
        <w:numPr>
          <w:ilvl w:val="0"/>
          <w:numId w:val="2"/>
        </w:numPr>
        <w:spacing w:after="80"/>
      </w:pPr>
      <w:r>
        <w:rPr>
          <w:rFonts w:ascii="Arial" w:cs="Arial" w:eastAsia="Arial" w:hAnsi="Arial"/>
          <w:color w:val="4A5568"/>
          <w:sz w:val="22"/>
          <w:szCs w:val="22"/>
        </w:rPr>
        <w:t xml:space="preserve">Built-in image optimization: Automatically converts images to WebP/AVIF format</w:t>
      </w:r>
    </w:p>
    <w:p>
      <w:pPr>
        <w:pStyle w:val="ListParagraph"/>
        <w:numPr>
          <w:ilvl w:val="0"/>
          <w:numId w:val="2"/>
        </w:numPr>
        <w:spacing w:after="80"/>
      </w:pPr>
      <w:r>
        <w:rPr>
          <w:rFonts w:ascii="Arial" w:cs="Arial" w:eastAsia="Arial" w:hAnsi="Arial"/>
          <w:color w:val="4A5568"/>
          <w:sz w:val="22"/>
          <w:szCs w:val="22"/>
        </w:rPr>
        <w:t xml:space="preserve">Built-in font optimization: Loads Google Fonts efficiently with no layout shift</w:t>
      </w:r>
    </w:p>
    <w:p>
      <w:pPr>
        <w:spacing w:after="120"/>
      </w:pPr>
      <w:r>
        <w:t xml:space="preserve"/>
      </w:r>
    </w:p>
    <w:p>
      <w:pPr>
        <w:pStyle w:val="Heading2"/>
        <w:spacing w:after="160" w:before="300"/>
      </w:pPr>
      <w:r>
        <w:rPr>
          <w:rFonts w:ascii="Arial" w:cs="Arial" w:eastAsia="Arial" w:hAnsi="Arial"/>
          <w:b/>
          <w:bCs/>
          <w:color w:val="0E7C7B"/>
          <w:sz w:val="28"/>
          <w:szCs w:val="28"/>
        </w:rPr>
        <w:t xml:space="preserve">3.2 How URL Routing Works in Next.js App Router</w:t>
      </w:r>
    </w:p>
    <w:p>
      <w:pPr>
        <w:spacing w:after="120"/>
      </w:pPr>
      <w:r>
        <w:rPr>
          <w:rFonts w:ascii="Arial" w:cs="Arial" w:eastAsia="Arial" w:hAnsi="Arial"/>
          <w:color w:val="4A5568"/>
          <w:sz w:val="22"/>
          <w:szCs w:val="22"/>
        </w:rPr>
        <w:t xml:space="preserve">In Next.js App Router, the file system IS the routing system. The folder structure creates the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22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5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src/app/page.tsx</w:t>
            </w:r>
          </w:p>
        </w:tc>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w:t>
            </w:r>
          </w:p>
        </w:tc>
        <w:tc>
          <w:tcPr>
            <w:tcW w:type="dxa" w:w="35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Homepage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src/app/about/page.tsx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/about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About page</w:t>
            </w:r>
          </w:p>
        </w:tc>
      </w:tr>
      <w:tr>
        <w:tc>
          <w:tcPr>
            <w:tcW w:type="dxa" w:w="3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src/app/(marketing)/global-maternity-billing/page.tsx</w:t>
            </w:r>
          </w:p>
        </w:tc>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/global-maternity-billing</w:t>
            </w:r>
          </w:p>
        </w:tc>
        <w:tc>
          <w:tcPr>
            <w:tcW w:type="dxa" w:w="35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Service page — (marketing) is a route group, invisible in URL</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src/app/(marketing)/denial-management/page.tsx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/denial-management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Another service page — clean URL, no /services/ prefix</w:t>
            </w:r>
          </w:p>
        </w:tc>
      </w:tr>
      <w:tr>
        <w:tc>
          <w:tcPr>
            <w:tcW w:type="dxa" w:w="3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src/app/(portal)/portal/dashboard/page.tsx</w:t>
            </w:r>
          </w:p>
        </w:tc>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/portal/dashboard</w:t>
            </w:r>
          </w:p>
        </w:tc>
        <w:tc>
          <w:tcPr>
            <w:tcW w:type="dxa" w:w="35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Portal page — (portal) is also a route group</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src/app/blog/[slug]/page.tsx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/blog/any-post-title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Dynamic blog post — [slug] is a URL parameter</w:t>
            </w:r>
          </w:p>
        </w:tc>
      </w:tr>
      <w:tr>
        <w:tc>
          <w:tcPr>
            <w:tcW w:type="dxa" w:w="3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src/app/api/leads/route.ts</w:t>
            </w:r>
          </w:p>
        </w:tc>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/api/leads</w:t>
            </w:r>
          </w:p>
        </w:tc>
        <w:tc>
          <w:tcPr>
            <w:tcW w:type="dxa" w:w="35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API endpoint — handles form submissions</w:t>
            </w:r>
          </w:p>
        </w:tc>
      </w:tr>
    </w:tbl>
    <w:p>
      <w:pPr>
        <w:pBdr>
          <w:left w:val="single" w:color="D97706" w:sz="8" w:space="6"/>
        </w:pBdr>
        <w:spacing w:after="120" w:before="80"/>
        <w:ind w:left="360"/>
      </w:pPr>
      <w:r>
        <w:rPr>
          <w:rFonts w:ascii="Arial" w:cs="Arial" w:eastAsia="Arial" w:hAnsi="Arial"/>
          <w:i/>
          <w:iCs/>
          <w:color w:val="7B4F00"/>
          <w:sz w:val="20"/>
          <w:szCs w:val="20"/>
        </w:rPr>
        <w:t xml:space="preserve">⚠ NOTE: Route groups like (marketing) and (portal) let you organize your files in folders without those folder names appearing in the URL. The parentheses tell Next.js to use it as organization only.</w:t>
      </w:r>
    </w:p>
    <w:p>
      <w:pPr>
        <w:spacing w:after="120"/>
      </w:pPr>
      <w:r>
        <w:t xml:space="preserve"/>
      </w:r>
    </w:p>
    <w:p>
      <w:pPr>
        <w:pStyle w:val="Heading2"/>
        <w:spacing w:after="160" w:before="300"/>
      </w:pPr>
      <w:r>
        <w:rPr>
          <w:rFonts w:ascii="Arial" w:cs="Arial" w:eastAsia="Arial" w:hAnsi="Arial"/>
          <w:b/>
          <w:bCs/>
          <w:color w:val="0E7C7B"/>
          <w:sz w:val="28"/>
          <w:szCs w:val="28"/>
        </w:rPr>
        <w:t xml:space="preserve">3.3 Project Initialization</w:t>
      </w:r>
    </w:p>
    <w:p>
      <w:pPr>
        <w:pStyle w:val="Heading3"/>
        <w:spacing w:after="120" w:before="200"/>
      </w:pPr>
      <w:r>
        <w:rPr>
          <w:rFonts w:ascii="Arial" w:cs="Arial" w:eastAsia="Arial" w:hAnsi="Arial"/>
          <w:b/>
          <w:bCs/>
          <w:color w:val="1A2B3C"/>
          <w:sz w:val="24"/>
          <w:szCs w:val="24"/>
        </w:rPr>
        <w:t xml:space="preserve">Bootstrap Command</w:t>
      </w:r>
    </w:p>
    <w:p>
      <w:pPr>
        <w:shd w:fill="1A2B3C" w:val="clear"/>
        <w:spacing w:after="80"/>
      </w:pPr>
      <w:r>
        <w:rPr>
          <w:rFonts w:ascii="Courier New" w:cs="Courier New" w:eastAsia="Courier New" w:hAnsi="Courier New"/>
          <w:color w:val="00FF88"/>
          <w:sz w:val="20"/>
          <w:szCs w:val="20"/>
        </w:rPr>
        <w:t xml:space="preserve">npx create-next-app@latest obgynbillingpro --typescript --tailwind --eslint --app --src-dir --import-alias '@/*'</w:t>
      </w:r>
    </w:p>
    <w:p>
      <w:pPr>
        <w:spacing w:after="120"/>
      </w:pPr>
      <w:r>
        <w:t xml:space="preserve"/>
      </w:r>
    </w:p>
    <w:p>
      <w:pPr>
        <w:pStyle w:val="Heading3"/>
        <w:spacing w:after="120" w:before="200"/>
      </w:pPr>
      <w:r>
        <w:rPr>
          <w:rFonts w:ascii="Arial" w:cs="Arial" w:eastAsia="Arial" w:hAnsi="Arial"/>
          <w:b/>
          <w:bCs/>
          <w:color w:val="1A2B3C"/>
          <w:sz w:val="24"/>
          <w:szCs w:val="24"/>
        </w:rPr>
        <w:t xml:space="preserve">Required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5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3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next</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14+</w:t>
            </w:r>
          </w:p>
        </w:tc>
        <w:tc>
          <w:tcPr>
            <w:tcW w:type="dxa" w:w="5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Core framework — App Router, RSC, ISR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react / react-dom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18+</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UI library</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tailwindcss</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3+</w:t>
            </w:r>
          </w:p>
        </w:tc>
        <w:tc>
          <w:tcPr>
            <w:tcW w:type="dxa" w:w="5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Utility-first styling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@shadcn/ui</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Accessible component primitives</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framer-motion</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10+</w:t>
            </w:r>
          </w:p>
        </w:tc>
        <w:tc>
          <w:tcPr>
            <w:tcW w:type="dxa" w:w="5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Animations and micro-interactions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react-hook-form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Performant, type-safe forms</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zod</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3+</w:t>
            </w:r>
          </w:p>
        </w:tc>
        <w:tc>
          <w:tcPr>
            <w:tcW w:type="dxa" w:w="5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Schema validation (client + server)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next-auth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4+ or 5 beta</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Authentication — OAuth, magic link, MFA</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prisma</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5+</w:t>
            </w:r>
          </w:p>
        </w:tc>
        <w:tc>
          <w:tcPr>
            <w:tcW w:type="dxa" w:w="5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Type-safe ORM for PostgreSQL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@aws-sdk/client-s3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S3 file uploads (HIPAA compliant)</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next-sitemap</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4+</w:t>
            </w:r>
          </w:p>
        </w:tc>
        <w:tc>
          <w:tcPr>
            <w:tcW w:type="dxa" w:w="5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Automatic sitemap generation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resend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Transactional email with BAA</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zustand</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4+</w:t>
            </w:r>
          </w:p>
        </w:tc>
        <w:tc>
          <w:tcPr>
            <w:tcW w:type="dxa" w:w="5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Lightweight client state (calculator, portal UI)</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recharts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2+</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Data visualization (portal dashboard)</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@sanity/client</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latest</w:t>
            </w:r>
          </w:p>
        </w:tc>
        <w:tc>
          <w:tcPr>
            <w:tcW w:type="dxa" w:w="5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Headless CMS integration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inngest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Background jobs — report generation, emails</w:t>
            </w:r>
          </w:p>
        </w:tc>
      </w:tr>
    </w:tbl>
    <w:p>
      <w:pPr>
        <w:spacing w:after="120"/>
      </w:pPr>
      <w:r>
        <w:t xml:space="preserve"/>
      </w:r>
    </w:p>
    <w:p>
      <w:pPr>
        <w:pStyle w:val="Heading2"/>
        <w:spacing w:after="160" w:before="300"/>
      </w:pPr>
      <w:r>
        <w:rPr>
          <w:rFonts w:ascii="Arial" w:cs="Arial" w:eastAsia="Arial" w:hAnsi="Arial"/>
          <w:b/>
          <w:bCs/>
          <w:color w:val="0E7C7B"/>
          <w:sz w:val="28"/>
          <w:szCs w:val="28"/>
        </w:rPr>
        <w:t xml:space="preserve">3.4 Complete Folder Structure</w:t>
      </w:r>
    </w:p>
    <w:p>
      <w:pPr>
        <w:spacing w:after="120"/>
      </w:pPr>
      <w:r>
        <w:rPr>
          <w:rFonts w:ascii="Arial" w:cs="Arial" w:eastAsia="Arial" w:hAnsi="Arial"/>
          <w:color w:val="4A5568"/>
          <w:sz w:val="22"/>
          <w:szCs w:val="22"/>
        </w:rPr>
        <w:t xml:space="preserve">This structure follows Next.js App Router conventions. Every file location maps directly to a URL or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Directory / File</w:t>
            </w:r>
          </w:p>
        </w:tc>
        <w:tc>
          <w:tcPr>
            <w:tcW w:type="dxa" w:w="59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src/app/</w:t>
            </w:r>
          </w:p>
        </w:tc>
        <w:tc>
          <w:tcPr>
            <w:tcW w:type="dxa" w:w="5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App Router root — all pages and layouts live here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src/app/layout.tsx</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Root layout — global fonts, metadata, analytics tags</w:t>
            </w:r>
          </w:p>
        </w:tc>
      </w:tr>
      <w:tr>
        <w:tc>
          <w:tcPr>
            <w:tcW w:type="dxa" w:w="3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src/app/page.tsx</w:t>
            </w:r>
          </w:p>
        </w:tc>
        <w:tc>
          <w:tcPr>
            <w:tcW w:type="dxa" w:w="5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Homepage ( / )</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src/app/(marketing)/</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Route group for all public marketing pages — invisible in URL</w:t>
            </w:r>
          </w:p>
        </w:tc>
      </w:tr>
      <w:tr>
        <w:tc>
          <w:tcPr>
            <w:tcW w:type="dxa" w:w="3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src/app/(marketing)/about/page.tsx</w:t>
            </w:r>
          </w:p>
        </w:tc>
        <w:tc>
          <w:tcPr>
            <w:tcW w:type="dxa" w:w="5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About page → /about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src/app/(marketing)/services/page.tsx</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Services overview hub → /services</w:t>
            </w:r>
          </w:p>
        </w:tc>
      </w:tr>
      <w:tr>
        <w:tc>
          <w:tcPr>
            <w:tcW w:type="dxa" w:w="3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src/app/(marketing)/global-maternity-billing/page.tsx</w:t>
            </w:r>
          </w:p>
        </w:tc>
        <w:tc>
          <w:tcPr>
            <w:tcW w:type="dxa" w:w="5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Maternity billing page → /global-maternity-billing</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src/app/(marketing)/denial-management/page.tsx</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Denial management page → /denial-management</w:t>
            </w:r>
          </w:p>
        </w:tc>
      </w:tr>
      <w:tr>
        <w:tc>
          <w:tcPr>
            <w:tcW w:type="dxa" w:w="3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src/app/(marketing)/gyn-surgery-coding/page.tsx</w:t>
            </w:r>
          </w:p>
        </w:tc>
        <w:tc>
          <w:tcPr>
            <w:tcW w:type="dxa" w:w="5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GYN surgery coding page → /gyn-surgery-coding</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src/app/(marketing)/credentialing/page.tsx</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Credentialing page → /credentialing</w:t>
            </w:r>
          </w:p>
        </w:tc>
      </w:tr>
      <w:tr>
        <w:tc>
          <w:tcPr>
            <w:tcW w:type="dxa" w:w="3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src/app/(marketing)/revenue-cycle-management/page.tsx</w:t>
            </w:r>
          </w:p>
        </w:tc>
        <w:tc>
          <w:tcPr>
            <w:tcW w:type="dxa" w:w="5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RCM page → /revenue-cycle-management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src/app/(marketing)/coding-audits/page.tsx</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Coding audits page → /coding-audits</w:t>
            </w:r>
          </w:p>
        </w:tc>
      </w:tr>
      <w:tr>
        <w:tc>
          <w:tcPr>
            <w:tcW w:type="dxa" w:w="3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src/app/(marketing)/practice-setup/page.tsx</w:t>
            </w:r>
          </w:p>
        </w:tc>
        <w:tc>
          <w:tcPr>
            <w:tcW w:type="dxa" w:w="5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Practice setup page → /practice-setup</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src/app/(marketing)/telehealth-billing/page.tsx</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Telehealth billing page → /telehealth-billing</w:t>
            </w:r>
          </w:p>
        </w:tc>
      </w:tr>
      <w:tr>
        <w:tc>
          <w:tcPr>
            <w:tcW w:type="dxa" w:w="3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src/app/(marketing)/calculator/page.tsx</w:t>
            </w:r>
          </w:p>
        </w:tc>
        <w:tc>
          <w:tcPr>
            <w:tcW w:type="dxa" w:w="5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Revenue Leakage Calculator → /calculator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src/app/(marketing)/blog/page.tsx</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Blog listing page → /blog</w:t>
            </w:r>
          </w:p>
        </w:tc>
      </w:tr>
      <w:tr>
        <w:tc>
          <w:tcPr>
            <w:tcW w:type="dxa" w:w="3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src/app/(marketing)/blog/[slug]/page.tsx</w:t>
            </w:r>
          </w:p>
        </w:tc>
        <w:tc>
          <w:tcPr>
            <w:tcW w:type="dxa" w:w="5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Individual blog posts (ISR via Sanity CMS)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src/app/(portal)/</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Route group for authenticated portal pages — invisible in URL</w:t>
            </w:r>
          </w:p>
        </w:tc>
      </w:tr>
      <w:tr>
        <w:tc>
          <w:tcPr>
            <w:tcW w:type="dxa" w:w="3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src/app/(portal)/portal/dashboard/page.tsx</w:t>
            </w:r>
          </w:p>
        </w:tc>
        <w:tc>
          <w:tcPr>
            <w:tcW w:type="dxa" w:w="5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Client portal dashboard → /portal/dashboard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src/app/(portal)/portal/documents/page.tsx</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Document upload module → /portal/documents</w:t>
            </w:r>
          </w:p>
        </w:tc>
      </w:tr>
      <w:tr>
        <w:tc>
          <w:tcPr>
            <w:tcW w:type="dxa" w:w="3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src/app/(portal)/portal/reports/page.tsx</w:t>
            </w:r>
          </w:p>
        </w:tc>
        <w:tc>
          <w:tcPr>
            <w:tcW w:type="dxa" w:w="5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AR &amp; billing reports → /portal/reports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src/app/(portal)/portal/messages/page.tsx</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In-app messaging → /portal/messages</w:t>
            </w:r>
          </w:p>
        </w:tc>
      </w:tr>
      <w:tr>
        <w:tc>
          <w:tcPr>
            <w:tcW w:type="dxa" w:w="3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src/app/api/leads/route.ts</w:t>
            </w:r>
          </w:p>
        </w:tc>
        <w:tc>
          <w:tcPr>
            <w:tcW w:type="dxa" w:w="5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Lead capture API endpoint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src/app/api/presign/route.ts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S3 pre-signed URL generation for file uploads</w:t>
            </w:r>
          </w:p>
        </w:tc>
      </w:tr>
      <w:tr>
        <w:tc>
          <w:tcPr>
            <w:tcW w:type="dxa" w:w="3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src/app/api/reports/route.ts</w:t>
            </w:r>
          </w:p>
        </w:tc>
        <w:tc>
          <w:tcPr>
            <w:tcW w:type="dxa" w:w="5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PDF report generation endpoint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src/app/api/auth/[...nextauth]/route.ts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NextAuth.js authentication handler</w:t>
            </w:r>
          </w:p>
        </w:tc>
      </w:tr>
      <w:tr>
        <w:tc>
          <w:tcPr>
            <w:tcW w:type="dxa" w:w="3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src/components/</w:t>
            </w:r>
          </w:p>
        </w:tc>
        <w:tc>
          <w:tcPr>
            <w:tcW w:type="dxa" w:w="5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Shared React components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src/components/ui/</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shadcn/ui primitive components</w:t>
            </w:r>
          </w:p>
        </w:tc>
      </w:tr>
      <w:tr>
        <w:tc>
          <w:tcPr>
            <w:tcW w:type="dxa" w:w="3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src/components/layout/Header.tsx</w:t>
            </w:r>
          </w:p>
        </w:tc>
        <w:tc>
          <w:tcPr>
            <w:tcW w:type="dxa" w:w="5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Site header component — uses NEXT_PUBLIC_PHONE and NEXT_PUBLIC_EMAIL</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src/components/layout/Footer.tsx</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Site footer component — uses NEXT_PUBLIC_PHONE and NEXT_PUBLIC_EMAIL</w:t>
            </w:r>
          </w:p>
        </w:tc>
      </w:tr>
      <w:tr>
        <w:tc>
          <w:tcPr>
            <w:tcW w:type="dxa" w:w="3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src/components/calculator/</w:t>
            </w:r>
          </w:p>
        </w:tc>
        <w:tc>
          <w:tcPr>
            <w:tcW w:type="dxa" w:w="5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Revenue Leakage Calculator components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src/components/portal/</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Portal-specific components</w:t>
            </w:r>
          </w:p>
        </w:tc>
      </w:tr>
      <w:tr>
        <w:tc>
          <w:tcPr>
            <w:tcW w:type="dxa" w:w="3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src/lib/prisma.ts</w:t>
            </w:r>
          </w:p>
        </w:tc>
        <w:tc>
          <w:tcPr>
            <w:tcW w:type="dxa" w:w="5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Prisma client singleton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src/lib/s3.ts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AWS S3 client configuration</w:t>
            </w:r>
          </w:p>
        </w:tc>
      </w:tr>
      <w:tr>
        <w:tc>
          <w:tcPr>
            <w:tcW w:type="dxa" w:w="3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src/lib/email.ts</w:t>
            </w:r>
          </w:p>
        </w:tc>
        <w:tc>
          <w:tcPr>
            <w:tcW w:type="dxa" w:w="5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Resend email client and templates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src/lib/auth.ts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NextAuth.js configuration</w:t>
            </w:r>
          </w:p>
        </w:tc>
      </w:tr>
      <w:tr>
        <w:tc>
          <w:tcPr>
            <w:tcW w:type="dxa" w:w="3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src/lib/validations/</w:t>
            </w:r>
          </w:p>
        </w:tc>
        <w:tc>
          <w:tcPr>
            <w:tcW w:type="dxa" w:w="5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Zod schemas for all forms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prisma/schema.prisma</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Database schema — leads, clients, documents, messages</w:t>
            </w:r>
          </w:p>
        </w:tc>
      </w:tr>
      <w:tr>
        <w:tc>
          <w:tcPr>
            <w:tcW w:type="dxa" w:w="3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public/</w:t>
            </w:r>
          </w:p>
        </w:tc>
        <w:tc>
          <w:tcPr>
            <w:tcW w:type="dxa" w:w="5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Static assets — images, fonts, icons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next.config.js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Next.js configuration — security headers, image domains, ISR</w:t>
            </w:r>
          </w:p>
        </w:tc>
      </w:tr>
      <w:tr>
        <w:tc>
          <w:tcPr>
            <w:tcW w:type="dxa" w:w="3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.env.local</w:t>
            </w:r>
          </w:p>
        </w:tc>
        <w:tc>
          <w:tcPr>
            <w:tcW w:type="dxa" w:w="5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Environment variables — NEVER commit to git</w:t>
            </w:r>
          </w:p>
        </w:tc>
      </w:tr>
    </w:tbl>
    <w:p>
      <w:pPr>
        <w:spacing w:after="120"/>
      </w:pPr>
      <w:r>
        <w:t xml:space="preserve"/>
      </w:r>
    </w:p>
    <w:p>
      <w:pPr>
        <w:pStyle w:val="Heading2"/>
        <w:spacing w:after="160" w:before="300"/>
      </w:pPr>
      <w:r>
        <w:rPr>
          <w:rFonts w:ascii="Arial" w:cs="Arial" w:eastAsia="Arial" w:hAnsi="Arial"/>
          <w:b/>
          <w:bCs/>
          <w:color w:val="0E7C7B"/>
          <w:sz w:val="28"/>
          <w:szCs w:val="28"/>
        </w:rPr>
        <w:t xml:space="preserve">3.5 Environment Variables (.env.local)</w:t>
      </w:r>
    </w:p>
    <w:p>
      <w:pPr>
        <w:pBdr>
          <w:left w:val="single" w:color="C0392B" w:sz="8" w:space="6"/>
        </w:pBdr>
        <w:spacing w:after="120" w:before="100"/>
        <w:ind w:left="360"/>
      </w:pPr>
      <w:r>
        <w:rPr>
          <w:rFonts w:ascii="Arial" w:cs="Arial" w:eastAsia="Arial" w:hAnsi="Arial"/>
          <w:b/>
          <w:bCs/>
          <w:color w:val="C0392B"/>
          <w:sz w:val="20"/>
          <w:szCs w:val="20"/>
        </w:rPr>
        <w:t xml:space="preserve">🔴 CRITICAL: NEVER commit .env.local to Git. Add it to .gitignore. These variables contain secrets.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1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NEXT_PUBLIC_PHONE</w:t>
            </w:r>
          </w:p>
        </w:tc>
        <w:tc>
          <w:tcPr>
            <w:tcW w:type="dxa" w:w="6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Your phone number — {{PHONE}} — used in Header, Footer, Contact page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NEXT_PUBLIC_EMAIL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Your email — {{EMAIL}} — used in Header, Footer, Contact page, lead forms</w:t>
            </w:r>
          </w:p>
        </w:tc>
      </w:tr>
      <w:tr>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NEXT_PUBLIC_SITE_URL</w:t>
            </w:r>
          </w:p>
        </w:tc>
        <w:tc>
          <w:tcPr>
            <w:tcW w:type="dxa" w:w="6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https://obgynbillingpro.com — used for canonical URLs and OG tags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DATABASE_URL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PostgreSQL connection string (Supabase or AWS RDS)</w:t>
            </w:r>
          </w:p>
        </w:tc>
      </w:tr>
      <w:tr>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NEXTAUTH_SECRET</w:t>
            </w:r>
          </w:p>
        </w:tc>
        <w:tc>
          <w:tcPr>
            <w:tcW w:type="dxa" w:w="6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Random 32+ character string for JWT signing — generate with: openssl rand -base64 32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NEXTAUTH_URL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Full URL of the site (https://obgynbillingpro.com)</w:t>
            </w:r>
          </w:p>
        </w:tc>
      </w:tr>
      <w:tr>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AWS_ACCESS_KEY_ID</w:t>
            </w:r>
          </w:p>
        </w:tc>
        <w:tc>
          <w:tcPr>
            <w:tcW w:type="dxa" w:w="6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AWS IAM user for S3 access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AWS_SECRET_ACCESS_KEY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AWS IAM user secret</w:t>
            </w:r>
          </w:p>
        </w:tc>
      </w:tr>
      <w:tr>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AWS_REGION</w:t>
            </w:r>
          </w:p>
        </w:tc>
        <w:tc>
          <w:tcPr>
            <w:tcW w:type="dxa" w:w="6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AWS region (e.g., us-east-1)</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AWS_S3_BUCKET_NAME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HIPAA-compliant S3 bucket name</w:t>
            </w:r>
          </w:p>
        </w:tc>
      </w:tr>
      <w:tr>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RESEND_API_KEY</w:t>
            </w:r>
          </w:p>
        </w:tc>
        <w:tc>
          <w:tcPr>
            <w:tcW w:type="dxa" w:w="6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Resend transactional email API key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SANITY_PROJECT_ID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Sanity.io project ID for CMS</w:t>
            </w:r>
          </w:p>
        </w:tc>
      </w:tr>
      <w:tr>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SANITY_DATASET</w:t>
            </w:r>
          </w:p>
        </w:tc>
        <w:tc>
          <w:tcPr>
            <w:tcW w:type="dxa" w:w="6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Sanity dataset (production / staging)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SANITY_API_TOKEN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Sanity API token for server-side fetching</w:t>
            </w:r>
          </w:p>
        </w:tc>
      </w:tr>
      <w:tr>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HUBSPOT_API_KEY</w:t>
            </w:r>
          </w:p>
        </w:tc>
        <w:tc>
          <w:tcPr>
            <w:tcW w:type="dxa" w:w="6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HubSpot CRM integration for leads (optional)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CLAMAV_HOST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ClamAV virus scanning service host</w:t>
            </w:r>
          </w:p>
        </w:tc>
      </w:tr>
      <w:tr>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CLAMAV_PORT</w:t>
            </w:r>
          </w:p>
        </w:tc>
        <w:tc>
          <w:tcPr>
            <w:tcW w:type="dxa" w:w="6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ClamAV virus scanning service port</w:t>
            </w:r>
          </w:p>
        </w:tc>
      </w:tr>
    </w:tbl>
    <w:p>
      <w:pPr>
        <w:spacing w:after="120"/>
      </w:pPr>
      <w:r>
        <w:t xml:space="preserve"/>
      </w:r>
    </w:p>
    <w:p>
      <w:pPr>
        <w:pStyle w:val="Heading2"/>
        <w:spacing w:after="160" w:before="300"/>
      </w:pPr>
      <w:r>
        <w:rPr>
          <w:rFonts w:ascii="Arial" w:cs="Arial" w:eastAsia="Arial" w:hAnsi="Arial"/>
          <w:b/>
          <w:bCs/>
          <w:color w:val="0E7C7B"/>
          <w:sz w:val="28"/>
          <w:szCs w:val="28"/>
        </w:rPr>
        <w:t xml:space="preserve">3.6 Header &amp; Footer — Separate Components with Shortcodes</w:t>
      </w:r>
    </w:p>
    <w:p>
      <w:pPr>
        <w:pStyle w:val="Heading3"/>
        <w:spacing w:after="120" w:before="200"/>
      </w:pPr>
      <w:r>
        <w:rPr>
          <w:rFonts w:ascii="Arial" w:cs="Arial" w:eastAsia="Arial" w:hAnsi="Arial"/>
          <w:b/>
          <w:bCs/>
          <w:color w:val="1A2B3C"/>
          <w:sz w:val="24"/>
          <w:szCs w:val="24"/>
        </w:rPr>
        <w:t xml:space="preserve">Header Component (src/components/layout/Header.tsx)</w:t>
      </w:r>
    </w:p>
    <w:p>
      <w:pPr>
        <w:spacing w:after="120"/>
      </w:pPr>
      <w:r>
        <w:rPr>
          <w:rFonts w:ascii="Arial" w:cs="Arial" w:eastAsia="Arial" w:hAnsi="Arial"/>
          <w:color w:val="4A5568"/>
          <w:sz w:val="22"/>
          <w:szCs w:val="22"/>
        </w:rPr>
        <w:t xml:space="preserve">The header should be a sticky, responsive component that includes the logo, navigation links, phone number, and a primary CTA button. It reads phone and email from environment variables so you only update .env.local to change them everywhere.</w:t>
      </w:r>
    </w:p>
    <w:p>
      <w:pPr>
        <w:spacing w:after="120"/>
      </w:pPr>
      <w:r>
        <w:rPr>
          <w:rFonts w:ascii="Arial" w:cs="Arial" w:eastAsia="Arial" w:hAnsi="Arial"/>
          <w:color w:val="4A5568"/>
          <w:sz w:val="22"/>
          <w:szCs w:val="22"/>
        </w:rPr>
        <w:t xml:space="preserve">Header contains:</w:t>
      </w:r>
    </w:p>
    <w:p>
      <w:pPr>
        <w:pStyle w:val="ListParagraph"/>
        <w:numPr>
          <w:ilvl w:val="0"/>
          <w:numId w:val="2"/>
        </w:numPr>
        <w:spacing w:after="80"/>
      </w:pPr>
      <w:r>
        <w:rPr>
          <w:rFonts w:ascii="Arial" w:cs="Arial" w:eastAsia="Arial" w:hAnsi="Arial"/>
          <w:color w:val="4A5568"/>
          <w:sz w:val="22"/>
          <w:szCs w:val="22"/>
        </w:rPr>
        <w:t xml:space="preserve">Logo (left) — links to /</w:t>
      </w:r>
    </w:p>
    <w:p>
      <w:pPr>
        <w:pStyle w:val="ListParagraph"/>
        <w:numPr>
          <w:ilvl w:val="0"/>
          <w:numId w:val="2"/>
        </w:numPr>
        <w:spacing w:after="80"/>
      </w:pPr>
      <w:r>
        <w:rPr>
          <w:rFonts w:ascii="Arial" w:cs="Arial" w:eastAsia="Arial" w:hAnsi="Arial"/>
          <w:color w:val="4A5568"/>
          <w:sz w:val="22"/>
          <w:szCs w:val="22"/>
        </w:rPr>
        <w:t xml:space="preserve">Navigation: Services, Blog, Results, About, Contact</w:t>
      </w:r>
    </w:p>
    <w:p>
      <w:pPr>
        <w:pStyle w:val="ListParagraph"/>
        <w:numPr>
          <w:ilvl w:val="0"/>
          <w:numId w:val="2"/>
        </w:numPr>
        <w:spacing w:after="80"/>
      </w:pPr>
      <w:r>
        <w:rPr>
          <w:rFonts w:ascii="Arial" w:cs="Arial" w:eastAsia="Arial" w:hAnsi="Arial"/>
          <w:color w:val="4A5568"/>
          <w:sz w:val="22"/>
          <w:szCs w:val="22"/>
        </w:rPr>
        <w:t xml:space="preserve">Phone number: {process.env.NEXT_PUBLIC_PHONE}</w:t>
      </w:r>
    </w:p>
    <w:p>
      <w:pPr>
        <w:pStyle w:val="ListParagraph"/>
        <w:numPr>
          <w:ilvl w:val="0"/>
          <w:numId w:val="2"/>
        </w:numPr>
        <w:spacing w:after="80"/>
      </w:pPr>
      <w:r>
        <w:rPr>
          <w:rFonts w:ascii="Arial" w:cs="Arial" w:eastAsia="Arial" w:hAnsi="Arial"/>
          <w:color w:val="4A5568"/>
          <w:sz w:val="22"/>
          <w:szCs w:val="22"/>
        </w:rPr>
        <w:t xml:space="preserve">Primary CTA button: 'Get Free Revenue Audit' — links to /contact</w:t>
      </w:r>
    </w:p>
    <w:p>
      <w:pPr>
        <w:pStyle w:val="ListParagraph"/>
        <w:numPr>
          <w:ilvl w:val="0"/>
          <w:numId w:val="2"/>
        </w:numPr>
        <w:spacing w:after="80"/>
      </w:pPr>
      <w:r>
        <w:rPr>
          <w:rFonts w:ascii="Arial" w:cs="Arial" w:eastAsia="Arial" w:hAnsi="Arial"/>
          <w:color w:val="4A5568"/>
          <w:sz w:val="22"/>
          <w:szCs w:val="22"/>
        </w:rPr>
        <w:t xml:space="preserve">Sticky on scroll — collapses to hamburger menu on mobile (375px breakpoint)</w:t>
      </w:r>
    </w:p>
    <w:p>
      <w:pPr>
        <w:spacing w:after="120"/>
      </w:pPr>
      <w:r>
        <w:t xml:space="preserve"/>
      </w:r>
    </w:p>
    <w:p>
      <w:pPr>
        <w:pStyle w:val="Heading3"/>
        <w:spacing w:after="120" w:before="200"/>
      </w:pPr>
      <w:r>
        <w:rPr>
          <w:rFonts w:ascii="Arial" w:cs="Arial" w:eastAsia="Arial" w:hAnsi="Arial"/>
          <w:b/>
          <w:bCs/>
          <w:color w:val="1A2B3C"/>
          <w:sz w:val="24"/>
          <w:szCs w:val="24"/>
        </w:rPr>
        <w:t xml:space="preserve">Footer Component (src/components/layout/Footer.tsx)</w:t>
      </w:r>
    </w:p>
    <w:p>
      <w:pPr>
        <w:spacing w:after="120"/>
      </w:pPr>
      <w:r>
        <w:rPr>
          <w:rFonts w:ascii="Arial" w:cs="Arial" w:eastAsia="Arial" w:hAnsi="Arial"/>
          <w:color w:val="4A5568"/>
          <w:sz w:val="22"/>
          <w:szCs w:val="22"/>
        </w:rPr>
        <w:t xml:space="preserve">The footer should include company info, navigation, contact details, certification badges, and legal links. Also reads phone and email from environment variables.</w:t>
      </w:r>
    </w:p>
    <w:p>
      <w:pPr>
        <w:spacing w:after="120"/>
      </w:pPr>
      <w:r>
        <w:rPr>
          <w:rFonts w:ascii="Arial" w:cs="Arial" w:eastAsia="Arial" w:hAnsi="Arial"/>
          <w:color w:val="4A5568"/>
          <w:sz w:val="22"/>
          <w:szCs w:val="22"/>
        </w:rPr>
        <w:t xml:space="preserve">Footer contains:</w:t>
      </w:r>
    </w:p>
    <w:p>
      <w:pPr>
        <w:pStyle w:val="ListParagraph"/>
        <w:numPr>
          <w:ilvl w:val="0"/>
          <w:numId w:val="2"/>
        </w:numPr>
        <w:spacing w:after="80"/>
      </w:pPr>
      <w:r>
        <w:rPr>
          <w:rFonts w:ascii="Arial" w:cs="Arial" w:eastAsia="Arial" w:hAnsi="Arial"/>
          <w:color w:val="4A5568"/>
          <w:sz w:val="22"/>
          <w:szCs w:val="22"/>
        </w:rPr>
        <w:t xml:space="preserve">Company description and logo</w:t>
      </w:r>
    </w:p>
    <w:p>
      <w:pPr>
        <w:pStyle w:val="ListParagraph"/>
        <w:numPr>
          <w:ilvl w:val="0"/>
          <w:numId w:val="2"/>
        </w:numPr>
        <w:spacing w:after="80"/>
      </w:pPr>
      <w:r>
        <w:rPr>
          <w:rFonts w:ascii="Arial" w:cs="Arial" w:eastAsia="Arial" w:hAnsi="Arial"/>
          <w:color w:val="4A5568"/>
          <w:sz w:val="22"/>
          <w:szCs w:val="22"/>
        </w:rPr>
        <w:t xml:space="preserve">Service links: all specialty landing pages</w:t>
      </w:r>
    </w:p>
    <w:p>
      <w:pPr>
        <w:pStyle w:val="ListParagraph"/>
        <w:numPr>
          <w:ilvl w:val="0"/>
          <w:numId w:val="2"/>
        </w:numPr>
        <w:spacing w:after="80"/>
      </w:pPr>
      <w:r>
        <w:rPr>
          <w:rFonts w:ascii="Arial" w:cs="Arial" w:eastAsia="Arial" w:hAnsi="Arial"/>
          <w:color w:val="4A5568"/>
          <w:sz w:val="22"/>
          <w:szCs w:val="22"/>
        </w:rPr>
        <w:t xml:space="preserve">Contact: {process.env.NEXT_PUBLIC_PHONE} and {process.env.NEXT_PUBLIC_EMAIL}</w:t>
      </w:r>
    </w:p>
    <w:p>
      <w:pPr>
        <w:pStyle w:val="ListParagraph"/>
        <w:numPr>
          <w:ilvl w:val="0"/>
          <w:numId w:val="2"/>
        </w:numPr>
        <w:spacing w:after="80"/>
      </w:pPr>
      <w:r>
        <w:rPr>
          <w:rFonts w:ascii="Arial" w:cs="Arial" w:eastAsia="Arial" w:hAnsi="Arial"/>
          <w:color w:val="4A5568"/>
          <w:sz w:val="22"/>
          <w:szCs w:val="22"/>
        </w:rPr>
        <w:t xml:space="preserve">Certification badges: AAPC, AHIMA, MGMA, HIMSS</w:t>
      </w:r>
    </w:p>
    <w:p>
      <w:pPr>
        <w:pStyle w:val="ListParagraph"/>
        <w:numPr>
          <w:ilvl w:val="0"/>
          <w:numId w:val="2"/>
        </w:numPr>
        <w:spacing w:after="80"/>
      </w:pPr>
      <w:r>
        <w:rPr>
          <w:rFonts w:ascii="Arial" w:cs="Arial" w:eastAsia="Arial" w:hAnsi="Arial"/>
          <w:color w:val="4A5568"/>
          <w:sz w:val="22"/>
          <w:szCs w:val="22"/>
        </w:rPr>
        <w:t xml:space="preserve">Compliance badges: HIPAA Compliant, BAA Available, SOC 2 Type II (Phase 3)</w:t>
      </w:r>
    </w:p>
    <w:p>
      <w:pPr>
        <w:pStyle w:val="ListParagraph"/>
        <w:numPr>
          <w:ilvl w:val="0"/>
          <w:numId w:val="2"/>
        </w:numPr>
        <w:spacing w:after="80"/>
      </w:pPr>
      <w:r>
        <w:rPr>
          <w:rFonts w:ascii="Arial" w:cs="Arial" w:eastAsia="Arial" w:hAnsi="Arial"/>
          <w:color w:val="4A5568"/>
          <w:sz w:val="22"/>
          <w:szCs w:val="22"/>
        </w:rPr>
        <w:t xml:space="preserve">Legal links: /privacy, /hipaa, /terms</w:t>
      </w:r>
    </w:p>
    <w:p>
      <w:pPr>
        <w:pStyle w:val="ListParagraph"/>
        <w:numPr>
          <w:ilvl w:val="0"/>
          <w:numId w:val="2"/>
        </w:numPr>
        <w:spacing w:after="80"/>
      </w:pPr>
      <w:r>
        <w:rPr>
          <w:rFonts w:ascii="Arial" w:cs="Arial" w:eastAsia="Arial" w:hAnsi="Arial"/>
          <w:color w:val="4A5568"/>
          <w:sz w:val="22"/>
          <w:szCs w:val="22"/>
        </w:rPr>
        <w:t xml:space="preserve">Copyright notice</w:t>
      </w:r>
    </w:p>
    <w:p>
      <w:pPr>
        <w:spacing w:after="120"/>
      </w:pPr>
      <w:r>
        <w:t xml:space="preserve"/>
      </w:r>
    </w:p>
    <w:p>
      <w:pPr>
        <w:pBdr>
          <w:left w:val="single" w:color="D97706" w:sz="8" w:space="6"/>
        </w:pBdr>
        <w:spacing w:after="120" w:before="80"/>
        <w:ind w:left="360"/>
      </w:pPr>
      <w:r>
        <w:rPr>
          <w:rFonts w:ascii="Arial" w:cs="Arial" w:eastAsia="Arial" w:hAnsi="Arial"/>
          <w:i/>
          <w:iCs/>
          <w:color w:val="7B4F00"/>
          <w:sz w:val="20"/>
          <w:szCs w:val="20"/>
        </w:rPr>
        <w:t xml:space="preserve">⚠ NOTE: To update phone number or email: Open .env.local. Change NEXT_PUBLIC_PHONE or NEXT_PUBLIC_EMAIL. Redeploy to Vercel. All instances across the entire website update automatically. No need to edit individual pages.</w:t>
      </w:r>
    </w:p>
    <w:p>
      <w:pPr>
        <w:spacing w:after="120"/>
      </w:pPr>
      <w:r>
        <w:t xml:space="preserve"/>
      </w:r>
    </w:p>
    <w:p>
      <w:pPr>
        <w:pStyle w:val="Heading2"/>
        <w:spacing w:after="160" w:before="300"/>
      </w:pPr>
      <w:r>
        <w:rPr>
          <w:rFonts w:ascii="Arial" w:cs="Arial" w:eastAsia="Arial" w:hAnsi="Arial"/>
          <w:b/>
          <w:bCs/>
          <w:color w:val="0E7C7B"/>
          <w:sz w:val="28"/>
          <w:szCs w:val="28"/>
        </w:rPr>
        <w:t xml:space="preserve">3.7 next.config.js — Critical Settings</w:t>
      </w:r>
    </w:p>
    <w:p>
      <w:pPr>
        <w:pBdr>
          <w:left w:val="single" w:color="C0392B" w:sz="8" w:space="6"/>
        </w:pBdr>
        <w:spacing w:after="120" w:before="100"/>
        <w:ind w:left="360"/>
      </w:pPr>
      <w:r>
        <w:rPr>
          <w:rFonts w:ascii="Arial" w:cs="Arial" w:eastAsia="Arial" w:hAnsi="Arial"/>
          <w:b/>
          <w:bCs/>
          <w:color w:val="C0392B"/>
          <w:sz w:val="20"/>
          <w:szCs w:val="20"/>
        </w:rPr>
        <w:t xml:space="preserve">🔴 CRITICAL: Always configure security headers. These are required for HIPAA compliance.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30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37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images.formats</w:t>
            </w:r>
          </w:p>
        </w:tc>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['image/avif', 'image/webp']</w:t>
            </w:r>
          </w:p>
        </w:tc>
        <w:tc>
          <w:tcPr>
            <w:tcW w:type="dxa" w:w="3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Modern image formats for Core Web Vitals (LCP &lt; 2.5s)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images.domains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cdn.sanity.io, your-s3-bucket.s3.amazonaws.com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Allowlist for optimized external images</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HSTS Header</w:t>
            </w:r>
          </w:p>
        </w:tc>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Strict-Transport-Security: max-age=63072000; includeSubDomains; preload</w:t>
            </w:r>
          </w:p>
        </w:tc>
        <w:tc>
          <w:tcPr>
            <w:tcW w:type="dxa" w:w="3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TLS enforcement — mandatory for HIPAA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CSP Header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Content-Security-Policy: default-src 'self'; ...</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Prevent XSS attacks</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X-Frame-Options</w:t>
            </w:r>
          </w:p>
        </w:tc>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DENY</w:t>
            </w:r>
          </w:p>
        </w:tc>
        <w:tc>
          <w:tcPr>
            <w:tcW w:type="dxa" w:w="3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Prevent clickjacking attacks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X-Content-Type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nosniff</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Prevent MIME type sniffing</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Referrer-Policy</w:t>
            </w:r>
          </w:p>
        </w:tc>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strict-origin-when-cross-origin</w:t>
            </w:r>
          </w:p>
        </w:tc>
        <w:tc>
          <w:tcPr>
            <w:tcW w:type="dxa" w:w="3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Privacy-preserving referrer header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serverActions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true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Enable Next.js Server Actions for forms</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output</w:t>
            </w:r>
          </w:p>
        </w:tc>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'standalone'</w:t>
            </w:r>
          </w:p>
        </w:tc>
        <w:tc>
          <w:tcPr>
            <w:tcW w:type="dxa" w:w="3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For Docker/AWS App Runner deployment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ISR — service pages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revalidate: 86400 (24 hours)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Service pages update daily from CMS</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ISR — blog posts</w:t>
            </w:r>
          </w:p>
        </w:tc>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revalidate: 3600 (1 hour)</w:t>
            </w:r>
          </w:p>
        </w:tc>
        <w:tc>
          <w:tcPr>
            <w:tcW w:type="dxa" w:w="3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Blog posts update hourly for new content</w:t>
            </w:r>
          </w:p>
        </w:tc>
      </w:tr>
    </w:tbl>
    <w:p>
      <w:r>
        <w:br w:type="page"/>
      </w:r>
    </w:p>
    <w:p>
      <w:pPr>
        <w:pStyle w:val="Heading1"/>
        <w:spacing w:after="200" w:before="400"/>
      </w:pPr>
      <w:r>
        <w:rPr>
          <w:rFonts w:ascii="Arial" w:cs="Arial" w:eastAsia="Arial" w:hAnsi="Arial"/>
          <w:b/>
          <w:bCs/>
          <w:color w:val="1A2B3C"/>
          <w:sz w:val="36"/>
          <w:szCs w:val="36"/>
        </w:rPr>
        <w:t xml:space="preserve">4. HIPAA Compliance Infrastructure</w:t>
      </w:r>
    </w:p>
    <w:p>
      <w:pPr>
        <w:pBdr>
          <w:left w:val="single" w:color="C0392B" w:sz="8" w:space="6"/>
        </w:pBdr>
        <w:spacing w:after="120" w:before="100"/>
        <w:ind w:left="360"/>
      </w:pPr>
      <w:r>
        <w:rPr>
          <w:rFonts w:ascii="Arial" w:cs="Arial" w:eastAsia="Arial" w:hAnsi="Arial"/>
          <w:b/>
          <w:bCs/>
          <w:color w:val="C0392B"/>
          <w:sz w:val="20"/>
          <w:szCs w:val="20"/>
        </w:rPr>
        <w:t xml:space="preserve">🔴 CRITICAL: In 2026, the HHS has finalized a significant overhaul of the HIPAA Security Rule, eliminating addressable specifications and making ALL specifications mandatory for entities handling ePHI. A BAA must be signed with every vendor before accepting PHI.</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rPr>
          <w:tblHeader/>
        </w:trPr>
        <w:tc>
          <w:tcPr>
            <w:tcW w:type="dxa" w:w="25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8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0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2026 Standard</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Data Encryption at Rest</w:t>
            </w:r>
          </w:p>
        </w:tc>
        <w:tc>
          <w:tcPr>
            <w:tcW w:type="dxa" w:w="3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AES-256 on PostgreSQL (RDS) and AWS S3</w:t>
            </w:r>
          </w:p>
        </w:tc>
        <w:tc>
          <w:tcPr>
            <w:tcW w:type="dxa" w:w="30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Mandatory — no longer addressable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Data Encryption in Transit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TLS 1.3+ on all connections. HSTS headers enforced.</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TLS 1.2 minimum; 1.3 recommended</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MFA for All Access</w:t>
            </w:r>
          </w:p>
        </w:tc>
        <w:tc>
          <w:tcPr>
            <w:tcW w:type="dxa" w:w="3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FIDO2-compliant security keys or TOTP. SMS is insufficient for 2026 audits.</w:t>
            </w:r>
          </w:p>
        </w:tc>
        <w:tc>
          <w:tcPr>
            <w:tcW w:type="dxa" w:w="30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Phishing-resistant MFA required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Access Controls (RBAC)</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Role-based: Admin, Staff, Billing Team. Least-privilege principle.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Just-in-Time (JIT) access — 2026 gold standard</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Audit Logs</w:t>
            </w:r>
          </w:p>
        </w:tc>
        <w:tc>
          <w:tcPr>
            <w:tcW w:type="dxa" w:w="3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Immutable audit trail for all PHI access. WORM storage in S3 Glacier after 90 days.</w:t>
            </w:r>
          </w:p>
        </w:tc>
        <w:tc>
          <w:tcPr>
            <w:tcW w:type="dxa" w:w="30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Ransomware Mandate — immutable logs required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BAA-Covered Vendors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AWS, Supabase/RDS, Resend, Vercel (verify current status)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BAA required before go-live</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Session Management</w:t>
            </w:r>
          </w:p>
        </w:tc>
        <w:tc>
          <w:tcPr>
            <w:tcW w:type="dxa" w:w="3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15-min access tokens, 7-day refresh, auto-logout after 15-min inactivity</w:t>
            </w:r>
          </w:p>
        </w:tc>
        <w:tc>
          <w:tcPr>
            <w:tcW w:type="dxa" w:w="30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HIPAA session timeout requirement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Breach Notification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60-day HIPAA breach notification workflow documented</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Documented SOP required</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Backup &amp; Recovery</w:t>
            </w:r>
          </w:p>
        </w:tc>
        <w:tc>
          <w:tcPr>
            <w:tcW w:type="dxa" w:w="3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Daily automated backups, point-in-time recovery, tested quarterly</w:t>
            </w:r>
          </w:p>
        </w:tc>
        <w:tc>
          <w:tcPr>
            <w:tcW w:type="dxa" w:w="30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Must demonstrate RTO/RPO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Malware Scanning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ClamAV on all file uploads before permanent storage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Required for file upload features</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Secure File Uploads</w:t>
            </w:r>
          </w:p>
        </w:tc>
        <w:tc>
          <w:tcPr>
            <w:tcW w:type="dxa" w:w="3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S3 Pre-signed URLs — files go client-to-S3 directly; never through app server</w:t>
            </w:r>
          </w:p>
        </w:tc>
        <w:tc>
          <w:tcPr>
            <w:tcW w:type="dxa" w:w="30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Prevents bottlenecks and server exposure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PHI in Logs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ZERO PHI in application logs, analytics, or error tracking tools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Data minimization principle</w:t>
            </w:r>
          </w:p>
        </w:tc>
      </w:tr>
    </w:tbl>
    <w:p>
      <w:r>
        <w:br w:type="page"/>
      </w:r>
    </w:p>
    <w:p>
      <w:pPr>
        <w:pStyle w:val="Heading1"/>
        <w:spacing w:after="200" w:before="400"/>
      </w:pPr>
      <w:r>
        <w:rPr>
          <w:rFonts w:ascii="Arial" w:cs="Arial" w:eastAsia="Arial" w:hAnsi="Arial"/>
          <w:b/>
          <w:bCs/>
          <w:color w:val="1A2B3C"/>
          <w:sz w:val="36"/>
          <w:szCs w:val="36"/>
        </w:rPr>
        <w:t xml:space="preserve">5. Complete Tech Stack</w:t>
      </w:r>
    </w:p>
    <w:p>
      <w:pPr>
        <w:pStyle w:val="Heading2"/>
        <w:spacing w:after="160" w:before="300"/>
      </w:pPr>
      <w:r>
        <w:rPr>
          <w:rFonts w:ascii="Arial" w:cs="Arial" w:eastAsia="Arial" w:hAnsi="Arial"/>
          <w:b/>
          <w:bCs/>
          <w:color w:val="0E7C7B"/>
          <w:sz w:val="28"/>
          <w:szCs w:val="28"/>
        </w:rPr>
        <w:t xml:space="preserve">5.1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0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51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Next.js 14+ (App Router)</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Core framework</w:t>
            </w:r>
          </w:p>
        </w:tc>
        <w:tc>
          <w:tcPr>
            <w:tcW w:type="dxa" w:w="5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React Server Components, ISR, SSG, SSR — optimal for SEO and performance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TypeScript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Type safety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Mandatory for this project — reduces runtime errors in billing logic</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Tailwind CSS</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Styling</w:t>
            </w:r>
          </w:p>
        </w:tc>
        <w:tc>
          <w:tcPr>
            <w:tcW w:type="dxa" w:w="5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Utility-first; no runtime CSS overhead; pairs with shadcn/ui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shadcn/ui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Component primitives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Accessible, headless components built on Radix UI</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Framer Motion</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Animations</w:t>
            </w:r>
          </w:p>
        </w:tc>
        <w:tc>
          <w:tcPr>
            <w:tcW w:type="dxa" w:w="5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Smooth transitions for Medical Pro feel; animate counter stats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React Hook Form + Zod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Forms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Type-safe, performant form handling; client + server validation</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Zustand</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State management</w:t>
            </w:r>
          </w:p>
        </w:tc>
        <w:tc>
          <w:tcPr>
            <w:tcW w:type="dxa" w:w="5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Lightweight client state for calculator multi-step form and portal UI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Recharts / Chart.js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Data visualization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Portal dashboard charts: AR aging, denial trends, KPI cards</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next/font (Inter)</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Typography</w:t>
            </w:r>
          </w:p>
        </w:tc>
        <w:tc>
          <w:tcPr>
            <w:tcW w:type="dxa" w:w="5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Google Fonts subset optimization; automatic display:swap</w:t>
            </w:r>
          </w:p>
        </w:tc>
      </w:tr>
    </w:tbl>
    <w:p>
      <w:pPr>
        <w:spacing w:after="120"/>
      </w:pPr>
      <w:r>
        <w:t xml:space="preserve"/>
      </w:r>
    </w:p>
    <w:p>
      <w:pPr>
        <w:pStyle w:val="Heading2"/>
        <w:spacing w:after="160" w:before="300"/>
      </w:pPr>
      <w:r>
        <w:rPr>
          <w:rFonts w:ascii="Arial" w:cs="Arial" w:eastAsia="Arial" w:hAnsi="Arial"/>
          <w:b/>
          <w:bCs/>
          <w:color w:val="0E7C7B"/>
          <w:sz w:val="28"/>
          <w:szCs w:val="28"/>
        </w:rPr>
        <w:t xml:space="preserve">5.2 Backend &amp;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0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51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Next.js API Routes</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API layer</w:t>
            </w:r>
          </w:p>
        </w:tc>
        <w:tc>
          <w:tcPr>
            <w:tcW w:type="dxa" w:w="5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Serverless functions for leads, presign, reports, auth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PostgreSQL (AWS RDS)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Primary database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Encrypted at rest; managed keys; high availability for PHI</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Prisma</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ORM</w:t>
            </w:r>
          </w:p>
        </w:tc>
        <w:tc>
          <w:tcPr>
            <w:tcW w:type="dxa" w:w="5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Type-safe database access with migration management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NextAuth.js / Clerk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Authentication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OAuth + magic link + TOTP MFA for portal access</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AWS S3</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File storage</w:t>
            </w:r>
          </w:p>
        </w:tc>
        <w:tc>
          <w:tcPr>
            <w:tcW w:type="dxa" w:w="5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HIPAA-eligible; SSE-KMS encryption; pre-signed URL uploads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AWS Lambda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Background processing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Async tasks: malware scanning, report generation, email triggers</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Inngest</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Job orchestration</w:t>
            </w:r>
          </w:p>
        </w:tc>
        <w:tc>
          <w:tcPr>
            <w:tcW w:type="dxa" w:w="5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Manages background job queues and retries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Resend / Postmark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Transactional email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BAA available; for lead capture emails, portal notifications</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ClamAV</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Malware scanning</w:t>
            </w:r>
          </w:p>
        </w:tc>
        <w:tc>
          <w:tcPr>
            <w:tcW w:type="dxa" w:w="5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All uploads scanned before moving to permanent S3 storage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Puppeteer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PDF generation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Server-side PDF reports for client portal downloads</w:t>
            </w:r>
          </w:p>
        </w:tc>
      </w:tr>
    </w:tbl>
    <w:p>
      <w:pPr>
        <w:spacing w:after="120"/>
      </w:pPr>
      <w:r>
        <w:t xml:space="preserve"/>
      </w:r>
    </w:p>
    <w:p>
      <w:pPr>
        <w:pStyle w:val="Heading2"/>
        <w:spacing w:after="160" w:before="300"/>
      </w:pPr>
      <w:r>
        <w:rPr>
          <w:rFonts w:ascii="Arial" w:cs="Arial" w:eastAsia="Arial" w:hAnsi="Arial"/>
          <w:b/>
          <w:bCs/>
          <w:color w:val="0E7C7B"/>
          <w:sz w:val="28"/>
          <w:szCs w:val="28"/>
        </w:rPr>
        <w:t xml:space="preserve">5.3 CMS &amp;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8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Sanity.io (recommended)</w:t>
            </w:r>
          </w:p>
        </w:tc>
        <w:tc>
          <w:tcPr>
            <w:tcW w:type="dxa" w:w="6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Headless CMS for blog posts, service page copy, CPT code update articles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Kontent.ai (enterprise alt)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Enterprise-grade CMS with robust HIPAA audit log support</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MDX via Next.js</w:t>
            </w:r>
          </w:p>
        </w:tc>
        <w:tc>
          <w:tcPr>
            <w:tcW w:type="dxa" w:w="6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Developer-authored technical content with embedded React components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next-sitemap</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Auto-generated XML sitemap submitted to Google Search Console</w:t>
            </w:r>
          </w:p>
        </w:tc>
      </w:tr>
    </w:tbl>
    <w:p>
      <w:pPr>
        <w:spacing w:after="120"/>
      </w:pPr>
      <w:r>
        <w:t xml:space="preserve"/>
      </w:r>
    </w:p>
    <w:p>
      <w:pPr>
        <w:pStyle w:val="Heading2"/>
        <w:spacing w:after="160" w:before="300"/>
      </w:pPr>
      <w:r>
        <w:rPr>
          <w:rFonts w:ascii="Arial" w:cs="Arial" w:eastAsia="Arial" w:hAnsi="Arial"/>
          <w:b/>
          <w:bCs/>
          <w:color w:val="0E7C7B"/>
          <w:sz w:val="28"/>
          <w:szCs w:val="28"/>
        </w:rPr>
        <w:t xml:space="preserve">5.4 Deployment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8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Vercel</w:t>
            </w:r>
          </w:p>
        </w:tc>
        <w:tc>
          <w:tcPr>
            <w:tcW w:type="dxa" w:w="6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Frontend hosting + serverless API routes. Edge network, automatic SSL, preview deployments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AWS (HIPAA-Eligible Services)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S3, RDS, Lambda — all covered under AWS BAA. Core PHI infrastructure</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Cloudflare</w:t>
            </w:r>
          </w:p>
        </w:tc>
        <w:tc>
          <w:tcPr>
            <w:tcW w:type="dxa" w:w="6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DDoS protection, CDN, DNS management, WAF security rules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GitHub Actions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CI/CD — automated testing, linting, type checks, and deployment pipeline</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Sentry</w:t>
            </w:r>
          </w:p>
        </w:tc>
        <w:tc>
          <w:tcPr>
            <w:tcW w:type="dxa" w:w="6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Error tracking and performance monitoring — ensure NO PHI in error payloads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Vercel Analytics + PostHog</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Web analytics and product analytics — ensure no PHI is sent</w:t>
            </w:r>
          </w:p>
        </w:tc>
      </w:tr>
    </w:tbl>
    <w:p>
      <w:r>
        <w:br w:type="page"/>
      </w:r>
    </w:p>
    <w:p>
      <w:pPr>
        <w:pStyle w:val="Heading1"/>
        <w:spacing w:after="200" w:before="400"/>
      </w:pPr>
      <w:r>
        <w:rPr>
          <w:rFonts w:ascii="Arial" w:cs="Arial" w:eastAsia="Arial" w:hAnsi="Arial"/>
          <w:b/>
          <w:bCs/>
          <w:color w:val="1A2B3C"/>
          <w:sz w:val="36"/>
          <w:szCs w:val="36"/>
        </w:rPr>
        <w:t xml:space="preserve">6. Feature Specifications</w:t>
      </w:r>
    </w:p>
    <w:p>
      <w:pPr>
        <w:pStyle w:val="Heading2"/>
        <w:spacing w:after="160" w:before="300"/>
      </w:pPr>
      <w:r>
        <w:rPr>
          <w:rFonts w:ascii="Arial" w:cs="Arial" w:eastAsia="Arial" w:hAnsi="Arial"/>
          <w:b/>
          <w:bCs/>
          <w:color w:val="0E7C7B"/>
          <w:sz w:val="28"/>
          <w:szCs w:val="28"/>
        </w:rPr>
        <w:t xml:space="preserve">6.1 Revenue Leakage Calculator (/calculator)</w:t>
      </w:r>
    </w:p>
    <w:p>
      <w:pPr>
        <w:spacing w:after="120"/>
      </w:pPr>
      <w:r>
        <w:rPr>
          <w:rFonts w:ascii="Arial" w:cs="Arial" w:eastAsia="Arial" w:hAnsi="Arial"/>
          <w:color w:val="4A5568"/>
          <w:sz w:val="22"/>
          <w:szCs w:val="22"/>
        </w:rPr>
        <w:t xml:space="preserve">The Revenue Leakage Calculator is the primary lead magnet on the site. It must be interactive, conversion-optimized, and gate the final result behind a lead capture form.</w:t>
      </w:r>
    </w:p>
    <w:p>
      <w:pPr>
        <w:pStyle w:val="Heading3"/>
        <w:spacing w:after="120" w:before="200"/>
      </w:pPr>
      <w:r>
        <w:rPr>
          <w:rFonts w:ascii="Arial" w:cs="Arial" w:eastAsia="Arial" w:hAnsi="Arial"/>
          <w:b/>
          <w:bCs/>
          <w:color w:val="1A2B3C"/>
          <w:sz w:val="24"/>
          <w:szCs w:val="24"/>
        </w:rPr>
        <w:t xml:space="preserve">User Flow</w:t>
      </w:r>
    </w:p>
    <w:p>
      <w:pPr>
        <w:pStyle w:val="ListParagraph"/>
        <w:numPr>
          <w:ilvl w:val="0"/>
          <w:numId w:val="3"/>
        </w:numPr>
        <w:spacing w:after="80"/>
      </w:pPr>
      <w:r>
        <w:rPr>
          <w:rFonts w:ascii="Arial" w:cs="Arial" w:eastAsia="Arial" w:hAnsi="Arial"/>
          <w:color w:val="4A5568"/>
          <w:sz w:val="22"/>
          <w:szCs w:val="22"/>
        </w:rPr>
        <w:t xml:space="preserve">User lands on /calculator from homepage CTA, blog post, or paid ad</w:t>
      </w:r>
    </w:p>
    <w:p>
      <w:pPr>
        <w:pStyle w:val="ListParagraph"/>
        <w:numPr>
          <w:ilvl w:val="0"/>
          <w:numId w:val="3"/>
        </w:numPr>
        <w:spacing w:after="80"/>
      </w:pPr>
      <w:r>
        <w:rPr>
          <w:rFonts w:ascii="Arial" w:cs="Arial" w:eastAsia="Arial" w:hAnsi="Arial"/>
          <w:color w:val="4A5568"/>
          <w:sz w:val="22"/>
          <w:szCs w:val="22"/>
        </w:rPr>
        <w:t xml:space="preserve">Completes a 3-step form (no more than 5 inputs per step) — no login required</w:t>
      </w:r>
    </w:p>
    <w:p>
      <w:pPr>
        <w:pStyle w:val="ListParagraph"/>
        <w:numPr>
          <w:ilvl w:val="0"/>
          <w:numId w:val="3"/>
        </w:numPr>
        <w:spacing w:after="80"/>
      </w:pPr>
      <w:r>
        <w:rPr>
          <w:rFonts w:ascii="Arial" w:cs="Arial" w:eastAsia="Arial" w:hAnsi="Arial"/>
          <w:color w:val="4A5568"/>
          <w:sz w:val="22"/>
          <w:szCs w:val="22"/>
        </w:rPr>
        <w:t xml:space="preserve">Sees a dynamic estimate of annual revenue loss — blurred/gated behind email capture (glassmorphism overlay)</w:t>
      </w:r>
    </w:p>
    <w:p>
      <w:pPr>
        <w:pStyle w:val="ListParagraph"/>
        <w:numPr>
          <w:ilvl w:val="0"/>
          <w:numId w:val="3"/>
        </w:numPr>
        <w:spacing w:after="80"/>
      </w:pPr>
      <w:r>
        <w:rPr>
          <w:rFonts w:ascii="Arial" w:cs="Arial" w:eastAsia="Arial" w:hAnsi="Arial"/>
          <w:color w:val="4A5568"/>
          <w:sz w:val="22"/>
          <w:szCs w:val="22"/>
        </w:rPr>
        <w:t xml:space="preserve">On form submission: POST to /api/leads → store in DB → trigger Resend welcome email → redirect to /thank-you with Calendly CTA</w:t>
      </w:r>
    </w:p>
    <w:p>
      <w:pPr>
        <w:spacing w:after="120"/>
      </w:pPr>
      <w:r>
        <w:t xml:space="preserve"/>
      </w:r>
    </w:p>
    <w:p>
      <w:pPr>
        <w:pStyle w:val="Heading3"/>
        <w:spacing w:after="120" w:before="200"/>
      </w:pPr>
      <w:r>
        <w:rPr>
          <w:rFonts w:ascii="Arial" w:cs="Arial" w:eastAsia="Arial" w:hAnsi="Arial"/>
          <w:b/>
          <w:bCs/>
          <w:color w:val="1A2B3C"/>
          <w:sz w:val="24"/>
          <w:szCs w:val="24"/>
        </w:rPr>
        <w:t xml:space="preserve">Input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Input Variable</w:t>
            </w:r>
          </w:p>
        </w:tc>
        <w:tc>
          <w:tcPr>
            <w:tcW w:type="dxa" w:w="61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Gross Monthly Charges ($)</w:t>
            </w:r>
          </w:p>
        </w:tc>
        <w:tc>
          <w:tcPr>
            <w:tcW w:type="dxa" w:w="6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Total amount billed before adjustments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Total Contractual Adjustments ($)</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Payer-negotiated write-offs</w:t>
            </w:r>
          </w:p>
        </w:tc>
      </w:tr>
      <w:tr>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Total Payments Received ($)</w:t>
            </w:r>
          </w:p>
        </w:tc>
        <w:tc>
          <w:tcPr>
            <w:tcW w:type="dxa" w:w="6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Net collected amount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Claim Denial Rate (%)</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Estimated percentage of claims denied on first submission</w:t>
            </w:r>
          </w:p>
        </w:tc>
      </w:tr>
      <w:tr>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First-Pass Resolution Rate (%)</w:t>
            </w:r>
          </w:p>
        </w:tc>
        <w:tc>
          <w:tcPr>
            <w:tcW w:type="dxa" w:w="6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Percentage of claims paid on first submission without rework</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In-house Billing Staff Count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Number of FTEs dedicated to billing/coding</w:t>
            </w:r>
          </w:p>
        </w:tc>
      </w:tr>
      <w:tr>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Avg Staff Salary ($/year)</w:t>
            </w:r>
          </w:p>
        </w:tc>
        <w:tc>
          <w:tcPr>
            <w:tcW w:type="dxa" w:w="6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Used to calculate in-house overhead cost (+ 25% benefits)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Practice Size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Solo / Small Group (2-5) / Large Group (6+)</w:t>
            </w:r>
          </w:p>
        </w:tc>
      </w:tr>
    </w:tbl>
    <w:p>
      <w:pPr>
        <w:spacing w:after="120"/>
      </w:pPr>
      <w:r>
        <w:t xml:space="preserve"/>
      </w:r>
    </w:p>
    <w:p>
      <w:pPr>
        <w:pStyle w:val="Heading3"/>
        <w:spacing w:after="120" w:before="200"/>
      </w:pPr>
      <w:r>
        <w:rPr>
          <w:rFonts w:ascii="Arial" w:cs="Arial" w:eastAsia="Arial" w:hAnsi="Arial"/>
          <w:b/>
          <w:bCs/>
          <w:color w:val="1A2B3C"/>
          <w:sz w:val="24"/>
          <w:szCs w:val="24"/>
        </w:rPr>
        <w:t xml:space="preserve">Output Formulas</w:t>
      </w:r>
    </w:p>
    <w:p>
      <w:pPr>
        <w:pStyle w:val="ListParagraph"/>
        <w:numPr>
          <w:ilvl w:val="0"/>
          <w:numId w:val="2"/>
        </w:numPr>
        <w:spacing w:after="80"/>
      </w:pPr>
      <w:r>
        <w:rPr>
          <w:rFonts w:ascii="Arial" w:cs="Arial" w:eastAsia="Arial" w:hAnsi="Arial"/>
          <w:color w:val="4A5568"/>
          <w:sz w:val="22"/>
          <w:szCs w:val="22"/>
        </w:rPr>
        <w:t xml:space="preserve">Net Collection Rate (NCR) = Total Payments / (Gross Charges - Contractual Adjustments) × 100</w:t>
      </w:r>
    </w:p>
    <w:p>
      <w:pPr>
        <w:pStyle w:val="ListParagraph"/>
        <w:numPr>
          <w:ilvl w:val="0"/>
          <w:numId w:val="2"/>
        </w:numPr>
        <w:spacing w:after="80"/>
      </w:pPr>
      <w:r>
        <w:rPr>
          <w:rFonts w:ascii="Arial" w:cs="Arial" w:eastAsia="Arial" w:hAnsi="Arial"/>
          <w:color w:val="4A5568"/>
          <w:sz w:val="22"/>
          <w:szCs w:val="22"/>
        </w:rPr>
        <w:t xml:space="preserve">Est. Annual Revenue Lost to Denials = (Monthly Gross Collections × Denial Rate) × 12 × 0.60</w:t>
      </w:r>
    </w:p>
    <w:p>
      <w:pPr>
        <w:pStyle w:val="ListParagraph"/>
        <w:numPr>
          <w:ilvl w:val="0"/>
          <w:numId w:val="2"/>
        </w:numPr>
        <w:spacing w:after="80"/>
      </w:pPr>
      <w:r>
        <w:rPr>
          <w:rFonts w:ascii="Arial" w:cs="Arial" w:eastAsia="Arial" w:hAnsi="Arial"/>
          <w:color w:val="4A5568"/>
          <w:sz w:val="22"/>
          <w:szCs w:val="22"/>
        </w:rPr>
        <w:t xml:space="preserve">In-House Overhead Cost = Staff Count × Avg Salary (+ 25% benefits estimate)</w:t>
      </w:r>
    </w:p>
    <w:p>
      <w:pPr>
        <w:pStyle w:val="ListParagraph"/>
        <w:numPr>
          <w:ilvl w:val="0"/>
          <w:numId w:val="2"/>
        </w:numPr>
        <w:spacing w:after="80"/>
      </w:pPr>
      <w:r>
        <w:rPr>
          <w:rFonts w:ascii="Arial" w:cs="Arial" w:eastAsia="Arial" w:hAnsi="Arial"/>
          <w:color w:val="4A5568"/>
          <w:sz w:val="22"/>
          <w:szCs w:val="22"/>
        </w:rPr>
        <w:t xml:space="preserve">Hidden Leakage from Missed Modifiers (QW, Modifier 25) = 10–15% of gross charges</w:t>
      </w:r>
    </w:p>
    <w:p>
      <w:pPr>
        <w:pStyle w:val="ListParagraph"/>
        <w:numPr>
          <w:ilvl w:val="0"/>
          <w:numId w:val="2"/>
        </w:numPr>
        <w:spacing w:after="80"/>
      </w:pPr>
      <w:r>
        <w:rPr>
          <w:rFonts w:ascii="Arial" w:cs="Arial" w:eastAsia="Arial" w:hAnsi="Arial"/>
          <w:color w:val="4A5568"/>
          <w:sz w:val="22"/>
          <w:szCs w:val="22"/>
        </w:rPr>
        <w:t xml:space="preserve">Global Maternity Start Timing Risk = $100–$120 per pregnancy from premature global period start</w:t>
      </w:r>
    </w:p>
    <w:p>
      <w:pPr>
        <w:pStyle w:val="ListParagraph"/>
        <w:numPr>
          <w:ilvl w:val="0"/>
          <w:numId w:val="2"/>
        </w:numPr>
        <w:spacing w:after="80"/>
      </w:pPr>
      <w:r>
        <w:rPr>
          <w:rFonts w:ascii="Arial" w:cs="Arial" w:eastAsia="Arial" w:hAnsi="Arial"/>
          <w:color w:val="4A5568"/>
          <w:sz w:val="22"/>
          <w:szCs w:val="22"/>
        </w:rPr>
        <w:t xml:space="preserve">Missed LARC J-Codes = HCPCS J7296–J7298 missing alongside insertion procedure (CPT 58300)</w:t>
      </w:r>
    </w:p>
    <w:p>
      <w:pPr>
        <w:pStyle w:val="ListParagraph"/>
        <w:numPr>
          <w:ilvl w:val="0"/>
          <w:numId w:val="2"/>
        </w:numPr>
        <w:spacing w:after="80"/>
      </w:pPr>
      <w:r>
        <w:rPr>
          <w:rFonts w:ascii="Arial" w:cs="Arial" w:eastAsia="Arial" w:hAnsi="Arial"/>
          <w:color w:val="4A5568"/>
          <w:sz w:val="22"/>
          <w:szCs w:val="22"/>
        </w:rPr>
        <w:t xml:space="preserve">Timely Filing Risk = 10% additional revenue loss if payer-specific limits not tracked</w:t>
      </w:r>
    </w:p>
    <w:p>
      <w:pPr>
        <w:pStyle w:val="ListParagraph"/>
        <w:numPr>
          <w:ilvl w:val="0"/>
          <w:numId w:val="2"/>
        </w:numPr>
        <w:spacing w:after="80"/>
      </w:pPr>
      <w:r>
        <w:rPr>
          <w:rFonts w:ascii="Arial" w:cs="Arial" w:eastAsia="Arial" w:hAnsi="Arial"/>
          <w:color w:val="4A5568"/>
          <w:sz w:val="22"/>
          <w:szCs w:val="22"/>
        </w:rPr>
        <w:t xml:space="preserve">Estimated Net Recovery Opportunity = Revenue Lost + (Overhead - Projected Outsourcing Cost)</w:t>
      </w:r>
    </w:p>
    <w:p>
      <w:pPr>
        <w:spacing w:after="120"/>
      </w:pPr>
      <w:r>
        <w:t xml:space="preserve"/>
      </w:r>
    </w:p>
    <w:p>
      <w:pPr>
        <w:pStyle w:val="Heading2"/>
        <w:spacing w:after="160" w:before="300"/>
      </w:pPr>
      <w:r>
        <w:rPr>
          <w:rFonts w:ascii="Arial" w:cs="Arial" w:eastAsia="Arial" w:hAnsi="Arial"/>
          <w:b/>
          <w:bCs/>
          <w:color w:val="0E7C7B"/>
          <w:sz w:val="28"/>
          <w:szCs w:val="28"/>
        </w:rPr>
        <w:t xml:space="preserve">6.2 Client Portal (/portal)</w:t>
      </w:r>
    </w:p>
    <w:p>
      <w:pPr>
        <w:pBdr>
          <w:left w:val="single" w:color="C0392B" w:sz="8" w:space="6"/>
        </w:pBdr>
        <w:spacing w:after="120" w:before="100"/>
        <w:ind w:left="360"/>
      </w:pPr>
      <w:r>
        <w:rPr>
          <w:rFonts w:ascii="Arial" w:cs="Arial" w:eastAsia="Arial" w:hAnsi="Arial"/>
          <w:b/>
          <w:bCs/>
          <w:color w:val="C0392B"/>
          <w:sz w:val="20"/>
          <w:szCs w:val="20"/>
        </w:rPr>
        <w:t xml:space="preserve">🔴 CRITICAL: The portal handles Protected Health Information (PHI). ALL HIPAA requirements from Section 4 apply. No PHI may appear in client-side state, analytics, logs, or error tracking tools.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9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Requirements</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Authentication</w:t>
            </w:r>
          </w:p>
        </w:tc>
        <w:tc>
          <w:tcPr>
            <w:tcW w:type="dxa" w:w="6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Email + password + mandatory TOTP MFA. Session timeout 15 min. FIDO2 in Phase 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Roles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Practice Admin (full access), Staff (limited view), Billing Team (internal read/write)</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Document Upload</w:t>
            </w:r>
          </w:p>
        </w:tc>
        <w:tc>
          <w:tcPr>
            <w:tcW w:type="dxa" w:w="6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Drag-and-drop. PDF, TIFF, PNG, XLSX, CSV. Max 50MB/file, 500MB/session. ClamAV scan pre-storage.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S3 Architecture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Pre-signed URLs for direct client-to-S3 uploads. Files stored at clients/{uuid}/documents/</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AR Dashboard</w:t>
            </w:r>
          </w:p>
        </w:tc>
        <w:tc>
          <w:tcPr>
            <w:tcW w:type="dxa" w:w="6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Monthly: gross charges, payments, adjustments, AR aging table (color-coded by age bucket)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Denial Trend Chart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Recharts line chart with teal fill — 6-month rolling window</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Top Denial Codes</w:t>
            </w:r>
          </w:p>
        </w:tc>
        <w:tc>
          <w:tcPr>
            <w:tcW w:type="dxa" w:w="6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Top 5 CARC/RARC codes with recommended action for each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PDF Reports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Downloadable monthly reports generated server-side via Puppeteer</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Messaging</w:t>
            </w:r>
          </w:p>
        </w:tc>
        <w:tc>
          <w:tcPr>
            <w:tcW w:type="dxa" w:w="6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Threaded in-app messaging between client practice and billing team. File attachments supported.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Email Notifications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New message, report ready, document received — configurable per client</w:t>
            </w:r>
          </w:p>
        </w:tc>
      </w:tr>
    </w:tbl>
    <w:p>
      <w:pPr>
        <w:spacing w:after="120"/>
      </w:pPr>
      <w:r>
        <w:t xml:space="preserve"/>
      </w:r>
    </w:p>
    <w:p>
      <w:pPr>
        <w:pStyle w:val="Heading2"/>
        <w:spacing w:after="160" w:before="300"/>
      </w:pPr>
      <w:r>
        <w:rPr>
          <w:rFonts w:ascii="Arial" w:cs="Arial" w:eastAsia="Arial" w:hAnsi="Arial"/>
          <w:b/>
          <w:bCs/>
          <w:color w:val="0E7C7B"/>
          <w:sz w:val="28"/>
          <w:szCs w:val="28"/>
        </w:rPr>
        <w:t xml:space="preserve">6.3 Blog / CPT-ICD-10 Knowledge Hub (/blog)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Post Types</w:t>
            </w:r>
          </w:p>
        </w:tc>
        <w:tc>
          <w:tcPr>
            <w:tcW w:type="dxa" w:w="6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Code Update Alert, Billing Guide, Payer Policy Update, Denial Appeal Template, FAQ</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Taxonomy — Code Type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CPT / ICD-10 / HCPCS</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Taxonomy — Specialty</w:t>
            </w:r>
          </w:p>
        </w:tc>
        <w:tc>
          <w:tcPr>
            <w:tcW w:type="dxa" w:w="6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Maternity / GYN / Office Visit / Infertility / Urogynecology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Taxonomy — Payer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Medicare / Medicaid / Commercial / Medicare Advantage</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CMS Fields</w:t>
            </w:r>
          </w:p>
        </w:tc>
        <w:tc>
          <w:tcPr>
            <w:tcW w:type="dxa" w:w="6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Title, Slug, Publish Date, Effective Date, Author, Summary, Body, Related Codes[], Tags, SEO Meta, Featured Image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Update Cadence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Code updates: as released. Guides: 2x/month minimum. Phase 1 launches with 50 posts.</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Internal Linking Rule</w:t>
            </w:r>
          </w:p>
        </w:tc>
        <w:tc>
          <w:tcPr>
            <w:tcW w:type="dxa" w:w="6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Every blog post links to at least one service page AND the /calculator</w:t>
            </w:r>
          </w:p>
        </w:tc>
      </w:tr>
    </w:tbl>
    <w:p>
      <w:r>
        <w:br w:type="page"/>
      </w:r>
    </w:p>
    <w:p>
      <w:pPr>
        <w:pStyle w:val="Heading1"/>
        <w:spacing w:after="200" w:before="400"/>
      </w:pPr>
      <w:r>
        <w:rPr>
          <w:rFonts w:ascii="Arial" w:cs="Arial" w:eastAsia="Arial" w:hAnsi="Arial"/>
          <w:b/>
          <w:bCs/>
          <w:color w:val="1A2B3C"/>
          <w:sz w:val="36"/>
          <w:szCs w:val="36"/>
        </w:rPr>
        <w:t xml:space="preserve">7. SEO Strategy</w:t>
      </w:r>
    </w:p>
    <w:p>
      <w:pPr>
        <w:spacing w:after="120"/>
      </w:pPr>
      <w:r>
        <w:rPr>
          <w:rFonts w:ascii="Arial" w:cs="Arial" w:eastAsia="Arial" w:hAnsi="Arial"/>
          <w:color w:val="4A5568"/>
          <w:sz w:val="22"/>
          <w:szCs w:val="22"/>
        </w:rPr>
        <w:t xml:space="preserve">The SEO strategy is built on owning specialty-specific, high-intent keyword clusters that generalist billing platforms underindex on. OB/GYN specialty terms are a wide-open opportunity.</w:t>
      </w:r>
    </w:p>
    <w:p>
      <w:pPr>
        <w:spacing w:after="120"/>
      </w:pPr>
      <w:r>
        <w:t xml:space="preserve"/>
      </w:r>
    </w:p>
    <w:p>
      <w:pPr>
        <w:pStyle w:val="Heading2"/>
        <w:spacing w:after="160" w:before="300"/>
      </w:pPr>
      <w:r>
        <w:rPr>
          <w:rFonts w:ascii="Arial" w:cs="Arial" w:eastAsia="Arial" w:hAnsi="Arial"/>
          <w:b/>
          <w:bCs/>
          <w:color w:val="0E7C7B"/>
          <w:sz w:val="28"/>
          <w:szCs w:val="28"/>
        </w:rPr>
        <w:t xml:space="preserve">7.1 Primary Keyword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200"/>
        <w:gridCol w:w="3660"/>
      </w:tblGrid>
      <w:tr>
        <w:trPr>
          <w:tblHeader/>
        </w:trPr>
        <w:tc>
          <w:tcPr>
            <w:tcW w:type="dxa" w:w="30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15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Est. Monthly Volume</w:t>
            </w:r>
          </w:p>
        </w:tc>
        <w:tc>
          <w:tcPr>
            <w:tcW w:type="dxa" w:w="12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Competition</w:t>
            </w:r>
          </w:p>
        </w:tc>
        <w:tc>
          <w:tcPr>
            <w:tcW w:type="dxa" w:w="36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Target Page</w:t>
            </w:r>
          </w:p>
        </w:tc>
      </w:tr>
      <w:tr>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OB/GYN medical billing services</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800</w:t>
            </w:r>
          </w:p>
        </w:tc>
        <w:tc>
          <w:tcPr>
            <w:tcW w:type="dxa" w:w="1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Medium</w:t>
            </w:r>
          </w:p>
        </w:tc>
        <w:tc>
          <w:tcPr>
            <w:tcW w:type="dxa" w:w="36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OB/GYN billing company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500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Medium</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w:t>
            </w:r>
          </w:p>
        </w:tc>
      </w:tr>
      <w:tr>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global maternity billing service</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300</w:t>
            </w:r>
          </w:p>
        </w:tc>
        <w:tc>
          <w:tcPr>
            <w:tcW w:type="dxa" w:w="1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Low</w:t>
            </w:r>
          </w:p>
        </w:tc>
        <w:tc>
          <w:tcPr>
            <w:tcW w:type="dxa" w:w="36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/global-maternity-billing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gynecology surgery coding service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250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Low</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/gyn-surgery-coding</w:t>
            </w:r>
          </w:p>
        </w:tc>
      </w:tr>
      <w:tr>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OB/GYN claim denial management</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200</w:t>
            </w:r>
          </w:p>
        </w:tc>
        <w:tc>
          <w:tcPr>
            <w:tcW w:type="dxa" w:w="1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Low</w:t>
            </w:r>
          </w:p>
        </w:tc>
        <w:tc>
          <w:tcPr>
            <w:tcW w:type="dxa" w:w="36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/denial-management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obstetrics billing outsourcing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150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Low</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/revenue-cycle-management</w:t>
            </w:r>
          </w:p>
        </w:tc>
      </w:tr>
      <w:tr>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OB/GYN revenue cycle management</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600</w:t>
            </w:r>
          </w:p>
        </w:tc>
        <w:tc>
          <w:tcPr>
            <w:tcW w:type="dxa" w:w="1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Medium</w:t>
            </w:r>
          </w:p>
        </w:tc>
        <w:tc>
          <w:tcPr>
            <w:tcW w:type="dxa" w:w="36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/revenue-cycle-management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CPT codes for OB/GYN 2026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1,200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Low-Medium</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/blog</w:t>
            </w:r>
          </w:p>
        </w:tc>
      </w:tr>
      <w:tr>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ICD-10 codes obstetrics 2026</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900</w:t>
            </w:r>
          </w:p>
        </w:tc>
        <w:tc>
          <w:tcPr>
            <w:tcW w:type="dxa" w:w="1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Low</w:t>
            </w:r>
          </w:p>
        </w:tc>
        <w:tc>
          <w:tcPr>
            <w:tcW w:type="dxa" w:w="36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/blog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global period OB/GYN billing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400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Low</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/blog + /global-maternity-billing</w:t>
            </w:r>
          </w:p>
        </w:tc>
      </w:tr>
      <w:tr>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maternity billing mistakes</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300</w:t>
            </w:r>
          </w:p>
        </w:tc>
        <w:tc>
          <w:tcPr>
            <w:tcW w:type="dxa" w:w="1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Low</w:t>
            </w:r>
          </w:p>
        </w:tc>
        <w:tc>
          <w:tcPr>
            <w:tcW w:type="dxa" w:w="36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/blog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OB/GYN billing calculator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200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Low</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/calculator</w:t>
            </w:r>
          </w:p>
        </w:tc>
      </w:tr>
      <w:tr>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outsource OB/GYN billing</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450</w:t>
            </w:r>
          </w:p>
        </w:tc>
        <w:tc>
          <w:tcPr>
            <w:tcW w:type="dxa" w:w="1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Medium</w:t>
            </w:r>
          </w:p>
        </w:tc>
        <w:tc>
          <w:tcPr>
            <w:tcW w:type="dxa" w:w="36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best RCM company women's health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180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Low</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/results</w:t>
            </w:r>
          </w:p>
        </w:tc>
      </w:tr>
      <w:tr>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OB/GYN billing audit services</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220</w:t>
            </w:r>
          </w:p>
        </w:tc>
        <w:tc>
          <w:tcPr>
            <w:tcW w:type="dxa" w:w="1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Low</w:t>
            </w:r>
          </w:p>
        </w:tc>
        <w:tc>
          <w:tcPr>
            <w:tcW w:type="dxa" w:w="36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/coding-audits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2027 maternity code update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500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Low</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/resources/2027-maternity-transition</w:t>
            </w:r>
          </w:p>
        </w:tc>
      </w:tr>
      <w:tr>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LARC J-code billing</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150</w:t>
            </w:r>
          </w:p>
        </w:tc>
        <w:tc>
          <w:tcPr>
            <w:tcW w:type="dxa" w:w="1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Low</w:t>
            </w:r>
          </w:p>
        </w:tc>
        <w:tc>
          <w:tcPr>
            <w:tcW w:type="dxa" w:w="36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/blog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infertility billing service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300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Low</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/infertility-rei-billing</w:t>
            </w:r>
          </w:p>
        </w:tc>
      </w:tr>
    </w:tbl>
    <w:p>
      <w:pPr>
        <w:spacing w:after="120"/>
      </w:pPr>
      <w:r>
        <w:t xml:space="preserve"/>
      </w:r>
    </w:p>
    <w:p>
      <w:pPr>
        <w:pStyle w:val="Heading2"/>
        <w:spacing w:after="160" w:before="300"/>
      </w:pPr>
      <w:r>
        <w:rPr>
          <w:rFonts w:ascii="Arial" w:cs="Arial" w:eastAsia="Arial" w:hAnsi="Arial"/>
          <w:b/>
          <w:bCs/>
          <w:color w:val="0E7C7B"/>
          <w:sz w:val="28"/>
          <w:szCs w:val="28"/>
        </w:rPr>
        <w:t xml:space="preserve">7.2 Content Cluster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Pillar Page</w:t>
            </w:r>
          </w:p>
        </w:tc>
        <w:tc>
          <w:tcPr>
            <w:tcW w:type="dxa" w:w="67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Cluster Articles (Blog)</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/global-maternity-billing</w:t>
            </w:r>
          </w:p>
        </w:tc>
        <w:tc>
          <w:tcPr>
            <w:tcW w:type="dxa" w:w="6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What is a global OB package? / Antepartum vs postpartum billing / Global period exceptions / Top 5 maternity billing errors / 2027 maternity transition guide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/gyn-surgery-coding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CPT code guide for hysterectomy / Laparoscopic GYN coding tips / Modifier use in GYN surgery / Common GYN surgery denials / Robotic surgery billing guide</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/denial-management</w:t>
            </w:r>
          </w:p>
        </w:tc>
        <w:tc>
          <w:tcPr>
            <w:tcW w:type="dxa" w:w="6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Top 10 OB/GYN denial codes / CO-97 denial fix guide / How to write a denial appeal / Payer-specific denial rules / AI denial management explained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/revenue-cycle-management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OB/GYN RCM explained / AR days benchmark obstetrics / Net collection rate guide / EHR billing integration OB/GYN</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/telehealth-billing</w:t>
            </w:r>
          </w:p>
        </w:tc>
        <w:tc>
          <w:tcPr>
            <w:tcW w:type="dxa" w:w="6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Telehealth billing guide OB/GYN 2026 / Audio-only visit billing / Payer telehealth rules GYN / Post-COVID telehealth policy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/calculator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How much revenue is your OB/GYN practice losing? / Revenue leakage in obstetrics / Denial cost calculator guide</w:t>
            </w:r>
          </w:p>
        </w:tc>
      </w:tr>
    </w:tbl>
    <w:p>
      <w:pPr>
        <w:spacing w:after="120"/>
      </w:pPr>
      <w:r>
        <w:t xml:space="preserve"/>
      </w:r>
    </w:p>
    <w:p>
      <w:pPr>
        <w:pStyle w:val="Heading2"/>
        <w:spacing w:after="160" w:before="300"/>
      </w:pPr>
      <w:r>
        <w:rPr>
          <w:rFonts w:ascii="Arial" w:cs="Arial" w:eastAsia="Arial" w:hAnsi="Arial"/>
          <w:b/>
          <w:bCs/>
          <w:color w:val="0E7C7B"/>
          <w:sz w:val="28"/>
          <w:szCs w:val="28"/>
        </w:rPr>
        <w:t xml:space="preserve">7.3 Technical SEO Implementation (Next.js App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SEO Element</w:t>
            </w:r>
          </w:p>
        </w:tc>
        <w:tc>
          <w:tcPr>
            <w:tcW w:type="dxa" w:w="32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7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Page Title</w:t>
            </w:r>
          </w:p>
        </w:tc>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generateMetadata() — title field</w:t>
            </w:r>
          </w:p>
        </w:tc>
        <w:tc>
          <w:tcPr>
            <w:tcW w:type="dxa" w:w="3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Under 60 characters. Include primary keyword.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Meta Description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generateMetadata() — description field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Under 160 characters. Include CTA.</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Open Graph</w:t>
            </w:r>
          </w:p>
        </w:tc>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generateMetadata() — openGraph object</w:t>
            </w:r>
          </w:p>
        </w:tc>
        <w:tc>
          <w:tcPr>
            <w:tcW w:type="dxa" w:w="3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Required for social sharing. Include OG image (1200×630).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Twitter Card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generateMetadata() — twitter object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summary_large_image for rich previews</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Canonical URL</w:t>
            </w:r>
          </w:p>
        </w:tc>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generateMetadata() — alternates.canonical</w:t>
            </w:r>
          </w:p>
        </w:tc>
        <w:tc>
          <w:tcPr>
            <w:tcW w:type="dxa" w:w="3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Required on all pages to prevent duplicate content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robots.txt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src/app/robots.ts — Metadata Route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Block /portal, /api, /admin. Allow all marketing pages.</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sitemap.xml</w:t>
            </w:r>
          </w:p>
        </w:tc>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next-sitemap package — post-build script</w:t>
            </w:r>
          </w:p>
        </w:tc>
        <w:tc>
          <w:tcPr>
            <w:tcW w:type="dxa" w:w="3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Auto-submit to Google Search Console on deployment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Schema Markup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JSON-LD in &lt;script&gt; tag via generateMetadata</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MedicalBusiness on home; FAQPage on services; Article on blog</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OG Images</w:t>
            </w:r>
          </w:p>
        </w:tc>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src/app/opengraph-image.tsx — Metadata Route</w:t>
            </w:r>
          </w:p>
        </w:tc>
        <w:tc>
          <w:tcPr>
            <w:tcW w:type="dxa" w:w="3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Dynamic OG images generated at build or request time</w:t>
            </w:r>
          </w:p>
        </w:tc>
      </w:tr>
    </w:tbl>
    <w:p>
      <w:pPr>
        <w:spacing w:after="120"/>
      </w:pPr>
      <w:r>
        <w:t xml:space="preserve"/>
      </w:r>
    </w:p>
    <w:p>
      <w:pPr>
        <w:pStyle w:val="Heading2"/>
        <w:spacing w:after="160" w:before="300"/>
      </w:pPr>
      <w:r>
        <w:rPr>
          <w:rFonts w:ascii="Arial" w:cs="Arial" w:eastAsia="Arial" w:hAnsi="Arial"/>
          <w:b/>
          <w:bCs/>
          <w:color w:val="0E7C7B"/>
          <w:sz w:val="28"/>
          <w:szCs w:val="28"/>
        </w:rPr>
        <w:t xml:space="preserve">7.4 Core Web Vitals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9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LCP (Largest Contentful Paint)</w:t>
            </w:r>
          </w:p>
        </w:tc>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&lt; 2.5 seconds</w:t>
            </w:r>
          </w:p>
        </w:tc>
        <w:tc>
          <w:tcPr>
            <w:tcW w:type="dxa" w:w="4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next/image with priority on hero images; preload key fonts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INP (Interaction to Next Paint)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&lt; 200ms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Minimize client-side JS with React Server Components</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CLS (Cumulative Layout Shift)</w:t>
            </w:r>
          </w:p>
        </w:tc>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&lt; 0.1</w:t>
            </w:r>
          </w:p>
        </w:tc>
        <w:tc>
          <w:tcPr>
            <w:tcW w:type="dxa" w:w="4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Always set width/height on next/image; no dynamic content injection above fold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TTFB (Time to First Byte)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&lt; 800ms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Use ISR or SSG for marketing pages; edge caching via Vercel</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Image Format</w:t>
            </w:r>
          </w:p>
        </w:tc>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WebP / AVIF</w:t>
            </w:r>
          </w:p>
        </w:tc>
        <w:tc>
          <w:tcPr>
            <w:tcW w:type="dxa" w:w="4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next/image handles automatic format conversion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Font Loading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next/font with display: swap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Use next/font/google for Inter — automatic subset optimization</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JavaScript Bundle</w:t>
            </w:r>
          </w:p>
        </w:tc>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&lt; 100KB initial JS</w:t>
            </w:r>
          </w:p>
        </w:tc>
        <w:tc>
          <w:tcPr>
            <w:tcW w:type="dxa" w:w="4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Use dynamic imports for calculator, charts, and modal components</w:t>
            </w:r>
          </w:p>
        </w:tc>
      </w:tr>
    </w:tbl>
    <w:p>
      <w:r>
        <w:br w:type="page"/>
      </w:r>
    </w:p>
    <w:p>
      <w:pPr>
        <w:pStyle w:val="Heading1"/>
        <w:spacing w:after="200" w:before="400"/>
      </w:pPr>
      <w:r>
        <w:rPr>
          <w:rFonts w:ascii="Arial" w:cs="Arial" w:eastAsia="Arial" w:hAnsi="Arial"/>
          <w:b/>
          <w:bCs/>
          <w:color w:val="1A2B3C"/>
          <w:sz w:val="36"/>
          <w:szCs w:val="36"/>
        </w:rPr>
        <w:t xml:space="preserve">8. SEO Keywords — 200+ Per Service Category</w:t>
      </w:r>
    </w:p>
    <w:p>
      <w:pPr>
        <w:pBdr>
          <w:left w:val="single" w:color="D97706" w:sz="8" w:space="6"/>
        </w:pBdr>
        <w:spacing w:after="120" w:before="80"/>
        <w:ind w:left="360"/>
      </w:pPr>
      <w:r>
        <w:rPr>
          <w:rFonts w:ascii="Arial" w:cs="Arial" w:eastAsia="Arial" w:hAnsi="Arial"/>
          <w:i/>
          <w:iCs/>
          <w:color w:val="7B4F00"/>
          <w:sz w:val="20"/>
          <w:szCs w:val="20"/>
        </w:rPr>
        <w:t xml:space="preserve">⚠ NOTE: These keyword sets are organized by service landing page. Use for on-page content, H1–H3 headers, meta descriptions, FAQ schema, and blog cluster articles.</w:t>
      </w:r>
    </w:p>
    <w:p>
      <w:pPr>
        <w:spacing w:after="120"/>
      </w:pPr>
      <w:r>
        <w:t xml:space="preserve"/>
      </w:r>
    </w:p>
    <w:p>
      <w:pPr>
        <w:pStyle w:val="Heading2"/>
        <w:spacing w:after="160" w:before="300"/>
      </w:pPr>
      <w:r>
        <w:rPr>
          <w:rFonts w:ascii="Arial" w:cs="Arial" w:eastAsia="Arial" w:hAnsi="Arial"/>
          <w:b/>
          <w:bCs/>
          <w:color w:val="0E7C7B"/>
          <w:sz w:val="28"/>
          <w:szCs w:val="28"/>
        </w:rPr>
        <w:t xml:space="preserve">8.1 /global-maternity-billing — Global Maternity Billing (200+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maternity billing service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global package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obstetrics global billing company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maternity billing outsourcing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billing specialists USA</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OB billing experts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RCM outsourcing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obstetrics billing service 2026</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specialized maternity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billing company USA</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package OB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billing professionals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 billing specialists global period</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pregnancy billing outsourcing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code billing experts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women's health maternity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full-cycle maternity RCM</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outsource maternity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obstetrics billing company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billing solutions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59400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59510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59610 VBAC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59618 failed VBAC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OB package CPT codes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antepartum care billing CPT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postpartum care billing CPT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59430 postpartum care code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59409 vaginal delivery only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59515 cesarean delivery only</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59425 antepartum care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59426 antepartum care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59300 episiotomy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59899 unlisted obstetric</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59412 external cephalic version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59414 delivery placenta</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59200 insertion cervical dilator</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59100 hysterotomy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59160 curettage postpartum</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59051 fetal monitoring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59020 fetal contraction stress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59025 fetal nonstress test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59030 fetal scalp blood</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59070 transabdominal amnioinfusion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59072 umbilical cord occlusion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period tracking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maternity period management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antepartum vs postpartum billing split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component billing vs global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billing package breakdown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period start date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billing workflow</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obstetrics global period rules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antepartum care billing process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postpartum visit billing workflow</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mid-pregnancy insurance change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maternity package exceptions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delivery coding workflow</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charge capture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obstetrics claim submission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payment posting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period documentation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prenatal visit billing cycle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prior authorization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eligibility verification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OB package splits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billing compliance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obstetrics coding workflow</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antepartum billing rules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postpartum coding guide</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billing errors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period billing mistakes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claim denials maternity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package denial reasons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incorrect global period start billing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mid-pregnancy insurance change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period overbilling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antepartum underbilling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postpartum missed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package claim rejection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maternity denial rate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period coding errors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billing compliance issues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incorrect delivery CPT code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VBAC billing errors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failed VBAC coding mistakes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unbilled procedures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period confusion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antepartum component billing error</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modifier mistakes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postpartum care undercoding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obstetrics claim denial prevention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billing audit findings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OB overbilling risk</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billing revenue loss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Maryland Medicaid maternity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separate prenatal visit billing Medicaid</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payer-specific maternity global rules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Medicare maternity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Aetna maternity global package</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BCBS global OB package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Cigna maternity billing rules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UnitedHealthcare maternity global</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Humana obstetrics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Tricare maternity billing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Medicaid maternity global package by state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commercial payer maternity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Medicare Advantage maternity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state Medicaid prenatal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payer global period rules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Blue Shield maternity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Kaiser maternity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Anthem maternity global package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Centene maternity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Molina maternity billing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WellCare obstetrics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AmeriHealth maternity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CareSource maternity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Fidelis maternity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HealthFirst maternity billing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how to bill for global maternity package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what is global OB package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how does global period work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can you bill antepartum separately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what CPT code for vaginal delivery</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maternity billing guide 2026</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how to handle mid-pregnancy insurance change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when does global period start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billing for postpartum visit after global</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what is component billing obstetrics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how to bill VBAC delivery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failed VBAC billing guide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antepartum care how many visits billed</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maternity package exceptions list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postpartum care billing rules 2026</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how to bill for high-risk pregnancy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perinatology billing guide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twin delivery billing rules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premature birth billing guide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period early termination billing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can I bill E/M during global maternity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same day E/M delivery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how to bill antepartum complications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obstetrics hospitalization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maternity billing checklist</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2027 maternity code update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service-based maternity billing 2027</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to component maternity billing transition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CMS maternity billing changes 2027</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prenatal visit separate billing 2027</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2027 maternity code update preparation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billing transition guide 2027</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service-based obstetrics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component maternity billing 2027</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obstetrics coding shift 2027</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prenatal care unbundling 2027</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postnatal billing changes 2027</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code reform 2027</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CMS obstetrics billing reform</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2027 OB/GYN billing changes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billing future 2027</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package elimination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new maternity CPT codes 2027</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separate delivery billing 2027</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obstetrics billing overhaul</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ICD-10 O codes maternity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O80 normal delivery code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O34.21 cesarean scar</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Z34 supervision normal pregnancy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ICD-10 trimester coding obstetrics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antepartum complication ICD-10</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O60 preterm labor ICD-10</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O14 preeclampsia ICD-10</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O30 multiple gestation ICD-10</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O36 fetal problems ICD-10</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O10 hypertension pregnancy ICD-10</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O24 diabetes pregnancy ICD-10</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O26 pregnancy complications ICD-10</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O09 supervision high-risk pregnancy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O99 other conditions pregnancy ICD-10</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Z3A gestational age ICD-10</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O69 cord complications ICD-10</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O64 obstructed labor ICD-10</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O68 fetal distress ICD-10</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O82 cesarean delivery ICD-10</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period OB/GYN billing guide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antepartum care billing explained</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postpartum care CPT codes guide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billing mistakes to avoid</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OB package exceptions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top maternity billing errors 2026</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billing compliance guide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obstetrics billing best practices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period documentation tips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coding cheat sheet 2026</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antepartum billing FAQ</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postpartum coding FAQ</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billing glossary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billing for beginners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maternity package explained</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billing training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obstetrics coding education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billing seminar topics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period webinar</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RCM training 2026</w:t>
            </w:r>
          </w:p>
        </w:tc>
      </w:tr>
    </w:tbl>
    <w:p>
      <w:pPr>
        <w:spacing w:after="120"/>
      </w:pPr>
      <w:r>
        <w:t xml:space="preserve"/>
      </w:r>
    </w:p>
    <w:p>
      <w:pPr>
        <w:pStyle w:val="Heading2"/>
        <w:spacing w:after="160" w:before="300"/>
      </w:pPr>
      <w:r>
        <w:rPr>
          <w:rFonts w:ascii="Arial" w:cs="Arial" w:eastAsia="Arial" w:hAnsi="Arial"/>
          <w:b/>
          <w:bCs/>
          <w:color w:val="0E7C7B"/>
          <w:sz w:val="28"/>
          <w:szCs w:val="28"/>
        </w:rPr>
        <w:t xml:space="preserve">8.2 /gyn-surgery-coding — GYN Surgery Coding (200+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surgery coding service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gynecology surgery CPT coding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laparoscopic GYN surgery coding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surgical billing company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gynecologic surgery billing specialists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robotic GYN surgery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gynecology coding outsourcing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surgical billing experts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outsource gynecology coding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gynecology surgery RCM</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surgery coding company USA</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certified GYN surgery coders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gynecology coding specialists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surgical claim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women's surgery billing service</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gynecology coding experts 2026</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surgical procedure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laparoscopy billing service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hysterectomy billing specialists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surgical coding professionals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58570 laparoscopic hysterectomy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58571 hysterectomy with tubes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58572 hysterectomy tubes ovaries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58573 hysterectomy radical</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58150 total abdominal hysterectomy</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58140 myomectomy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58661 laparoscopic salpingo-oophorectomy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58558 hysteroscopy biopsy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57250 posterior colporrhaphy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57260 combined colporrhaphy</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57240 anterior colporrhaphy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57280 sacral colpopexy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57425 laparoscopic colpopexy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58662 fulguration endometriosis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58670 laparoscopic tube occlusion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58671 laparoscopic salpingectomy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58145 myomectomy vaginal</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58180 supracervical hysterectomy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58200 total hysterectomy with lymph</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58210 radical hysterectomy</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58240 pelvic exenteration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58260 vaginal hysterectomy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58262 vaginal hysterectomy tubes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58267 vaginal hysterectomy colpo</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58270 vaginal hysterectomy repair</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58290 vaginal hysterectomy large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58300 IUD insertion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58301 IUD removal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58321 artificial insemination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58340 cervical dilation hysteroscopy</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Modifier 51 multiple procedures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Modifier 59 distinct procedural service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XE modifier GYN surgery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XP modifier gynecology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XS modifier GYN procedures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XU modifier distinct service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Modifier 25 same-day E/M GYN surgery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separately identifiable E/M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Modifier 22 increased complexity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Modifier 50 bilateral GYN procedure</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Modifier 52 reduced service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Modifier 53 discontinued GYN procedure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Modifier 58 staged GYN procedure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Modifier 78 unplanned return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Modifier 79 unrelated GYN procedure</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Modifier 80 GYN assistant surgeon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Modifier 82 GYN assistant when unavailable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Modifier 62 two primary surgeons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Modifier 66 surgical team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Modifier 26 professional component 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hysterectomy billing service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myomectomy CPT coding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laparoscopy billing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endometriosis surgery coding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ovarian cystectomy billing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salpingectomy coding service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tubal ligation CPT codes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LEEP procedure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cervical biopsy CPT codes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colposcopy billing service</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vulvectomy billing CPT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vaginoplasty billing codes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perineoplasty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cystoscopy GYN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urethral surgery billing 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mesh removal GYN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pelvic floor repair coding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vaginal prolapse repair CPT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rectocele repair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cystocele repair billing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enterocele repair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sacrospinous fixation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pudendal nerve block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laparoscopic ovarian drilling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peritoneal adhesion lysis billing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surgery medical necessity documentation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operative report coding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surgical coding audit gynecology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downcoding prevention GYN surgery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AI-powered surgical code validation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payer automated downcoding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surgical documentation review</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operative note coding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surgical note billing support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coding compliance documentation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surgery coding accuracy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operative report review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surgical coding quality audit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procedure documentation requirements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surgical billing compliance 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surgery denial management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appeal denied GYN surgical claim</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CO-4 denial GYN surgery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medical necessity denial gynecology surgery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peer-to-peer review GYN surgery</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surgery claim denial prevention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CO-97 denial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CO-16 denial gynecology surgery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PR-96 denial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surgical denial appeal letter</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surgery second-level appeal</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external review GYN denial</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surgery claim rework</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denied laparoscopy claim</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denied hysterectomy claim appeal</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surgery medical necessity letter</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clinical documentation appeal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surgical code audit appeal</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payer downcoding appeal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surgery denial overturn rate</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robotic GYN surgery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da Vinci hysterectomy CPT code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robotic assisted myomectomy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pelvic floor repair coding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mesh repair GYN surgery billing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vaginal prolapse repair CPT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rectocele repair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cystocele repair CPT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sacrocolpopexy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laparoscopic sacrohysteropexy billing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da Vinci CPT 58572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robotic modifier S2900</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robotic surgery facility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robotic hysterectomy coding guide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minimally invasive GYN surgery billing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single-site robotic GYN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laparoendoscopic GYN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natural orifice GYN surgery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laser surgery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hysteroscopic myomectomy billing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uterine fibroids ICD-10 D25</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endometriosis ICD-10 N80</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ovarian cyst ICD-10 N83</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pelvic organ prolapse ICD-10 N81</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cervical dysplasia ICD-10 N87</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abnormal uterine bleeding ICD-10 N93</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uterine polyp ICD-10 N84</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adenomyosis ICD-10 N80.0</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ovarian tumor ICD-10 D27</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fallopian tube disease ICD-10 N83</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vaginal atrophy ICD-10 N95</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pelvic pain ICD-10 N94</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dysmenorrhea ICD-10 N94.4</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menorrhagia ICD-10 N92</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chronic pelvic pain ICD-10 R10</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pelvic abscess ICD-10 N73</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hydrosalpinx ICD-10 N70</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endometrial hyperplasia ICD-10 N85</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cervical incompetence ICD-10 N88</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uterine adhesions ICD-10 N85.6</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surgery coding guide 2026</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laparoscopic GYN coding tips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common GYN surgical billing mistakes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modifier use in GYN surgery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hysterectomy CPT code selection guide</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robotic surgery billing guide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surgery coding education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endometriosis surgery billing guide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laparoscopy vs laparotomy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surgical coding compliance 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surgery billing checklist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hysteroscopy billing guide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colposcopy coding explained</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myomectomy billing tutorial</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pelvic floor surgery coding guide</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surgery billing webinar</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surgical coding certification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AAPC GYN surgery coding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CPC-OB GYN surgery module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AHIMA GYN surgical coding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best practices GYN surgical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surgery coding audit tips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surgical billing error prevention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coding quality improvement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operative report documentation 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surgery RCM optimization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surgical claim scrubbing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surgery revenue recovery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surgical undercoding detection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surgery billing ROI</w:t>
            </w:r>
          </w:p>
        </w:tc>
      </w:tr>
    </w:tbl>
    <w:p>
      <w:pPr>
        <w:spacing w:after="120"/>
      </w:pPr>
      <w:r>
        <w:t xml:space="preserve"/>
      </w:r>
    </w:p>
    <w:p>
      <w:pPr>
        <w:pStyle w:val="Heading2"/>
        <w:spacing w:after="160" w:before="300"/>
      </w:pPr>
      <w:r>
        <w:rPr>
          <w:rFonts w:ascii="Arial" w:cs="Arial" w:eastAsia="Arial" w:hAnsi="Arial"/>
          <w:b/>
          <w:bCs/>
          <w:color w:val="0E7C7B"/>
          <w:sz w:val="28"/>
          <w:szCs w:val="28"/>
        </w:rPr>
        <w:t xml:space="preserve">8.3 /denial-management — Claim Denial Management (200+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denial management service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claim denial management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AI-powered OB/GYN denial management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gynecology billing denial resolution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denial management company</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obstetrics claim denial service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billing denial experts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management RCM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outsource OB/GYN denial management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resolution specialists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AI denial management women's health</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denial recovery service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maternity claim denial management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surgery denial service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 billing denial specialists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management outsourcing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claim appeal specialists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denial reduction service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obstetrics AR recovery service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management platform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agentic AI denial management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AI claim denial resolution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automated denial management healthcare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CARC RARC automated analysis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AI denial prediction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machine learning denial management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probability scoring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autonomous denial appeal AI</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AI denial root cause analysis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predictive denial management system</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NLP denial management healthcare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management automation platform</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AI RFI response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robotic process automation denials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intelligent denial management</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agentic denial workflow automation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AI-generated appeal letters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deep learning denial prediction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management API</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real-time denial detection AI</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timely filing denial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medical necessity denial gynecology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prior authorization denial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duplicate claim denial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bundling denial 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CO-97 denial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CO-4 denial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CO-22 denial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PR-96 denial maternity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CO-11 denial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CO-16 denial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CO-18 duplicate claim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CO-19 denial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CO-50 non-covered denial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CO-96 denial maternity</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CO-197 prior auth denial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N130 denial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N575 denial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PR-1 deductible denial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PR-2 coinsurance denial 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coordination of benefits denial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eligibility denial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coding error denial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demographic denial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claim format denial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Cigna timely filing limit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UnitedHealthcare denial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Aetna prior auth denial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Medicare denial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Medicaid denial management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Blue Cross denial GYN claims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Humana denial management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Anthem denial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Tricare denial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Medicare Advantage denial 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BCBS timely filing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Cigna medical necessity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UHC prior auth denial maternity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Aetna clinical review denial OB</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Medicare LCD denial 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Medicaid prior auth denial maternity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Kaiser denial management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Molina denial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Centene denial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WellCare denial maternity</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CareSource denial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AmeriHealth denial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HealthFirst denial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Fidelis denial management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Ambetter denial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root cause analysis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appeal workflow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first-pass resolution rate improvement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claim rework reduction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AR recovery process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trend analysis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tracking dashboard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claim resubmission process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corrected claim submission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prevention workflow</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proactive denial management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categorization system</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claim audit before submission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pre-submission denial screening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management SOP obstetrics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worklist management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aging report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KPI tracking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claim denial lifecycle management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resolution turnaround time</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write GYN denial appeal letter</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medical necessity appeal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peer-to-peer review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appeal template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second-level appeal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external review request GYN denial</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internal appeal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expedited appeal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appeal letter CPT support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clinical documentation for appeal</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peer-to-peer physician call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IRO review request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grievance process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appeal success rate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AI-drafted appeal letter 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evidence-based appeal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appeal medical record submission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claim appeal deadline tracking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appeal withdrawal process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overturn rate tracking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first-pass acceptance rate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rate benchmark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cost to rework denied claim</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net collection rate improvement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trend reduction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$57 rework cost reduction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write-off reduction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management ROI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AR days improvement denial</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clean claim rate improvement 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rate industry benchmark</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denial rate 2026</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management cost savings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appeal overturn rate benchmark</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first-pass denial benchmark OB</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prevention savings calculation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management KPI dashboard</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claim denial rate tracking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recovery revenue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management performance metrics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agentic AI denial management 2026</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automated claims appeal AI</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AI RFI response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autonomous claim rework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EHR integrated denial management</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payer AI downcoding counter</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machine learning claim scrubbing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predictive denial analytics 2026</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real-time claim validation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AI payer rule engine</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prevention technology 2026</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autonomous billing workflow</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AI appeal generation platform</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management SaaS 2026</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cloud-based denial management</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management integration API</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mobile denial management tracking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voice AI denial management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chatbot healthcare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prediction algorithm</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top OB/GYN denial reason codes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how to appeal OB/GYN denied claim</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what causes maternity billing denials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CO-97 denial fix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most common GYN surgery denials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payer-specific denial rules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management guide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management training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prevention checklist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claim denial FAQ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understanding CARC codes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RARC code guide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management best practices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management webinar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management blog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reduction case study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management certification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appeal writing training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management workflow template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management policy OB/GYN</w:t>
            </w:r>
          </w:p>
        </w:tc>
      </w:tr>
    </w:tbl>
    <w:p>
      <w:pPr>
        <w:spacing w:after="120"/>
      </w:pPr>
      <w:r>
        <w:t xml:space="preserve"/>
      </w:r>
    </w:p>
    <w:p>
      <w:pPr>
        <w:pStyle w:val="Heading2"/>
        <w:spacing w:after="160" w:before="300"/>
      </w:pPr>
      <w:r>
        <w:rPr>
          <w:rFonts w:ascii="Arial" w:cs="Arial" w:eastAsia="Arial" w:hAnsi="Arial"/>
          <w:b/>
          <w:bCs/>
          <w:color w:val="0E7C7B"/>
          <w:sz w:val="28"/>
          <w:szCs w:val="28"/>
        </w:rPr>
        <w:t xml:space="preserve">8.4 /revenue-cycle-management — Revenue Cycle Management (200+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revenue cycle management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obstetrics RCM services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gynecology billing RCM company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RCM outsourcing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women's health revenue cycle management</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full-cycle OB/GYN RCM</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obstetrics billing management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practice revenue cycle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billing optimization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women's health RCM specialists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patient eligibility verification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prior authorization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charge capture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claims submission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payment posting obstetrics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patient collections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AR follow-up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AR days reduction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net collection rate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AR days OB/GYN benchmark</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first-pass acceptance rate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denial rate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collection rate improvement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gross collection rate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AI-powered RCM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automated eligibility verification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real-time claims tracking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RPA billing automation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predictive revenue analytics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EHR integrated RCM obstetrics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Athenahealth OB/GYN billing integration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eClinicalWorks GYN RCM</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NextGen Healthcare OB/GYN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Kareo OB/GYN RCM integration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DrChrono obstetrics billing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solo OB/GYN practice RCM</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small group obstetrics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large OB/GYN group RCM</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hospital-affiliated OB/GYN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multi-location OB/GYN practice billing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RCM outsourcing cost savings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revenue recovery OB/GYN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outsource billing vs in-house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billing staff overhead reduction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ROI OB/GYN billing outsourcing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revenue loss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unbilled OB/GYN procedures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revenue leakage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billing backlog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cash flow OB/GYN practice</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low collection rate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HIPAA compliant OB/GYN RCM</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HIPAA billing service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BAA billing company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compliant revenue cycle obstetrics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value-based care billing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quality metrics billing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MIPS OB/GYN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APM obstetrics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population health billing 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what is RCM for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how does OB/GYN revenue cycle work</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billing process explained</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revenue cycle steps obstetrics practice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agentic RCM automation 2026</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autonomous revenue cycle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AI revenue integrity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2027 maternity billing RCM preparation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RCM software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billing platform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billing technology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revenue cycle analytics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billing dashboard</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practice management OB/GYN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billing automation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claims management system</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obstetrics billing software 2026</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practice management software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 billing clearinghouse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ERA EDI OB/GYN billing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electronic remittance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ERA posting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claim scrubber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claim edits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claim status tracking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charge entry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charge master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fee schedule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contracted rates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payer contract analysis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payer mix analysis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payer performance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payer report card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revenue analytics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financial reporting OB/GYN billing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monthly billing report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billing KPI</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net revenue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gross revenue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collections per physician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billing audit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coding audit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compliance audit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internal audit OB/GYN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OIG compliance OB/GYN billing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RAC audit preparation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pre-payment audit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post-payment audit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overpayment refund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credit balance resolution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patient statement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patient balance billing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patient payment plan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self-pay collections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patient financial counseling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billing FAQ</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RCM guide 2026</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revenue cycle glossary OB</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obstetrics billing training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billing best practices 2026</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billing mistakes to avoid</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billing checklist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obstetrics billing compliance guide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billing tips 2026</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billing resources</w:t>
            </w:r>
          </w:p>
        </w:tc>
      </w:tr>
    </w:tbl>
    <w:p>
      <w:pPr>
        <w:spacing w:after="120"/>
      </w:pPr>
      <w:r>
        <w:t xml:space="preserve"/>
      </w:r>
    </w:p>
    <w:p>
      <w:pPr>
        <w:pStyle w:val="Heading2"/>
        <w:spacing w:after="160" w:before="300"/>
      </w:pPr>
      <w:r>
        <w:rPr>
          <w:rFonts w:ascii="Arial" w:cs="Arial" w:eastAsia="Arial" w:hAnsi="Arial"/>
          <w:b/>
          <w:bCs/>
          <w:color w:val="0E7C7B"/>
          <w:sz w:val="28"/>
          <w:szCs w:val="28"/>
        </w:rPr>
        <w:t xml:space="preserve">8.5 /credentialing — Physician Credentialing (200+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physician credentialing service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obstetrics credentialing company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gynecology provider credentialing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payer enrollment service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women's health credentialing specialists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credentialing outsourcing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physician credentialing OB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provider enrollment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obstetrics insurance credentialing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network enrollment</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payer credentialing process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insurance enrollment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CAQH profile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provider enrollment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re-credentialing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participating provider enrollment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Medicare credentialing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Medicaid enrollment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BCBS credentialing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Aetna OB/GYN enrollment</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United Healthcare credentialing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commercial payer enrollment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credentialing timeline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how long does OB/GYN credentialing take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credentialing delays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fix credentialing issues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credentialing denials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billing before credentialing complete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hospital credentialing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surgery center credentialing 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clinic credentialing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locum tenens OB/GYN credentialing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telemedicine OB/GYN credentialing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new OB/GYN practice credentialing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credentialing for new obstetrics physician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start OB/GYN practice credentialing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new graduate OB/GYN credentialing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credentialing for new GYN group</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ABOG certification credentialing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board certification enrollment</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DEA registration OB/GYN credentialing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NPI enrollment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state license verification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CAQH complete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primary source verification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credentialing software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credentialing tracking system</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credentialing specialist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credentialing coordinator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credentialing audit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re-attestation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payer re-credentialing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credentialing expiration tracking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provider data management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credentialing database management</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hospital privileges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hospital medical staff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surgical privileges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labor and delivery privileges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credentialing for maternity care</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group credentialing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multi-physician credentialing OB</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credentialing for practice acquisition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new partner credentialing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international medical graduate credentialing 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J-1 visa waiver OB/GYN credentialing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H-1B physician credentialing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foreign-trained OB/GYN credentialing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fellowship credentialing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residency to practice credentialing OB</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how to credential OB/GYN physician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credentialing steps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what is payer enrollment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why credentialing matters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credentialing guide OB/GYN 2026</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NCQA credentialing standards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URAC credentialing standards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credentialing checklist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credentialing timeline guide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expedited credentialing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provisional credentialing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temporary privileges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locum credentialing fast-track</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telehealth credentialing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virtual care provider enrollment 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Cigna provider enrollment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Humana credentialing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Tricare provider enrollment OB</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Medicare Part B enrollment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Medicare advantage credentialing OB</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Medicaid provider number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NPI Type 1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NPI Type 2 group practice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taxonomy code OB/GYN 207V00000X</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specialty designation OB/GYN payer</w:t>
            </w:r>
          </w:p>
        </w:tc>
      </w:tr>
    </w:tbl>
    <w:p>
      <w:pPr>
        <w:spacing w:after="120"/>
      </w:pPr>
      <w:r>
        <w:t xml:space="preserve"/>
      </w:r>
    </w:p>
    <w:p>
      <w:pPr>
        <w:pStyle w:val="Heading2"/>
        <w:spacing w:after="160" w:before="300"/>
      </w:pPr>
      <w:r>
        <w:rPr>
          <w:rFonts w:ascii="Arial" w:cs="Arial" w:eastAsia="Arial" w:hAnsi="Arial"/>
          <w:b/>
          <w:bCs/>
          <w:color w:val="0E7C7B"/>
          <w:sz w:val="28"/>
          <w:szCs w:val="28"/>
        </w:rPr>
        <w:t xml:space="preserve">8.6 /coding-audits — Billing &amp; Coding Audits (200+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billing coding audit service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obstetrics coding audit company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coding compliance audit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chart audit service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women's health coding review</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prospective coding audit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retrospective coding audit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E/M coding audit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surgical coding audit gynecology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diagnosis coding audit obstetrics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code audit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coding compliance review</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ICD-10 coding accuracy audit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code accuracy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upcoding audit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undercoding audit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coding error identification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global maternity coding audit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surgery coding review</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E/M code selection audit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preventive vs diagnostic visit audit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modifier usage audit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2024 AMA E/M audit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coding audit ROI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revenue recovery from audit 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identify undercoding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missed revenue coding audit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coding audit savings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OIG audit risk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reduce audit risk GYN billing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coding compliance program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RAC audit preparation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payer audit response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what is OB/GYN coding audit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how often should OB/GYN audit coding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coding audit process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benefits of coding audit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coding audit frequency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pre-audit assessment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coding accuracy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coder quality review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coding productivity audit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billing accuracy audit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coding consistency audit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claim accuracy audit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coding scorecard</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coder performance review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coding audit feedback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coding audit corrective action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coding improvement plan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external coding audit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internal coding audit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independent coding review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third-party audit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peer coding review 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CPC-OB coding audit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AHIMA certified audit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AAPC audit services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certified coder review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specialty coding audit women's health</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high-risk coding areas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complex coding review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documentation improvement audit OB</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CDI program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clinical documentation GYN audit</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charge capture audit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missed charge audit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unbilled procedure audit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charge lag audit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E/M documentation audit 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2024 AMA E/M changes OB/GYN impact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medical decision making audit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time-based E/M audit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split/shared visit audit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E/M audit 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high complexity E/M audit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preventive care coding audit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well-woman visit coding audit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annual exam billing audit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LARC coding audit</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contraception coding audit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prenatal visit coding audit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postpartum audit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delivery coding audit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surgical modifier audit 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bundling audit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NCCI edit audit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correct coding initiative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Medicare coding audit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Medicaid coding review obstetrics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commercial payer audit prep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prior authorization audit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retrospective payment audit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RAC audit appeal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post-audit corrective plan</w:t>
            </w:r>
          </w:p>
        </w:tc>
      </w:tr>
    </w:tbl>
    <w:p>
      <w:pPr>
        <w:spacing w:after="120"/>
      </w:pPr>
      <w:r>
        <w:t xml:space="preserve"/>
      </w:r>
    </w:p>
    <w:p>
      <w:pPr>
        <w:pStyle w:val="Heading2"/>
        <w:spacing w:after="160" w:before="300"/>
      </w:pPr>
      <w:r>
        <w:rPr>
          <w:rFonts w:ascii="Arial" w:cs="Arial" w:eastAsia="Arial" w:hAnsi="Arial"/>
          <w:b/>
          <w:bCs/>
          <w:color w:val="0E7C7B"/>
          <w:sz w:val="28"/>
          <w:szCs w:val="28"/>
        </w:rPr>
        <w:t xml:space="preserve">8.7 /telehealth-billing — Telehealth Billing (200+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telehealth billing service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obstetrics telemedicine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virtual visit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women's health telehealth RCM</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telehealth coding service</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E/M codes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99213 telehealth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99214 telehealth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99215 telehealth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GT modifier telehealth</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95 modifier telehealth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POS 02 telehealth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POS 10 telehealth at home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audio-only telehealth OB/GYN CPT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telephone visit billing 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Medicare telehealth OB/GYN coverage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Medicaid telehealth billing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commercial payer telehealth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BCBS telehealth OB/GYN policy</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Aetna telehealth obstetrics billing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parity laws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UnitedHealthcare telehealth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Cigna virtual visit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Humana telehealth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Tricare telehealth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Doxy.me OB/GYN billing integration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Zoom healthcare OB/GYN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platform billing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EHR telehealth billing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virtual care billing platform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flexibilities OB/GYN 2026</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permanent telehealth rules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originating site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policy changes 2026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telehealth billing denials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claim rejected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incorrect telehealth modifier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audio-only visit billing obstetrics errors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how to bill telehealth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billing guide obstetrics 2026</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virtual visit CPT codes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billing for prenatal visits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remote patient monitoring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RPM billing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chronic care management GYN billing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CCM billing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principal care management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behavioral health integration GYN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collaborative care billing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psychiatric collaborative care OB</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consent documentation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place of service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store and forward GYN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asynchronous telehealth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synchronous telehealth billing 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originating site facility fee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distant site billing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facility fee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FQHC telehealth billing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RHC telehealth GYN billing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telehealth state laws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interstate telehealth licensing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compact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HIPAA compliance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virtual visit documentation requirements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medical necessity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prior authorization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payer coverage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audio-only prenatal visit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first prenatal telehealth visit billing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telehealth ROI</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vs in-person billing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revenue OB/GYN practice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virtual care expansion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digital health billing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mHealth billing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patient portal billing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remote consultation billing OB</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eConsult billing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follow-up billing 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billing compliance 2026</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audit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coding accuracy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billing errors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claim denial OB/GYN prevention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99441 phone call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99442 phone call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99443 phone consultation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98966 non-physician phone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G2012 virtual check-in billing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G2010 remote image review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G0071 audio-only visit Medicare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G2252 audio-only FFS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telehealth 2026 billing update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telemedicine reimbursement 2026</w:t>
            </w:r>
          </w:p>
        </w:tc>
      </w:tr>
    </w:tbl>
    <w:p>
      <w:pPr>
        <w:spacing w:after="120"/>
      </w:pPr>
      <w:r>
        <w:t xml:space="preserve"/>
      </w:r>
    </w:p>
    <w:p>
      <w:pPr>
        <w:pStyle w:val="Heading2"/>
        <w:spacing w:after="160" w:before="300"/>
      </w:pPr>
      <w:r>
        <w:rPr>
          <w:rFonts w:ascii="Arial" w:cs="Arial" w:eastAsia="Arial" w:hAnsi="Arial"/>
          <w:b/>
          <w:bCs/>
          <w:color w:val="0E7C7B"/>
          <w:sz w:val="28"/>
          <w:szCs w:val="28"/>
        </w:rPr>
        <w:t xml:space="preserve">8.8 /practice-setup — New Practice Billing Setup (200+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new OB/GYN practice billing setup</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obstetrics billing setup service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GYN practice launch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start OB/GYN practice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women's health practice billing startup</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billing system setup</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EHR setup OB/GYN practice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payer enrollment new OB/GYN practice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fee schedule setup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charge master setup 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billing software OB/GYN setup</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solo OB/GYN practice startup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new GYN group practice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hospital-employed OB/GYN billing setup</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concierge OB/GYN practice billing</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direct primary care OB/GYN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HIPAA compliance new OB/GYN practice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BAA setup OB/GYN practice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NPI registration new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taxonomy code setup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Medicare enrollment new OB/GYN physician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how to set up OB/GYN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new OB/GYN practice billing checklist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billing setup checklist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steps to start billing OB/GYN practice</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practice management setup</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best billing software new OB/GYN practice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PM system selection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EHR selection obstetrics practice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clearinghouse setup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ERA EDI setup obstetrics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new practice fee schedule optimization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payer contracting startup</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insurance contracting new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Medicaid enrollment new GYN practice</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commercial payer enrollment startup OB</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CAQH setup new physician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payer applications new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first claims submission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practice management training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billing staff training new GYN practice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coder onboarding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new practice revenue cycle setup</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practice launch billing guide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billing infrastructure new practice</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practice billing consultant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billing startup consultant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new practice billing advisor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outsource billing new OB/GYN practice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billing company for new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startup OB/GYN billing cost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new practice billing investment</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billing startup ROI</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billing setup timeline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new practice billing milestones</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billing system integration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PM EHR integration new practice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billing workflow design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new practice coding setup</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CPT code library new GYN practice</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ICD-10 library setup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superbill design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charge ticket setup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encounter form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patient intake billing setup</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insurance verification new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eligibility check setup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referral tracking new OB/GYN practice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authorization tracking setup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prior auth workflow new practice</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practice policies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billing policy manual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collections policy new GYN practice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patient payment policy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financial counseling setup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billing kickoff guide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first month billing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new practice claim volume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startup billing metrics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new practice billing benchmark</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startup billing mistakes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avoid billing errors new GYN practice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common startup billing errors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new practice denial prevention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billing compliance new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practice acquisition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buying OB/GYN practice billing</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practice transition billing 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inherited billing system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practice merger billing OB/GYN</w:t>
            </w:r>
          </w:p>
        </w:tc>
      </w:tr>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OB/GYN RCM vendor selection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billing vendor RFP obstetrics</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evaluating billing company OB/GYN</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billing contract OB/GYN practice</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4A5568"/>
                <w:sz w:val="18"/>
                <w:szCs w:val="18"/>
              </w:rPr>
              <w:t xml:space="preserve">billing service agreement GYN</w:t>
            </w:r>
          </w:p>
        </w:tc>
      </w:tr>
    </w:tbl>
    <w:p>
      <w:r>
        <w:br w:type="page"/>
      </w:r>
    </w:p>
    <w:p>
      <w:pPr>
        <w:pStyle w:val="Heading1"/>
        <w:spacing w:after="200" w:before="400"/>
      </w:pPr>
      <w:r>
        <w:rPr>
          <w:rFonts w:ascii="Arial" w:cs="Arial" w:eastAsia="Arial" w:hAnsi="Arial"/>
          <w:b/>
          <w:bCs/>
          <w:color w:val="1A2B3C"/>
          <w:sz w:val="36"/>
          <w:szCs w:val="36"/>
        </w:rPr>
        <w:t xml:space="preserve">9. Design System — Medical Pro Aesthetic</w:t>
      </w:r>
    </w:p>
    <w:p>
      <w:pPr>
        <w:spacing w:after="120"/>
      </w:pPr>
      <w:r>
        <w:rPr>
          <w:rFonts w:ascii="Arial" w:cs="Arial" w:eastAsia="Arial" w:hAnsi="Arial"/>
          <w:color w:val="4A5568"/>
          <w:sz w:val="22"/>
          <w:szCs w:val="22"/>
        </w:rPr>
        <w:t xml:space="preserve">The design system must communicate authority, trustworthiness, and clinical precision — while remaining approachable to busy physicians and practice administrators.</w:t>
      </w:r>
    </w:p>
    <w:p>
      <w:pPr>
        <w:spacing w:after="120"/>
      </w:pPr>
      <w:r>
        <w:t xml:space="preserve"/>
      </w:r>
    </w:p>
    <w:p>
      <w:pPr>
        <w:pStyle w:val="Heading2"/>
        <w:spacing w:after="160" w:before="300"/>
      </w:pPr>
      <w:r>
        <w:rPr>
          <w:rFonts w:ascii="Arial" w:cs="Arial" w:eastAsia="Arial" w:hAnsi="Arial"/>
          <w:b/>
          <w:bCs/>
          <w:color w:val="0E7C7B"/>
          <w:sz w:val="28"/>
          <w:szCs w:val="28"/>
        </w:rPr>
        <w:t xml:space="preserve">9.1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Token / Hex</w:t>
            </w:r>
          </w:p>
        </w:tc>
        <w:tc>
          <w:tcPr>
            <w:tcW w:type="dxa" w:w="20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8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Primary: #0E7C7B (Deep Teal)</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Brand color</w:t>
            </w:r>
          </w:p>
        </w:tc>
        <w:tc>
          <w:tcPr>
            <w:tcW w:type="dxa" w:w="4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CTAs, headings, active states, nav links, borders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Primary Dark: #065F5E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Hover state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Button hover, emphasis elements</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Primary Light: #E0F4F4</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Background accent</w:t>
            </w:r>
          </w:p>
        </w:tc>
        <w:tc>
          <w:tcPr>
            <w:tcW w:type="dxa" w:w="4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Section backgrounds, table headers, highlight boxes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Deep Navy: #1A2B3C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Authority color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Body headings, hero text on dark backgrounds</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Navy Alt: #2B2D42</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Alternative dark</w:t>
            </w:r>
          </w:p>
        </w:tc>
        <w:tc>
          <w:tcPr>
            <w:tcW w:type="dxa" w:w="4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Page headers, sidebar backgrounds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Neutral Mid: #4A5568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Body text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Paragraph copy, secondary text, captions</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Neutral Light: #F7FAFC</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Card backgrounds</w:t>
            </w:r>
          </w:p>
        </w:tc>
        <w:tc>
          <w:tcPr>
            <w:tcW w:type="dxa" w:w="4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Alternating table rows, card surfaces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Accent Blue: #2B6CB0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Links / CTAs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Hyperlinks, secondary CTAs, informational callouts</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Olive Spruce: #4A5F3C</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Nature-calm accent</w:t>
            </w:r>
          </w:p>
        </w:tc>
        <w:tc>
          <w:tcPr>
            <w:tcW w:type="dxa" w:w="4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Icons, feature checkmarks, specialty tags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Success Green: #276749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Positive metrics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Recovered revenue indicators, success states</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Warning Amber: #D97706</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Attention / Denial</w:t>
            </w:r>
          </w:p>
        </w:tc>
        <w:tc>
          <w:tcPr>
            <w:tcW w:type="dxa" w:w="4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Denial rate indicators, attention callouts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Terracotta: #E2725B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Friendly CTA alt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Secondary button variant, badge backgrounds</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Soft Linen: #E8E5E0</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Breathing room</w:t>
            </w:r>
          </w:p>
        </w:tc>
        <w:tc>
          <w:tcPr>
            <w:tcW w:type="dxa" w:w="4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Dashboard page backgrounds, card surfaces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White: #FFFFFF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Primary surface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Primary page backgrounds, modal surfaces</w:t>
            </w:r>
          </w:p>
        </w:tc>
      </w:tr>
    </w:tbl>
    <w:p>
      <w:pPr>
        <w:spacing w:after="120"/>
      </w:pPr>
      <w:r>
        <w:t xml:space="preserve"/>
      </w:r>
    </w:p>
    <w:p>
      <w:pPr>
        <w:pStyle w:val="Heading2"/>
        <w:spacing w:after="160" w:before="300"/>
      </w:pPr>
      <w:r>
        <w:rPr>
          <w:rFonts w:ascii="Arial" w:cs="Arial" w:eastAsia="Arial" w:hAnsi="Arial"/>
          <w:b/>
          <w:bCs/>
          <w:color w:val="0E7C7B"/>
          <w:sz w:val="28"/>
          <w:szCs w:val="28"/>
        </w:rPr>
        <w:t xml:space="preserve">9.2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46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Weight / Size</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Display / H1</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Inter (Google Fonts)</w:t>
            </w:r>
          </w:p>
        </w:tc>
        <w:tc>
          <w:tcPr>
            <w:tcW w:type="dxa" w:w="46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700 Bold — 48px / -0.02em letter spacing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H2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Inter</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600 SemiBold — 36px</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H3</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Inter</w:t>
            </w:r>
          </w:p>
        </w:tc>
        <w:tc>
          <w:tcPr>
            <w:tcW w:type="dxa" w:w="46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600 SemiBold — 24px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Body Text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Inter Regular</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400 — 16px / 1.7 line-height</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Heading Alt (Premium)</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Playfair Display</w:t>
            </w:r>
          </w:p>
        </w:tc>
        <w:tc>
          <w:tcPr>
            <w:tcW w:type="dxa" w:w="46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700 Bold — Use sparingly for hero sections to add authority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Monospace / Code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JetBrains Mono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For CPT codes, ICD-10 codes, calculator outputs</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Small / Caption</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Inter</w:t>
            </w:r>
          </w:p>
        </w:tc>
        <w:tc>
          <w:tcPr>
            <w:tcW w:type="dxa" w:w="46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400 — 12px / +0.05em letter spacing / all-caps labels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Button Labels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Inter</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600 SemiBold — 14px uppercase / +0.05em</w:t>
            </w:r>
          </w:p>
        </w:tc>
      </w:tr>
    </w:tbl>
    <w:p>
      <w:pPr>
        <w:spacing w:after="120"/>
      </w:pPr>
      <w:r>
        <w:t xml:space="preserve"/>
      </w:r>
    </w:p>
    <w:p>
      <w:pPr>
        <w:pStyle w:val="Heading2"/>
        <w:spacing w:after="160" w:before="300"/>
      </w:pPr>
      <w:r>
        <w:rPr>
          <w:rFonts w:ascii="Arial" w:cs="Arial" w:eastAsia="Arial" w:hAnsi="Arial"/>
          <w:b/>
          <w:bCs/>
          <w:color w:val="0E7C7B"/>
          <w:sz w:val="28"/>
          <w:szCs w:val="28"/>
        </w:rPr>
        <w:t xml:space="preserve">9.3 Key UI Components</w:t>
      </w:r>
    </w:p>
    <w:p>
      <w:pPr>
        <w:pStyle w:val="ListParagraph"/>
        <w:numPr>
          <w:ilvl w:val="0"/>
          <w:numId w:val="2"/>
        </w:numPr>
        <w:spacing w:after="80"/>
      </w:pPr>
      <w:r>
        <w:rPr>
          <w:rFonts w:ascii="Arial" w:cs="Arial" w:eastAsia="Arial" w:hAnsi="Arial"/>
          <w:color w:val="4A5568"/>
          <w:sz w:val="22"/>
          <w:szCs w:val="22"/>
        </w:rPr>
        <w:t xml:space="preserve">Primary CTA Button — Deep Teal (#0E7C7B), rounded-md (8px), 14px uppercase, right-arrow icon, hover: scale(1.02) + darken to #065F5E</w:t>
      </w:r>
    </w:p>
    <w:p>
      <w:pPr>
        <w:pStyle w:val="ListParagraph"/>
        <w:numPr>
          <w:ilvl w:val="0"/>
          <w:numId w:val="2"/>
        </w:numPr>
        <w:spacing w:after="80"/>
      </w:pPr>
      <w:r>
        <w:rPr>
          <w:rFonts w:ascii="Arial" w:cs="Arial" w:eastAsia="Arial" w:hAnsi="Arial"/>
          <w:color w:val="4A5568"/>
          <w:sz w:val="22"/>
          <w:szCs w:val="22"/>
        </w:rPr>
        <w:t xml:space="preserve">Certification Badge Block — AAPC, AHIMA, MGMA, HIMSS logos in horizontal row</w:t>
      </w:r>
    </w:p>
    <w:p>
      <w:pPr>
        <w:pStyle w:val="ListParagraph"/>
        <w:numPr>
          <w:ilvl w:val="0"/>
          <w:numId w:val="2"/>
        </w:numPr>
        <w:spacing w:after="80"/>
      </w:pPr>
      <w:r>
        <w:rPr>
          <w:rFonts w:ascii="Arial" w:cs="Arial" w:eastAsia="Arial" w:hAnsi="Arial"/>
          <w:color w:val="4A5568"/>
          <w:sz w:val="22"/>
          <w:szCs w:val="22"/>
        </w:rPr>
        <w:t xml:space="preserve">Stat Counter Section — Animated: 98.2% First-Pass Rate / $4.2M Recovered / 200+ Practices Served</w:t>
      </w:r>
    </w:p>
    <w:p>
      <w:pPr>
        <w:pStyle w:val="ListParagraph"/>
        <w:numPr>
          <w:ilvl w:val="0"/>
          <w:numId w:val="2"/>
        </w:numPr>
        <w:spacing w:after="80"/>
      </w:pPr>
      <w:r>
        <w:rPr>
          <w:rFonts w:ascii="Arial" w:cs="Arial" w:eastAsia="Arial" w:hAnsi="Arial"/>
          <w:color w:val="4A5568"/>
          <w:sz w:val="22"/>
          <w:szCs w:val="22"/>
        </w:rPr>
        <w:t xml:space="preserve">Testimonial Cards — Photo, name, practice name, specialty, quote. Optional star rating.</w:t>
      </w:r>
    </w:p>
    <w:p>
      <w:pPr>
        <w:pStyle w:val="ListParagraph"/>
        <w:numPr>
          <w:ilvl w:val="0"/>
          <w:numId w:val="2"/>
        </w:numPr>
        <w:spacing w:after="80"/>
      </w:pPr>
      <w:r>
        <w:rPr>
          <w:rFonts w:ascii="Arial" w:cs="Arial" w:eastAsia="Arial" w:hAnsi="Arial"/>
          <w:color w:val="4A5568"/>
          <w:sz w:val="22"/>
          <w:szCs w:val="22"/>
        </w:rPr>
        <w:t xml:space="preserve">Compliance Banner — HIPAA Compliant | BAA Available | SOC 2 Type II (Phase 3)</w:t>
      </w:r>
    </w:p>
    <w:p>
      <w:pPr>
        <w:pStyle w:val="ListParagraph"/>
        <w:numPr>
          <w:ilvl w:val="0"/>
          <w:numId w:val="2"/>
        </w:numPr>
        <w:spacing w:after="80"/>
      </w:pPr>
      <w:r>
        <w:rPr>
          <w:rFonts w:ascii="Arial" w:cs="Arial" w:eastAsia="Arial" w:hAnsi="Arial"/>
          <w:color w:val="4A5568"/>
          <w:sz w:val="22"/>
          <w:szCs w:val="22"/>
        </w:rPr>
        <w:t xml:space="preserve">Sticky Header CTA — Get Free Revenue Audit — persists on scroll, collapses to icon on mobile</w:t>
      </w:r>
    </w:p>
    <w:p>
      <w:pPr>
        <w:pStyle w:val="ListParagraph"/>
        <w:numPr>
          <w:ilvl w:val="0"/>
          <w:numId w:val="2"/>
        </w:numPr>
        <w:spacing w:after="80"/>
      </w:pPr>
      <w:r>
        <w:rPr>
          <w:rFonts w:ascii="Arial" w:cs="Arial" w:eastAsia="Arial" w:hAnsi="Arial"/>
          <w:color w:val="4A5568"/>
          <w:sz w:val="22"/>
          <w:szCs w:val="22"/>
        </w:rPr>
        <w:t xml:space="preserve">AR Aging Table — 0-30 days (green), 31-60 (yellow), 61-90 (orange), 90+ (red)</w:t>
      </w:r>
    </w:p>
    <w:p>
      <w:pPr>
        <w:pStyle w:val="ListParagraph"/>
        <w:numPr>
          <w:ilvl w:val="0"/>
          <w:numId w:val="2"/>
        </w:numPr>
        <w:spacing w:after="80"/>
      </w:pPr>
      <w:r>
        <w:rPr>
          <w:rFonts w:ascii="Arial" w:cs="Arial" w:eastAsia="Arial" w:hAnsi="Arial"/>
          <w:color w:val="4A5568"/>
          <w:sz w:val="22"/>
          <w:szCs w:val="22"/>
        </w:rPr>
        <w:t xml:space="preserve">KPI Cards — Icon + large number + label + trend arrow (up/down with %)</w:t>
      </w:r>
    </w:p>
    <w:p>
      <w:pPr>
        <w:pStyle w:val="ListParagraph"/>
        <w:numPr>
          <w:ilvl w:val="0"/>
          <w:numId w:val="2"/>
        </w:numPr>
        <w:spacing w:after="80"/>
      </w:pPr>
      <w:r>
        <w:rPr>
          <w:rFonts w:ascii="Arial" w:cs="Arial" w:eastAsia="Arial" w:hAnsi="Arial"/>
          <w:color w:val="4A5568"/>
          <w:sz w:val="22"/>
          <w:szCs w:val="22"/>
        </w:rPr>
        <w:t xml:space="preserve">Exit Intent Modal (Phase 2) — Before you go — see how much revenue you might be missing</w:t>
      </w:r>
    </w:p>
    <w:p>
      <w:pPr>
        <w:pStyle w:val="ListParagraph"/>
        <w:numPr>
          <w:ilvl w:val="0"/>
          <w:numId w:val="2"/>
        </w:numPr>
        <w:spacing w:after="80"/>
      </w:pPr>
      <w:r>
        <w:rPr>
          <w:rFonts w:ascii="Arial" w:cs="Arial" w:eastAsia="Arial" w:hAnsi="Arial"/>
          <w:color w:val="4A5568"/>
          <w:sz w:val="22"/>
          <w:szCs w:val="22"/>
        </w:rPr>
        <w:t xml:space="preserve">Glassmorphism Calculator Gate — Result blurred, email required to unlock</w:t>
      </w:r>
    </w:p>
    <w:p>
      <w:r>
        <w:br w:type="page"/>
      </w:r>
    </w:p>
    <w:p>
      <w:pPr>
        <w:pStyle w:val="Heading1"/>
        <w:spacing w:after="200" w:before="400"/>
      </w:pPr>
      <w:r>
        <w:rPr>
          <w:rFonts w:ascii="Arial" w:cs="Arial" w:eastAsia="Arial" w:hAnsi="Arial"/>
          <w:b/>
          <w:bCs/>
          <w:color w:val="1A2B3C"/>
          <w:sz w:val="36"/>
          <w:szCs w:val="36"/>
        </w:rPr>
        <w:t xml:space="preserve">10. Phased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8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Phase 1: Lead Gen &amp; Landing Pages</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Months 1–3</w:t>
            </w:r>
          </w:p>
        </w:tc>
        <w:tc>
          <w:tcPr>
            <w:tcW w:type="dxa" w:w="5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Homepage, Revenue Calculator, 7 service pages, About, Contact, Blog (50 posts), full SEO setup, Vercel deployment, Cloudflare DNS, email automation (3-sequence via Resend)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Phase 2: Client Portal &amp; Dashboard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Months 4–8</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Auth + MFA, client onboarding, document upload (S3), AR dashboard, denial trend charts, PDF reports, in-app messaging, EHR API bridges, exit intent modal, 15 more blog posts</w:t>
            </w:r>
          </w:p>
        </w:tc>
      </w:tr>
      <w:tr>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Phase 3: SaaS Automation Tools</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Months 9–14</w:t>
            </w:r>
          </w:p>
        </w:tc>
        <w:tc>
          <w:tcPr>
            <w:tcW w:type="dxa" w:w="5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Agentic AI denial engine, predictive revenue integrity, 2027 maternity transition hub, advanced analytics, white-label option, API access tier, SOC 2 Type II audit initiation, affiliate program</w:t>
            </w:r>
          </w:p>
        </w:tc>
      </w:tr>
    </w:tbl>
    <w:p>
      <w:pPr>
        <w:spacing w:after="120"/>
      </w:pPr>
      <w:r>
        <w:t xml:space="preserve"/>
      </w:r>
    </w:p>
    <w:p>
      <w:pPr>
        <w:pStyle w:val="Heading2"/>
        <w:spacing w:after="160" w:before="300"/>
      </w:pPr>
      <w:r>
        <w:rPr>
          <w:rFonts w:ascii="Arial" w:cs="Arial" w:eastAsia="Arial" w:hAnsi="Arial"/>
          <w:b/>
          <w:bCs/>
          <w:color w:val="0E7C7B"/>
          <w:sz w:val="28"/>
          <w:szCs w:val="28"/>
        </w:rPr>
        <w:t xml:space="preserve">10.1 Phase 1 — Lead Gen &amp; Landing Pages (Months 1–3)</w:t>
      </w:r>
    </w:p>
    <w:p>
      <w:pPr>
        <w:pStyle w:val="ListParagraph"/>
        <w:numPr>
          <w:ilvl w:val="0"/>
          <w:numId w:val="2"/>
        </w:numPr>
        <w:spacing w:after="80"/>
      </w:pPr>
      <w:r>
        <w:rPr>
          <w:rFonts w:ascii="Arial" w:cs="Arial" w:eastAsia="Arial" w:hAnsi="Arial"/>
          <w:color w:val="4A5568"/>
          <w:sz w:val="22"/>
          <w:szCs w:val="22"/>
        </w:rPr>
        <w:t xml:space="preserve">Homepage: Hero, value propositions, trust signals (certifications, stat counters), primary CTA to /calculator</w:t>
      </w:r>
    </w:p>
    <w:p>
      <w:pPr>
        <w:pStyle w:val="ListParagraph"/>
        <w:numPr>
          <w:ilvl w:val="0"/>
          <w:numId w:val="2"/>
        </w:numPr>
        <w:spacing w:after="80"/>
      </w:pPr>
      <w:r>
        <w:rPr>
          <w:rFonts w:ascii="Arial" w:cs="Arial" w:eastAsia="Arial" w:hAnsi="Arial"/>
          <w:color w:val="4A5568"/>
          <w:sz w:val="22"/>
          <w:szCs w:val="22"/>
        </w:rPr>
        <w:t xml:space="preserve">Revenue Leakage Calculator — full interactive build with lead capture gate and CRM webhook</w:t>
      </w:r>
    </w:p>
    <w:p>
      <w:pPr>
        <w:pStyle w:val="ListParagraph"/>
        <w:numPr>
          <w:ilvl w:val="0"/>
          <w:numId w:val="2"/>
        </w:numPr>
        <w:spacing w:after="80"/>
      </w:pPr>
      <w:r>
        <w:rPr>
          <w:rFonts w:ascii="Arial" w:cs="Arial" w:eastAsia="Arial" w:hAnsi="Arial"/>
          <w:color w:val="4A5568"/>
          <w:sz w:val="22"/>
          <w:szCs w:val="22"/>
        </w:rPr>
        <w:t xml:space="preserve">7 core service pages: Global Maternity Billing, GYN Surgery Coding, Denial Management, RCM, Credentialing, Telehealth Billing, Practice Setup</w:t>
      </w:r>
    </w:p>
    <w:p>
      <w:pPr>
        <w:pStyle w:val="ListParagraph"/>
        <w:numPr>
          <w:ilvl w:val="0"/>
          <w:numId w:val="2"/>
        </w:numPr>
        <w:spacing w:after="80"/>
      </w:pPr>
      <w:r>
        <w:rPr>
          <w:rFonts w:ascii="Arial" w:cs="Arial" w:eastAsia="Arial" w:hAnsi="Arial"/>
          <w:color w:val="4A5568"/>
          <w:sz w:val="22"/>
          <w:szCs w:val="22"/>
        </w:rPr>
        <w:t xml:space="preserve">About page: team bios, certifications (CPC-OB, AHIMA), company story</w:t>
      </w:r>
    </w:p>
    <w:p>
      <w:pPr>
        <w:pStyle w:val="ListParagraph"/>
        <w:numPr>
          <w:ilvl w:val="0"/>
          <w:numId w:val="2"/>
        </w:numPr>
        <w:spacing w:after="80"/>
      </w:pPr>
      <w:r>
        <w:rPr>
          <w:rFonts w:ascii="Arial" w:cs="Arial" w:eastAsia="Arial" w:hAnsi="Arial"/>
          <w:color w:val="4A5568"/>
          <w:sz w:val="22"/>
          <w:szCs w:val="22"/>
        </w:rPr>
        <w:t xml:space="preserve">Contact: short lead form + Calendly integration for free revenue audit booking</w:t>
      </w:r>
    </w:p>
    <w:p>
      <w:pPr>
        <w:pStyle w:val="ListParagraph"/>
        <w:numPr>
          <w:ilvl w:val="0"/>
          <w:numId w:val="2"/>
        </w:numPr>
        <w:spacing w:after="80"/>
      </w:pPr>
      <w:r>
        <w:rPr>
          <w:rFonts w:ascii="Arial" w:cs="Arial" w:eastAsia="Arial" w:hAnsi="Arial"/>
          <w:color w:val="4A5568"/>
          <w:sz w:val="22"/>
          <w:szCs w:val="22"/>
        </w:rPr>
        <w:t xml:space="preserve">Blog: Sanity.io CMS integration, 50 launch articles targeting primary keywords across 8 categories</w:t>
      </w:r>
    </w:p>
    <w:p>
      <w:pPr>
        <w:pStyle w:val="ListParagraph"/>
        <w:numPr>
          <w:ilvl w:val="0"/>
          <w:numId w:val="2"/>
        </w:numPr>
        <w:spacing w:after="80"/>
      </w:pPr>
      <w:r>
        <w:rPr>
          <w:rFonts w:ascii="Arial" w:cs="Arial" w:eastAsia="Arial" w:hAnsi="Arial"/>
          <w:color w:val="4A5568"/>
          <w:sz w:val="22"/>
          <w:szCs w:val="22"/>
        </w:rPr>
        <w:t xml:space="preserve">HIPAA and Privacy Policy pages</w:t>
      </w:r>
    </w:p>
    <w:p>
      <w:pPr>
        <w:pStyle w:val="ListParagraph"/>
        <w:numPr>
          <w:ilvl w:val="0"/>
          <w:numId w:val="2"/>
        </w:numPr>
        <w:spacing w:after="80"/>
      </w:pPr>
      <w:r>
        <w:rPr>
          <w:rFonts w:ascii="Arial" w:cs="Arial" w:eastAsia="Arial" w:hAnsi="Arial"/>
          <w:color w:val="4A5568"/>
          <w:sz w:val="22"/>
          <w:szCs w:val="22"/>
        </w:rPr>
        <w:t xml:space="preserve">Full on-page SEO: meta tags, JSON-LD schema, sitemap.xml, robots.txt</w:t>
      </w:r>
    </w:p>
    <w:p>
      <w:pPr>
        <w:pStyle w:val="ListParagraph"/>
        <w:numPr>
          <w:ilvl w:val="0"/>
          <w:numId w:val="2"/>
        </w:numPr>
        <w:spacing w:after="80"/>
      </w:pPr>
      <w:r>
        <w:rPr>
          <w:rFonts w:ascii="Arial" w:cs="Arial" w:eastAsia="Arial" w:hAnsi="Arial"/>
          <w:color w:val="4A5568"/>
          <w:sz w:val="22"/>
          <w:szCs w:val="22"/>
        </w:rPr>
        <w:t xml:space="preserve">GA4 + Google Search Console setup. Conversion events: form submit, calculator complete, CTA click</w:t>
      </w:r>
    </w:p>
    <w:p>
      <w:pPr>
        <w:pStyle w:val="ListParagraph"/>
        <w:numPr>
          <w:ilvl w:val="0"/>
          <w:numId w:val="2"/>
        </w:numPr>
        <w:spacing w:after="80"/>
      </w:pPr>
      <w:r>
        <w:rPr>
          <w:rFonts w:ascii="Arial" w:cs="Arial" w:eastAsia="Arial" w:hAnsi="Arial"/>
          <w:color w:val="4A5568"/>
          <w:sz w:val="22"/>
          <w:szCs w:val="22"/>
        </w:rPr>
        <w:t xml:space="preserve">Vercel deployment with custom domain. Cloudflare DNS. SSL enforced.</w:t>
      </w:r>
    </w:p>
    <w:p>
      <w:pPr>
        <w:pStyle w:val="ListParagraph"/>
        <w:numPr>
          <w:ilvl w:val="0"/>
          <w:numId w:val="2"/>
        </w:numPr>
        <w:spacing w:after="80"/>
      </w:pPr>
      <w:r>
        <w:rPr>
          <w:rFonts w:ascii="Arial" w:cs="Arial" w:eastAsia="Arial" w:hAnsi="Arial"/>
          <w:color w:val="4A5568"/>
          <w:sz w:val="22"/>
          <w:szCs w:val="22"/>
        </w:rPr>
        <w:t xml:space="preserve">Lead email automation: 3-email welcome sequence via Resend</w:t>
      </w:r>
    </w:p>
    <w:p>
      <w:pPr>
        <w:pStyle w:val="ListParagraph"/>
        <w:numPr>
          <w:ilvl w:val="0"/>
          <w:numId w:val="2"/>
        </w:numPr>
        <w:spacing w:after="80"/>
      </w:pPr>
      <w:r>
        <w:rPr>
          <w:rFonts w:ascii="Arial" w:cs="Arial" w:eastAsia="Arial" w:hAnsi="Arial"/>
          <w:color w:val="4A5568"/>
          <w:sz w:val="22"/>
          <w:szCs w:val="22"/>
        </w:rPr>
        <w:t xml:space="preserve">Header &amp; Footer built with shortcode variables (NEXT_PUBLIC_PHONE, NEXT_PUBLIC_EMAIL)</w:t>
      </w:r>
    </w:p>
    <w:p>
      <w:pPr>
        <w:spacing w:after="120"/>
      </w:pPr>
      <w:r>
        <w:t xml:space="preserve"/>
      </w:r>
    </w:p>
    <w:p>
      <w:pPr>
        <w:pStyle w:val="Heading2"/>
        <w:spacing w:after="160" w:before="300"/>
      </w:pPr>
      <w:r>
        <w:rPr>
          <w:rFonts w:ascii="Arial" w:cs="Arial" w:eastAsia="Arial" w:hAnsi="Arial"/>
          <w:b/>
          <w:bCs/>
          <w:color w:val="0E7C7B"/>
          <w:sz w:val="28"/>
          <w:szCs w:val="28"/>
        </w:rPr>
        <w:t xml:space="preserve">10.2 Phase 2 — Client Portal &amp; Dashboard (Months 4–8)</w:t>
      </w:r>
    </w:p>
    <w:p>
      <w:pPr>
        <w:pStyle w:val="ListParagraph"/>
        <w:numPr>
          <w:ilvl w:val="0"/>
          <w:numId w:val="2"/>
        </w:numPr>
        <w:spacing w:after="80"/>
      </w:pPr>
      <w:r>
        <w:rPr>
          <w:rFonts w:ascii="Arial" w:cs="Arial" w:eastAsia="Arial" w:hAnsi="Arial"/>
          <w:color w:val="4A5568"/>
          <w:sz w:val="22"/>
          <w:szCs w:val="22"/>
        </w:rPr>
        <w:t xml:space="preserve">NextAuth.js authentication: email + password + mandatory TOTP MFA</w:t>
      </w:r>
    </w:p>
    <w:p>
      <w:pPr>
        <w:pStyle w:val="ListParagraph"/>
        <w:numPr>
          <w:ilvl w:val="0"/>
          <w:numId w:val="2"/>
        </w:numPr>
        <w:spacing w:after="80"/>
      </w:pPr>
      <w:r>
        <w:rPr>
          <w:rFonts w:ascii="Arial" w:cs="Arial" w:eastAsia="Arial" w:hAnsi="Arial"/>
          <w:color w:val="4A5568"/>
          <w:sz w:val="22"/>
          <w:szCs w:val="22"/>
        </w:rPr>
        <w:t xml:space="preserve">Client onboarding flow: practice profile setup, BAA e-signature integration</w:t>
      </w:r>
    </w:p>
    <w:p>
      <w:pPr>
        <w:pStyle w:val="ListParagraph"/>
        <w:numPr>
          <w:ilvl w:val="0"/>
          <w:numId w:val="2"/>
        </w:numPr>
        <w:spacing w:after="80"/>
      </w:pPr>
      <w:r>
        <w:rPr>
          <w:rFonts w:ascii="Arial" w:cs="Arial" w:eastAsia="Arial" w:hAnsi="Arial"/>
          <w:color w:val="4A5568"/>
          <w:sz w:val="22"/>
          <w:szCs w:val="22"/>
        </w:rPr>
        <w:t xml:space="preserve">Document upload module: drag-and-drop, S3 pre-signed URLs, ClamAV virus scan, upload history</w:t>
      </w:r>
    </w:p>
    <w:p>
      <w:pPr>
        <w:pStyle w:val="ListParagraph"/>
        <w:numPr>
          <w:ilvl w:val="0"/>
          <w:numId w:val="2"/>
        </w:numPr>
        <w:spacing w:after="80"/>
      </w:pPr>
      <w:r>
        <w:rPr>
          <w:rFonts w:ascii="Arial" w:cs="Arial" w:eastAsia="Arial" w:hAnsi="Arial"/>
          <w:color w:val="4A5568"/>
          <w:sz w:val="22"/>
          <w:szCs w:val="22"/>
        </w:rPr>
        <w:t xml:space="preserve">AR aging table, denial rate trend chart (recharts), monthly KPI cards</w:t>
      </w:r>
    </w:p>
    <w:p>
      <w:pPr>
        <w:pStyle w:val="ListParagraph"/>
        <w:numPr>
          <w:ilvl w:val="0"/>
          <w:numId w:val="2"/>
        </w:numPr>
        <w:spacing w:after="80"/>
      </w:pPr>
      <w:r>
        <w:rPr>
          <w:rFonts w:ascii="Arial" w:cs="Arial" w:eastAsia="Arial" w:hAnsi="Arial"/>
          <w:color w:val="4A5568"/>
          <w:sz w:val="22"/>
          <w:szCs w:val="22"/>
        </w:rPr>
        <w:t xml:space="preserve">PDF report download — server-side Puppeteer generation</w:t>
      </w:r>
    </w:p>
    <w:p>
      <w:pPr>
        <w:pStyle w:val="ListParagraph"/>
        <w:numPr>
          <w:ilvl w:val="0"/>
          <w:numId w:val="2"/>
        </w:numPr>
        <w:spacing w:after="80"/>
      </w:pPr>
      <w:r>
        <w:rPr>
          <w:rFonts w:ascii="Arial" w:cs="Arial" w:eastAsia="Arial" w:hAnsi="Arial"/>
          <w:color w:val="4A5568"/>
          <w:sz w:val="22"/>
          <w:szCs w:val="22"/>
        </w:rPr>
        <w:t xml:space="preserve">In-app messaging: threaded conversations + file attachments between clients and billing team</w:t>
      </w:r>
    </w:p>
    <w:p>
      <w:pPr>
        <w:pStyle w:val="ListParagraph"/>
        <w:numPr>
          <w:ilvl w:val="0"/>
          <w:numId w:val="2"/>
        </w:numPr>
        <w:spacing w:after="80"/>
      </w:pPr>
      <w:r>
        <w:rPr>
          <w:rFonts w:ascii="Arial" w:cs="Arial" w:eastAsia="Arial" w:hAnsi="Arial"/>
          <w:color w:val="4A5568"/>
          <w:sz w:val="22"/>
          <w:szCs w:val="22"/>
        </w:rPr>
        <w:t xml:space="preserve">Staff admin panel: client management, document access, message management</w:t>
      </w:r>
    </w:p>
    <w:p>
      <w:pPr>
        <w:pStyle w:val="ListParagraph"/>
        <w:numPr>
          <w:ilvl w:val="0"/>
          <w:numId w:val="2"/>
        </w:numPr>
        <w:spacing w:after="80"/>
      </w:pPr>
      <w:r>
        <w:rPr>
          <w:rFonts w:ascii="Arial" w:cs="Arial" w:eastAsia="Arial" w:hAnsi="Arial"/>
          <w:color w:val="4A5568"/>
          <w:sz w:val="22"/>
          <w:szCs w:val="22"/>
        </w:rPr>
        <w:t xml:space="preserve">EHR API bridges: Athenahealth, eClinicalWorks, NextGen Healthcare — automated eligibility + payment posting</w:t>
      </w:r>
    </w:p>
    <w:p>
      <w:pPr>
        <w:pStyle w:val="ListParagraph"/>
        <w:numPr>
          <w:ilvl w:val="0"/>
          <w:numId w:val="2"/>
        </w:numPr>
        <w:spacing w:after="80"/>
      </w:pPr>
      <w:r>
        <w:rPr>
          <w:rFonts w:ascii="Arial" w:cs="Arial" w:eastAsia="Arial" w:hAnsi="Arial"/>
          <w:color w:val="4A5568"/>
          <w:sz w:val="22"/>
          <w:szCs w:val="22"/>
        </w:rPr>
        <w:t xml:space="preserve">Additional service pages: Infertility/REI Billing, Urogynecology, Eligibility Verification, Fee Schedule Optimization</w:t>
      </w:r>
    </w:p>
    <w:p>
      <w:pPr>
        <w:pStyle w:val="ListParagraph"/>
        <w:numPr>
          <w:ilvl w:val="0"/>
          <w:numId w:val="2"/>
        </w:numPr>
        <w:spacing w:after="80"/>
      </w:pPr>
      <w:r>
        <w:rPr>
          <w:rFonts w:ascii="Arial" w:cs="Arial" w:eastAsia="Arial" w:hAnsi="Arial"/>
          <w:color w:val="4A5568"/>
          <w:sz w:val="22"/>
          <w:szCs w:val="22"/>
        </w:rPr>
        <w:t xml:space="preserve">Exit intent lead capture modal</w:t>
      </w:r>
    </w:p>
    <w:p>
      <w:pPr>
        <w:pStyle w:val="ListParagraph"/>
        <w:numPr>
          <w:ilvl w:val="0"/>
          <w:numId w:val="2"/>
        </w:numPr>
        <w:spacing w:after="80"/>
      </w:pPr>
      <w:r>
        <w:rPr>
          <w:rFonts w:ascii="Arial" w:cs="Arial" w:eastAsia="Arial" w:hAnsi="Arial"/>
          <w:color w:val="4A5568"/>
          <w:sz w:val="22"/>
          <w:szCs w:val="22"/>
        </w:rPr>
        <w:t xml:space="preserve">15 additional blog articles across content clusters</w:t>
      </w:r>
    </w:p>
    <w:p>
      <w:pPr>
        <w:spacing w:after="120"/>
      </w:pPr>
      <w:r>
        <w:t xml:space="preserve"/>
      </w:r>
    </w:p>
    <w:p>
      <w:pPr>
        <w:pStyle w:val="Heading2"/>
        <w:spacing w:after="160" w:before="300"/>
      </w:pPr>
      <w:r>
        <w:rPr>
          <w:rFonts w:ascii="Arial" w:cs="Arial" w:eastAsia="Arial" w:hAnsi="Arial"/>
          <w:b/>
          <w:bCs/>
          <w:color w:val="0E7C7B"/>
          <w:sz w:val="28"/>
          <w:szCs w:val="28"/>
        </w:rPr>
        <w:t xml:space="preserve">10.3 Phase 3 — Agentic SaaS Tools (Months 9–14)</w:t>
      </w:r>
    </w:p>
    <w:p>
      <w:pPr>
        <w:pStyle w:val="ListParagraph"/>
        <w:numPr>
          <w:ilvl w:val="0"/>
          <w:numId w:val="2"/>
        </w:numPr>
        <w:spacing w:after="80"/>
      </w:pPr>
      <w:r>
        <w:rPr>
          <w:rFonts w:ascii="Arial" w:cs="Arial" w:eastAsia="Arial" w:hAnsi="Arial"/>
          <w:color w:val="4A5568"/>
          <w:sz w:val="22"/>
          <w:szCs w:val="22"/>
        </w:rPr>
        <w:t xml:space="preserve">Agentic Denial Management AI: reads CARC/RARC, identifies root cause, retrieves clinical docs, drafts appeals autonomously</w:t>
      </w:r>
    </w:p>
    <w:p>
      <w:pPr>
        <w:pStyle w:val="ListParagraph"/>
        <w:numPr>
          <w:ilvl w:val="0"/>
          <w:numId w:val="2"/>
        </w:numPr>
        <w:spacing w:after="80"/>
      </w:pPr>
      <w:r>
        <w:rPr>
          <w:rFonts w:ascii="Arial" w:cs="Arial" w:eastAsia="Arial" w:hAnsi="Arial"/>
          <w:color w:val="4A5568"/>
          <w:sz w:val="22"/>
          <w:szCs w:val="22"/>
        </w:rPr>
        <w:t xml:space="preserve">Predictive Revenue Integrity: pre-submission AI flags claims with high denial probability</w:t>
      </w:r>
    </w:p>
    <w:p>
      <w:pPr>
        <w:pStyle w:val="ListParagraph"/>
        <w:numPr>
          <w:ilvl w:val="0"/>
          <w:numId w:val="2"/>
        </w:numPr>
        <w:spacing w:after="80"/>
      </w:pPr>
      <w:r>
        <w:rPr>
          <w:rFonts w:ascii="Arial" w:cs="Arial" w:eastAsia="Arial" w:hAnsi="Arial"/>
          <w:color w:val="4A5568"/>
          <w:sz w:val="22"/>
          <w:szCs w:val="22"/>
        </w:rPr>
        <w:t xml:space="preserve">2027 Maternity Transition Hub: service-based billing module positioned ahead of CMS code update</w:t>
      </w:r>
    </w:p>
    <w:p>
      <w:pPr>
        <w:pStyle w:val="ListParagraph"/>
        <w:numPr>
          <w:ilvl w:val="0"/>
          <w:numId w:val="2"/>
        </w:numPr>
        <w:spacing w:after="80"/>
      </w:pPr>
      <w:r>
        <w:rPr>
          <w:rFonts w:ascii="Arial" w:cs="Arial" w:eastAsia="Arial" w:hAnsi="Arial"/>
          <w:color w:val="4A5568"/>
          <w:sz w:val="22"/>
          <w:szCs w:val="22"/>
        </w:rPr>
        <w:t xml:space="preserve">Practice Performance Benchmarking: compare client metrics against anonymized peer data</w:t>
      </w:r>
    </w:p>
    <w:p>
      <w:pPr>
        <w:pStyle w:val="ListParagraph"/>
        <w:numPr>
          <w:ilvl w:val="0"/>
          <w:numId w:val="2"/>
        </w:numPr>
        <w:spacing w:after="80"/>
      </w:pPr>
      <w:r>
        <w:rPr>
          <w:rFonts w:ascii="Arial" w:cs="Arial" w:eastAsia="Arial" w:hAnsi="Arial"/>
          <w:color w:val="4A5568"/>
          <w:sz w:val="22"/>
          <w:szCs w:val="22"/>
        </w:rPr>
        <w:t xml:space="preserve">White-Label Portal Option: billing consultants resell platform under own brand</w:t>
      </w:r>
    </w:p>
    <w:p>
      <w:pPr>
        <w:pStyle w:val="ListParagraph"/>
        <w:numPr>
          <w:ilvl w:val="0"/>
          <w:numId w:val="2"/>
        </w:numPr>
        <w:spacing w:after="80"/>
      </w:pPr>
      <w:r>
        <w:rPr>
          <w:rFonts w:ascii="Arial" w:cs="Arial" w:eastAsia="Arial" w:hAnsi="Arial"/>
          <w:color w:val="4A5568"/>
          <w:sz w:val="22"/>
          <w:szCs w:val="22"/>
        </w:rPr>
        <w:t xml:space="preserve">API Access Tier: RESTful API for PM system integrations (AdvancedMD, Kareo, Athenahealth webhooks)</w:t>
      </w:r>
    </w:p>
    <w:p>
      <w:pPr>
        <w:pStyle w:val="ListParagraph"/>
        <w:numPr>
          <w:ilvl w:val="0"/>
          <w:numId w:val="2"/>
        </w:numPr>
        <w:spacing w:after="80"/>
      </w:pPr>
      <w:r>
        <w:rPr>
          <w:rFonts w:ascii="Arial" w:cs="Arial" w:eastAsia="Arial" w:hAnsi="Arial"/>
          <w:color w:val="4A5568"/>
          <w:sz w:val="22"/>
          <w:szCs w:val="22"/>
        </w:rPr>
        <w:t xml:space="preserve">SOC 2 Type II compliance audit initiation</w:t>
      </w:r>
    </w:p>
    <w:p>
      <w:pPr>
        <w:pStyle w:val="ListParagraph"/>
        <w:numPr>
          <w:ilvl w:val="0"/>
          <w:numId w:val="2"/>
        </w:numPr>
        <w:spacing w:after="80"/>
      </w:pPr>
      <w:r>
        <w:rPr>
          <w:rFonts w:ascii="Arial" w:cs="Arial" w:eastAsia="Arial" w:hAnsi="Arial"/>
          <w:color w:val="4A5568"/>
          <w:sz w:val="22"/>
          <w:szCs w:val="22"/>
        </w:rPr>
        <w:t xml:space="preserve">Multi-location support: single login with sub-accounts for practice groups</w:t>
      </w:r>
    </w:p>
    <w:p>
      <w:pPr>
        <w:pStyle w:val="ListParagraph"/>
        <w:numPr>
          <w:ilvl w:val="0"/>
          <w:numId w:val="2"/>
        </w:numPr>
        <w:spacing w:after="80"/>
      </w:pPr>
      <w:r>
        <w:rPr>
          <w:rFonts w:ascii="Arial" w:cs="Arial" w:eastAsia="Arial" w:hAnsi="Arial"/>
          <w:color w:val="4A5568"/>
          <w:sz w:val="22"/>
          <w:szCs w:val="22"/>
        </w:rPr>
        <w:t xml:space="preserve">Advanced blog automation: programmatic landing pages for CPT codes (e.g., /codes/59400)</w:t>
      </w:r>
    </w:p>
    <w:p>
      <w:pPr>
        <w:pStyle w:val="ListParagraph"/>
        <w:numPr>
          <w:ilvl w:val="0"/>
          <w:numId w:val="2"/>
        </w:numPr>
        <w:spacing w:after="80"/>
      </w:pPr>
      <w:r>
        <w:rPr>
          <w:rFonts w:ascii="Arial" w:cs="Arial" w:eastAsia="Arial" w:hAnsi="Arial"/>
          <w:color w:val="4A5568"/>
          <w:sz w:val="22"/>
          <w:szCs w:val="22"/>
        </w:rPr>
        <w:t xml:space="preserve">Affiliate and partner program with referring physician portal and commission tracking</w:t>
      </w:r>
    </w:p>
    <w:p>
      <w:r>
        <w:br w:type="page"/>
      </w:r>
    </w:p>
    <w:p>
      <w:pPr>
        <w:pStyle w:val="Heading1"/>
        <w:spacing w:after="200" w:before="400"/>
      </w:pPr>
      <w:r>
        <w:rPr>
          <w:rFonts w:ascii="Arial" w:cs="Arial" w:eastAsia="Arial" w:hAnsi="Arial"/>
          <w:b/>
          <w:bCs/>
          <w:color w:val="1A2B3C"/>
          <w:sz w:val="36"/>
          <w:szCs w:val="36"/>
        </w:rPr>
        <w:t xml:space="preserve">11. Pre-Launch Technical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1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Checklist Items</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HIPAA &amp; Legal</w:t>
            </w:r>
          </w:p>
        </w:tc>
        <w:tc>
          <w:tcPr>
            <w:tcW w:type="dxa" w:w="7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BAA signed with AWS, Supabase/RDS, Resend, and all analytics tools. Privacy Policy and HIPAA Notice pages live. Legal review of Terms of Service complete.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Security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SSL/TLS enforced site-wide. CSP, HSTS, X-Frame-Options, X-Content-Type-Options headers configured. All /api routes authenticated. Rate limiting on auth + lead-gen endpoints.</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Shortcodes</w:t>
            </w:r>
          </w:p>
        </w:tc>
        <w:tc>
          <w:tcPr>
            <w:tcW w:type="dxa" w:w="7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NEXT_PUBLIC_PHONE set to real number in Vercel env vars. NEXT_PUBLIC_EMAIL set to real email. Verified in header, footer, contact page, and lead forms.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SEO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All meta titles unique, under 60 chars. Meta descriptions unique, under 160 chars. Sitemap submitted to GSC. Schema markup validated via Rich Results Test. No broken links.</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Performance</w:t>
            </w:r>
          </w:p>
        </w:tc>
        <w:tc>
          <w:tcPr>
            <w:tcW w:type="dxa" w:w="7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Core Web Vitals passing in PageSpeed Insights (mobile + desktop). All images WebP/AVIF. No render-blocking resources. next/font configured.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Analytics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GA4 events firing: form submissions, calculator completions, CTA clicks. Conversion goals configured. UTM parameters tracked.</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Forms &amp; Leads</w:t>
            </w:r>
          </w:p>
        </w:tc>
        <w:tc>
          <w:tcPr>
            <w:tcW w:type="dxa" w:w="7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All lead forms connected to CRM. Thank-you emails triggering. Calendly embed tested. Lead data in DB with correct timestamps.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Cross-Browser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Tested in Chrome, Firefox, Safari, Edge. Mobile responsive at 375px, 768px, 1280px breakpoints.</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Accessibility</w:t>
            </w:r>
          </w:p>
        </w:tc>
        <w:tc>
          <w:tcPr>
            <w:tcW w:type="dxa" w:w="7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WCAG 2.2 AA compliance. All images have descriptive alt text. Color contrast ratios meet standards. Keyboard navigation functional.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Environment Vars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All .env variables set in Vercel production environment. No sensitive data in git. .env.local in .gitignore.</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Monitoring</w:t>
            </w:r>
          </w:p>
        </w:tc>
        <w:tc>
          <w:tcPr>
            <w:tcW w:type="dxa" w:w="7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Sentry error tracking active. Uptime monitoring configured. Alert channels set up for downtime and errors.</w:t>
            </w:r>
          </w:p>
        </w:tc>
      </w:tr>
    </w:tbl>
    <w:p>
      <w:r>
        <w:br w:type="page"/>
      </w:r>
    </w:p>
    <w:p>
      <w:pPr>
        <w:pStyle w:val="Heading1"/>
        <w:spacing w:after="200" w:before="400"/>
      </w:pPr>
      <w:r>
        <w:rPr>
          <w:rFonts w:ascii="Arial" w:cs="Arial" w:eastAsia="Arial" w:hAnsi="Arial"/>
          <w:b/>
          <w:bCs/>
          <w:color w:val="1A2B3C"/>
          <w:sz w:val="36"/>
          <w:szCs w:val="36"/>
        </w:rPr>
        <w:t xml:space="preserve">12. Resource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360"/>
            <w:tcBorders>
              <w:top w:val="single" w:color="0E7C7B" w:sz="2"/>
              <w:left w:val="single" w:color="0E7C7B" w:sz="2"/>
              <w:bottom w:val="single" w:color="0E7C7B" w:sz="2"/>
              <w:right w:val="single" w:color="0E7C7B" w:sz="2"/>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Next.js Documentation</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nextjs.org/docs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Next.js App Router Guide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nextjs.org/docs/app</w:t>
            </w:r>
          </w:p>
        </w:tc>
      </w:tr>
      <w:tr>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Tailwind CSS</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tailwindcss.com/docs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shadcn/ui Components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ui.shadcn.com</w:t>
            </w:r>
          </w:p>
        </w:tc>
      </w:tr>
      <w:tr>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Supabase Documentation</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supabase.com/docs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AWS HIPAA Compliance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aws.amazon.com/compliance/hipaa-compliance</w:t>
            </w:r>
          </w:p>
        </w:tc>
      </w:tr>
      <w:tr>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Sanity CMS Documentation</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sanity.io/docs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NextAuth.js Documentation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next-auth.js.org</w:t>
            </w:r>
          </w:p>
        </w:tc>
      </w:tr>
      <w:tr>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Prisma Documentation</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prisma.io/docs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next-sitemap Package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npmjs.com/package/next-sitemap</w:t>
            </w:r>
          </w:p>
        </w:tc>
      </w:tr>
      <w:tr>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Framer Motion</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framer.com/motion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AAPC OB/GYN Coding Resource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aapc.com/ob-gyn-medical-coding</w:t>
            </w:r>
          </w:p>
        </w:tc>
      </w:tr>
      <w:tr>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CMS ICD-10 Resources</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cms.gov/medicare/coding-billing/icd-10-codes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AMA CPT Code Updates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ama-assn.org/practice-management/cpt</w:t>
            </w:r>
          </w:p>
        </w:tc>
      </w:tr>
      <w:tr>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HIPAA Security Rule 2026 Update</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hhs.gov/hipaa/for-professionals/security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Google Rich Results Test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search.google.com/test/rich-results</w:t>
            </w:r>
          </w:p>
        </w:tc>
      </w:tr>
      <w:tr>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Google Search Console</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search.google.com/search-console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Resend Email (BAA available)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resend.com</w:t>
            </w:r>
          </w:p>
        </w:tc>
      </w:tr>
      <w:tr>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Vercel Deployment</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color w:val="4A5568"/>
                <w:sz w:val="20"/>
                <w:szCs w:val="20"/>
              </w:rPr>
              <w:t xml:space="preserve">vercel.com/docs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Cloudflare DNS / Security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cloudflare.com</w:t>
            </w:r>
          </w:p>
        </w:tc>
      </w:tr>
    </w:tbl>
    <w:p>
      <w:pPr>
        <w:spacing w:after="120"/>
      </w:pPr>
      <w:r>
        <w:t xml:space="preserve"/>
      </w:r>
    </w:p>
    <w:p>
      <w:pPr>
        <w:pBdr>
          <w:bottom w:val="single" w:color="0E7C7B" w:sz="4"/>
        </w:pBdr>
        <w:spacing w:after="200" w:before="200"/>
      </w:pPr>
      <w:r>
        <w:t xml:space="preserve"/>
      </w:r>
    </w:p>
    <w:p>
      <w:pPr>
        <w:spacing w:after="100" w:before="200"/>
        <w:jc w:val="center"/>
      </w:pPr>
      <w:r>
        <w:rPr>
          <w:rFonts w:ascii="Arial" w:cs="Arial" w:eastAsia="Arial" w:hAnsi="Arial"/>
          <w:i/>
          <w:iCs/>
          <w:color w:val="4A5568"/>
          <w:sz w:val="18"/>
          <w:szCs w:val="18"/>
        </w:rPr>
        <w:t xml:space="preserve">Confidential &amp; Proprietary — obgynbillingpro.com — v3.0 Master Merged Edition — April 2026</w:t>
      </w:r>
    </w:p>
    <w:p>
      <w:pPr>
        <w:spacing w:after="100"/>
        <w:jc w:val="center"/>
      </w:pPr>
      <w:r>
        <w:rPr>
          <w:rFonts w:ascii="Arial" w:cs="Arial" w:eastAsia="Arial" w:hAnsi="Arial"/>
          <w:color w:val="0E7C7B"/>
          <w:sz w:val="18"/>
          <w:szCs w:val="18"/>
        </w:rPr>
        <w:t xml:space="preserve">Prepared by Yasir Maqsood | ProBuild Sites | probuildsites.com</w:t>
      </w:r>
    </w:p>
    <w:p>
      <w:pPr>
        <w:spacing w:after="100"/>
        <w:jc w:val="center"/>
      </w:pPr>
      <w:r>
        <w:rPr>
          <w:rFonts w:ascii="Arial" w:cs="Arial" w:eastAsia="Arial" w:hAnsi="Arial"/>
          <w:color w:val="4A5568"/>
          <w:sz w:val="18"/>
          <w:szCs w:val="18"/>
        </w:rPr>
        <w:t xml:space="preserve">Phone: {{PHONE}}  |  Email: {{EMAIL}}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C7B" w:sz="4"/>
      </w:pBdr>
      <w:tabs>
        <w:tab w:val="center" w:pos="4680"/>
        <w:tab w:val="right" w:pos="9360"/>
      </w:tabs>
      <w:spacing w:before="0"/>
    </w:pPr>
    <w:r>
      <w:rPr>
        <w:rFonts w:ascii="Arial" w:cs="Arial" w:eastAsia="Arial" w:hAnsi="Arial"/>
        <w:color w:val="4A5568"/>
        <w:sz w:val="18"/>
        <w:szCs w:val="18"/>
      </w:rPr>
      <w:t xml:space="preserve">Phone: {{PHONE}}   |   Email: {{EMAIL}}</w:t>
    </w:r>
    <w:r>
      <w:t xml:space="preserve">	</w:t>
    </w:r>
    <w:r>
      <w:rPr>
        <w:rFonts w:ascii="Arial" w:cs="Arial" w:eastAsia="Arial" w:hAnsi="Arial"/>
        <w:b/>
        <w:bCs/>
        <w:color w:val="0E7C7B"/>
        <w:sz w:val="18"/>
        <w:szCs w:val="18"/>
      </w:rPr>
      <w:t xml:space="preserve">obgynbillingpro.com</w:t>
    </w:r>
    <w:r>
      <w:t xml:space="preserve">	</w:t>
    </w:r>
    <w:r>
      <w:t xml:space="preserve">Page </w:t>
    </w:r>
    <w:fldSimple w:instr="PAGE"/>
    <w:r>
      <w:rPr>
        <w:rFonts w:ascii="Arial" w:cs="Arial" w:eastAsia="Arial" w:hAnsi="Arial"/>
        <w:color w:val="4A5568"/>
        <w:sz w:val="18"/>
        <w:szCs w:val="18"/>
      </w:rPr>
      <w:t xml:space="preserve"> — Prepared by Yasir Maqsood | ProBuild Sites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6"/>
      </w:pBdr>
      <w:spacing w:after="0"/>
    </w:pPr>
    <w:r>
      <w:rPr>
        <w:rFonts w:ascii="Arial" w:cs="Arial" w:eastAsia="Arial" w:hAnsi="Arial"/>
        <w:b/>
        <w:bCs/>
        <w:color w:val="0E7C7B"/>
        <w:sz w:val="22"/>
        <w:szCs w:val="22"/>
      </w:rPr>
      <w:t xml:space="preserve">OBGYNBillingPro.com</w:t>
    </w:r>
    <w:r>
      <w:rPr>
        <w:rFonts w:ascii="Arial" w:cs="Arial" w:eastAsia="Arial" w:hAnsi="Arial"/>
        <w:color w:val="4A5568"/>
        <w:sz w:val="18"/>
        <w:szCs w:val="18"/>
      </w:rPr>
      <w:t xml:space="preserve">  |  Website Development Master Documentation  |  v3.0 — April 2026</w:t>
    </w:r>
    <w:r>
      <w:rPr>
        <w:rFonts w:ascii="Arial" w:cs="Arial" w:eastAsia="Arial" w:hAnsi="Arial"/>
        <w:i/>
        <w:iCs/>
        <w:color w:val="4A5568"/>
        <w:sz w:val="18"/>
        <w:szCs w:val="18"/>
      </w:rPr>
      <w:t xml:space="preserve">  |  Confidential &amp; Proprietary</w:t>
    </w:r>
  </w:p>
  <w:p>
    <w:pPr>
      <w:spacing w:after="12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4A5568"/>
        <w:sz w:val="22"/>
        <w:szCs w:val="22"/>
      </w:rPr>
    </w:lvl>
    <w:lvl w:ilvl="1" w15:tentative="1">
      <w:start w:val="1"/>
      <w:numFmt w:val="bullet"/>
      <w:lvlText w:val="◦"/>
      <w:lvlJc w:val="left"/>
      <w:pPr>
        <w:ind w:left="1080" w:hanging="360"/>
      </w:pPr>
      <w:rPr>
        <w:rFonts w:ascii="Arial" w:cs="Arial" w:eastAsia="Arial" w:hAnsi="Arial"/>
        <w:color w:val="4A5568"/>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color w:val="4A5568"/>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7B" w:sz="6"/>
      </w:pBdr>
      <w:spacing w:after="200" w:before="400"/>
      <w:outlineLvl w:val="0"/>
    </w:pPr>
    <w:rPr>
      <w:rFonts w:ascii="Arial" w:cs="Arial" w:eastAsia="Arial" w:hAnsi="Arial"/>
      <w:b/>
      <w:bCs/>
      <w:color w:val="1A2B3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E7C7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2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2026-04-18T21:36:39.886Z</dcterms:created>
  <dcterms:modified xsi:type="dcterms:W3CDTF">2026-04-18T21:36:39.887Z</dcterms:modified>
</cp:coreProperties>
</file>

<file path=docProps/custom.xml><?xml version="1.0" encoding="utf-8"?>
<Properties xmlns="http://schemas.openxmlformats.org/officeDocument/2006/custom-properties" xmlns:vt="http://schemas.openxmlformats.org/officeDocument/2006/docPropsVTypes"/>
</file>