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Configuration / Metadata Service</w:t>
      </w:r>
    </w:p>
    <w:p>
      <w:r>
        <w:rPr>
          <w:i/>
          <w:color w:val="595959"/>
          <w:sz w:val="24"/>
        </w:rPr>
        <w:t>Bounded Context Design — Task Management Dashboard (Microservices, .NET)</w:t>
      </w:r>
    </w:p>
    <w:p/>
    <w:p>
      <w:pPr>
        <w:pStyle w:val="Heading1"/>
      </w:pPr>
      <w:r>
        <w:t>1. Responsibilities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+----------------------------------------------+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       CONFIGURATION / METADATA SERVICE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+----------------------------------------------+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Tags, labels, custom fields 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Workflow rules / status customization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Feature flags &amp; app settings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Source of truth: tenant-level config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+----------------------------------------------+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|  config_db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v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+------------------------+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| CustomFields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| WorkflowRules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| FeatureFlags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+------------------------+</w:t>
            </w:r>
          </w:p>
        </w:tc>
      </w:tr>
    </w:tbl>
    <w:p/>
    <w:p>
      <w:pPr>
        <w:pStyle w:val="Heading1"/>
      </w:pPr>
      <w:r>
        <w:t>2. Database Schema (config_db)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CustomFields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Id, TenantId, Name, FieldType (text/number/date/select), Options[]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WorkflowRules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Id, TenantId, Trigger, Condition, Action   -- e.g. "on Closed -&gt; notify PO"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FeatureFlags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Key, TenantId, Enabled, Rollout%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Tags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Id, TenantId, Name, Color</w:t>
            </w:r>
          </w:p>
        </w:tc>
      </w:tr>
    </w:tbl>
    <w:p/>
    <w:p>
      <w:pPr>
        <w:pStyle w:val="Heading1"/>
      </w:pPr>
      <w:r>
        <w:t>3. API Surface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GET    /config/custom-fields      list custom fields (tasks consume these)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POST   /config/custom-fields      create a custom field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GET    /config/workflow-rules     list rules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POST   /config/workflow-rules     add a rule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GET    /config/feature-flags      effective flags for current tenant/user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GET    /config/tags               list tags</w:t>
            </w:r>
          </w:p>
        </w:tc>
      </w:tr>
    </w:tbl>
    <w:p/>
    <w:p>
      <w:pPr>
        <w:pStyle w:val="Heading1"/>
      </w:pPr>
      <w:r>
        <w:t>4. Events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// Published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CustomFieldDefined(Guid TenantId, ...);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WorkflowRuleChanged(Guid TenantId, ...);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FeatureFlagChanged(string Key, bool Enabled);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// Consumed: usually none (config is upstream)</w:t>
            </w:r>
          </w:p>
        </w:tc>
      </w:tr>
    </w:tbl>
    <w:p/>
    <w:p>
      <w:pPr>
        <w:pStyle w:val="Heading1"/>
      </w:pPr>
      <w:r>
        <w:t>5. Reliability Patterns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Pattern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Why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Cache + change events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Other services cache config, refresh on change events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Versioned config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Roll back a bad workflow rule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Validation at write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Prevent invalid field/rule definitions</w:t>
            </w:r>
          </w:p>
        </w:tc>
      </w:tr>
    </w:tbl>
    <w:p/>
    <w:p>
      <w:pPr>
        <w:pStyle w:val="Heading1"/>
      </w:pPr>
      <w:r>
        <w:t>6. Angular Learning Map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Feature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Angular concept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Dynamic forms from custom fields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Reactive Forms built at runtime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Workflow-rule builder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Nested FormArray, conditional UI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Feature-flag directive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Structural directive (*ifFlag)</w:t>
            </w:r>
          </w:p>
        </w:tc>
      </w:tr>
    </w:tbl>
    <w:p/>
    <w:p>
      <w:pPr>
        <w:pStyle w:val="Heading1"/>
      </w:pPr>
      <w:r>
        <w:t>7. Key Principles Recap</w:t>
      </w:r>
    </w:p>
    <w:p>
      <w:pPr>
        <w:pStyle w:val="ListBullet"/>
      </w:pPr>
      <w:r>
        <w:t>Owns tenant-level configuration: custom fields, workflow rules, flags, tags.</w:t>
      </w:r>
    </w:p>
    <w:p>
      <w:pPr>
        <w:pStyle w:val="ListBullet"/>
      </w:pPr>
      <w:r>
        <w:t>Upstream service — others cache its config and refresh via change events.</w:t>
      </w:r>
    </w:p>
    <w:p>
      <w:pPr>
        <w:pStyle w:val="ListBullet"/>
      </w:pPr>
      <w:r>
        <w:t>Enables tenant-customizable workflows without redeploying core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