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elbow Joint AP and lateral views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bony lesion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The metadiaphyseal areas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Olecranon, lateral and medial epicondyles are intact.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Joint spaces (</w:t>
      </w:r>
      <w:r>
        <w:rPr>
          <w:rFonts w:ascii="Calibri" w:hAnsi="Calibri"/>
          <w:i/>
          <w:sz w:val="24"/>
        </w:rPr>
        <w:t>Humero-ulnar, Humero-radial, superior radio-ulnar joints</w:t>
      </w:r>
      <w:r>
        <w:rPr>
          <w:rFonts w:ascii="Calibri" w:hAnsi="Calibri"/>
          <w:sz w:val="24"/>
        </w:rPr>
        <w:t>)are maintained.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Articular margins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abnormal soft tissue shadow or calcification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SAHINA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43419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17:44:23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