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hand AP and oblique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Fracture of the 3</w:t>
      </w:r>
      <w:r>
        <w:rPr>
          <w:rFonts w:ascii="Calibri" w:hAnsi="Calibri"/>
          <w:sz w:val="24"/>
        </w:rPr>
        <w:t xml:space="preserve"> metacarpal bone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swelling is noted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Parallelism is maintained among the carpals.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 radiopaque shadow is seen into the soft tissue at the thumb. 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Fracture of the 3</w:t>
      </w:r>
      <w:r>
        <w:rPr>
          <w:rFonts w:ascii="Calibri" w:hAnsi="Calibri"/>
          <w:b/>
          <w:sz w:val="24"/>
        </w:rPr>
        <w:t xml:space="preserve"> metacarpal bone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 radiopaque shadow is seen into the soft tissue at the thumb. 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NORUL HOQUE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53780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16:27:20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