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2240"/>
          <w:sz w:val="26"/>
        </w:rPr>
        <w:t>ESSENTIALS OF ARTIFICIAL INTELLIGENCE</w:t>
      </w:r>
    </w:p>
    <w:p>
      <w:pPr>
        <w:spacing w:before="0" w:after="240"/>
        <w:jc w:val="center"/>
      </w:pPr>
      <w:r>
        <w:rPr>
          <w:rFonts w:ascii="Calibri" w:hAnsi="Calibri"/>
          <w:b/>
          <w:color w:val="2980B9"/>
          <w:sz w:val="30"/>
        </w:rPr>
        <w:t>INDIVIDUAL CONTRIBUTION SHEET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F8F9FA"/>
            <w:tcMar>
              <w:top w:w="80" w:type="dxa"/>
              <w:bottom w:w="80" w:type="dxa"/>
              <w:left w:w="100" w:type="dxa"/>
              <w:right w:w="100" w:type="dxa"/>
            </w:tcMar>
          </w:tcPr>
          <w:p>
            <w:pPr>
              <w:spacing w:before="0" w:after="0"/>
              <w:jc w:val="left"/>
            </w:pPr>
            <w:r>
              <w:rPr>
                <w:rFonts w:ascii="Calibri" w:hAnsi="Calibri"/>
                <w:b/>
                <w:color w:val="212529"/>
                <w:sz w:val="19"/>
              </w:rPr>
              <w:t>Student Name:</w:t>
            </w:r>
          </w:p>
        </w:tc>
        <w:tc>
          <w:tcPr>
            <w:tcW w:type="dxa" w:w="3168"/>
            <w:shd w:fill="FFFFFF"/>
            <w:tcMar>
              <w:top w:w="80" w:type="dxa"/>
              <w:bottom w:w="80" w:type="dxa"/>
              <w:left w:w="100" w:type="dxa"/>
              <w:right w:w="100" w:type="dxa"/>
            </w:tcMar>
          </w:tcPr>
          <w:p>
            <w:pPr>
              <w:spacing w:before="0" w:after="0"/>
              <w:jc w:val="left"/>
            </w:pPr>
            <w:r>
              <w:rPr>
                <w:rFonts w:ascii="Calibri" w:hAnsi="Calibri"/>
                <w:b w:val="0"/>
                <w:color w:val="212529"/>
                <w:sz w:val="19"/>
              </w:rPr>
              <w:t>Yasith Nirmal Peiris</w:t>
            </w:r>
          </w:p>
        </w:tc>
        <w:tc>
          <w:tcPr>
            <w:tcW w:type="dxa" w:w="2160"/>
            <w:shd w:fill="F8F9FA"/>
            <w:tcMar>
              <w:top w:w="80" w:type="dxa"/>
              <w:bottom w:w="80" w:type="dxa"/>
              <w:left w:w="100" w:type="dxa"/>
              <w:right w:w="100" w:type="dxa"/>
            </w:tcMar>
          </w:tcPr>
          <w:p>
            <w:pPr>
              <w:spacing w:before="0" w:after="0"/>
              <w:jc w:val="left"/>
            </w:pPr>
            <w:r>
              <w:rPr>
                <w:rFonts w:ascii="Calibri" w:hAnsi="Calibri"/>
                <w:b/>
                <w:color w:val="212529"/>
                <w:sz w:val="19"/>
              </w:rPr>
              <w:t>Registration No.:</w:t>
            </w:r>
          </w:p>
        </w:tc>
        <w:tc>
          <w:tcPr>
            <w:tcW w:type="dxa" w:w="2592"/>
            <w:shd w:fill="FFFFFF"/>
            <w:tcMar>
              <w:top w:w="80" w:type="dxa"/>
              <w:bottom w:w="80" w:type="dxa"/>
              <w:left w:w="100" w:type="dxa"/>
              <w:right w:w="100" w:type="dxa"/>
            </w:tcMar>
          </w:tcPr>
          <w:p>
            <w:pPr>
              <w:spacing w:before="0" w:after="0"/>
              <w:jc w:val="left"/>
            </w:pPr>
            <w:r>
              <w:rPr>
                <w:rFonts w:ascii="Calibri" w:hAnsi="Calibri"/>
                <w:b w:val="0"/>
                <w:color w:val="212529"/>
                <w:sz w:val="19"/>
              </w:rPr>
              <w:t>D/BSE/25/0018</w:t>
            </w:r>
          </w:p>
        </w:tc>
      </w:tr>
      <w:tr>
        <w:tc>
          <w:tcPr>
            <w:tcW w:type="dxa" w:w="2160"/>
            <w:shd w:fill="F8F9FA"/>
            <w:tcMar>
              <w:top w:w="80" w:type="dxa"/>
              <w:bottom w:w="80" w:type="dxa"/>
              <w:left w:w="100" w:type="dxa"/>
              <w:right w:w="100" w:type="dxa"/>
            </w:tcMar>
          </w:tcPr>
          <w:p>
            <w:pPr>
              <w:spacing w:before="0" w:after="0"/>
              <w:jc w:val="left"/>
            </w:pPr>
            <w:r>
              <w:rPr>
                <w:rFonts w:ascii="Calibri" w:hAnsi="Calibri"/>
                <w:b/>
                <w:color w:val="212529"/>
                <w:sz w:val="19"/>
              </w:rPr>
              <w:t>Degree / Intake:</w:t>
            </w:r>
          </w:p>
        </w:tc>
        <w:tc>
          <w:tcPr>
            <w:tcW w:type="dxa" w:w="3168"/>
            <w:shd w:fill="FFFFFF"/>
            <w:tcMar>
              <w:top w:w="80" w:type="dxa"/>
              <w:bottom w:w="80" w:type="dxa"/>
              <w:left w:w="100" w:type="dxa"/>
              <w:right w:w="100" w:type="dxa"/>
            </w:tcMar>
          </w:tcPr>
          <w:p>
            <w:pPr>
              <w:spacing w:before="0" w:after="0"/>
              <w:jc w:val="left"/>
            </w:pPr>
            <w:r>
              <w:rPr>
                <w:rFonts w:ascii="Calibri" w:hAnsi="Calibri"/>
                <w:b w:val="0"/>
                <w:color w:val="212529"/>
                <w:sz w:val="19"/>
              </w:rPr>
              <w:t>Information Technology / 2024</w:t>
            </w:r>
          </w:p>
        </w:tc>
        <w:tc>
          <w:tcPr>
            <w:tcW w:type="dxa" w:w="2160"/>
            <w:shd w:fill="F8F9FA"/>
            <w:tcMar>
              <w:top w:w="80" w:type="dxa"/>
              <w:bottom w:w="80" w:type="dxa"/>
              <w:left w:w="100" w:type="dxa"/>
              <w:right w:w="100" w:type="dxa"/>
            </w:tcMar>
          </w:tcPr>
          <w:p>
            <w:pPr>
              <w:spacing w:before="0" w:after="0"/>
              <w:jc w:val="left"/>
            </w:pPr>
            <w:r>
              <w:rPr>
                <w:rFonts w:ascii="Calibri" w:hAnsi="Calibri"/>
                <w:b/>
                <w:color w:val="212529"/>
                <w:sz w:val="19"/>
              </w:rPr>
              <w:t>Group No.:</w:t>
            </w:r>
          </w:p>
        </w:tc>
        <w:tc>
          <w:tcPr>
            <w:tcW w:type="dxa" w:w="2592"/>
            <w:shd w:fill="FFFFFF"/>
            <w:tcMar>
              <w:top w:w="80" w:type="dxa"/>
              <w:bottom w:w="80" w:type="dxa"/>
              <w:left w:w="100" w:type="dxa"/>
              <w:right w:w="100" w:type="dxa"/>
            </w:tcMar>
          </w:tcPr>
          <w:p>
            <w:pPr>
              <w:spacing w:before="0" w:after="0"/>
              <w:jc w:val="left"/>
            </w:pPr>
            <w:r>
              <w:rPr>
                <w:rFonts w:ascii="Calibri" w:hAnsi="Calibri"/>
                <w:b w:val="0"/>
                <w:color w:val="212529"/>
                <w:sz w:val="19"/>
              </w:rPr>
              <w:t>44</w:t>
            </w:r>
          </w:p>
        </w:tc>
      </w:tr>
      <w:tr>
        <w:tc>
          <w:tcPr>
            <w:tcW w:type="dxa" w:w="2160"/>
            <w:shd w:fill="F8F9FA"/>
            <w:tcMar>
              <w:top w:w="80" w:type="dxa"/>
              <w:bottom w:w="80" w:type="dxa"/>
              <w:left w:w="100" w:type="dxa"/>
              <w:right w:w="100" w:type="dxa"/>
            </w:tcMar>
          </w:tcPr>
          <w:p>
            <w:pPr>
              <w:spacing w:before="0" w:after="0"/>
              <w:jc w:val="left"/>
            </w:pPr>
            <w:r>
              <w:rPr>
                <w:rFonts w:ascii="Calibri" w:hAnsi="Calibri"/>
                <w:b/>
                <w:color w:val="212529"/>
                <w:sz w:val="19"/>
              </w:rPr>
              <w:t>Project Title:</w:t>
            </w:r>
          </w:p>
        </w:tc>
        <w:tc>
          <w:tcPr>
            <w:tcW w:type="dxa" w:w="3168"/>
            <w:shd w:fill="FFFFFF"/>
            <w:tcMar>
              <w:top w:w="80" w:type="dxa"/>
              <w:bottom w:w="80" w:type="dxa"/>
              <w:left w:w="100" w:type="dxa"/>
              <w:right w:w="100" w:type="dxa"/>
            </w:tcMar>
          </w:tcPr>
          <w:p>
            <w:pPr>
              <w:spacing w:before="0" w:after="0"/>
              <w:jc w:val="left"/>
            </w:pPr>
            <w:r>
              <w:rPr>
                <w:rFonts w:ascii="Calibri" w:hAnsi="Calibri"/>
                <w:b w:val="0"/>
                <w:color w:val="212529"/>
                <w:sz w:val="19"/>
              </w:rPr>
              <w:t>Scam Sentry: An Intelligent Fake Job Advertisement Detection System</w:t>
            </w:r>
          </w:p>
        </w:tc>
        <w:tc>
          <w:tcPr>
            <w:tcW w:type="dxa" w:w="2160"/>
            <w:shd w:fill="F8F9FA"/>
            <w:tcMar>
              <w:top w:w="80" w:type="dxa"/>
              <w:bottom w:w="80" w:type="dxa"/>
              <w:left w:w="100" w:type="dxa"/>
              <w:right w:w="100" w:type="dxa"/>
            </w:tcMar>
          </w:tcPr>
          <w:p>
            <w:pPr>
              <w:spacing w:before="0" w:after="0"/>
              <w:jc w:val="left"/>
            </w:pPr>
            <w:r>
              <w:rPr>
                <w:rFonts w:ascii="Calibri" w:hAnsi="Calibri"/>
                <w:b/>
                <w:color w:val="212529"/>
                <w:sz w:val="19"/>
              </w:rPr>
              <w:t>GitHub Username:</w:t>
            </w:r>
          </w:p>
        </w:tc>
        <w:tc>
          <w:tcPr>
            <w:tcW w:type="dxa" w:w="2592"/>
            <w:shd w:fill="FFFFFF"/>
            <w:tcMar>
              <w:top w:w="80" w:type="dxa"/>
              <w:bottom w:w="80" w:type="dxa"/>
              <w:left w:w="100" w:type="dxa"/>
              <w:right w:w="100" w:type="dxa"/>
            </w:tcMar>
          </w:tcPr>
          <w:p>
            <w:pPr>
              <w:spacing w:before="0" w:after="0"/>
              <w:jc w:val="left"/>
            </w:pPr>
            <w:r>
              <w:rPr>
                <w:rFonts w:ascii="Calibri" w:hAnsi="Calibri"/>
                <w:b w:val="0"/>
                <w:color w:val="212529"/>
                <w:sz w:val="19"/>
              </w:rPr>
              <w:t>yasithnirmal88</w:t>
            </w:r>
          </w:p>
        </w:tc>
      </w:tr>
    </w:tbl>
    <w:p>
      <w:pPr>
        <w:spacing w:after="80"/>
      </w:pPr>
    </w:p>
    <w:p>
      <w:pPr>
        <w:spacing w:before="120" w:after="40"/>
      </w:pPr>
      <w:r>
        <w:rPr>
          <w:rFonts w:ascii="Calibri" w:hAnsi="Calibri"/>
          <w:b/>
          <w:color w:val="0F2240"/>
          <w:sz w:val="22"/>
        </w:rPr>
        <w:t>Executive Contribution Summary</w:t>
      </w:r>
    </w:p>
    <w:p>
      <w:pPr>
        <w:spacing w:before="0" w:after="160" w:line="276" w:lineRule="auto"/>
      </w:pPr>
      <w:r>
        <w:rPr>
          <w:rFonts w:ascii="Calibri" w:hAnsi="Calibri"/>
          <w:color w:val="212529"/>
          <w:sz w:val="19"/>
        </w:rPr>
        <w:t>As the lead backend architect, risk engine designer, security engineer, and test author for Scam Sentry, I designed and developed the core intelligence and infrastructure of the platform (50 commits, &gt;18,300 lines added across project). I engineered the deterministic multi-tier Risk Engine featuring 18 graded indicators (C1-L3), first-match-wins decision logic, and consistency safety nets to guarantee Critical threat dominance over probabilistic ML scores. I developed the pluggable 10-source job-board scanner, background daemon scheduler, and dual-backend storage facade supporting SQLite and PostgreSQL. Furthermore, I authored the complete 403-test automated quality assurance suite, established the CI/CD pipeline, hardened API security against brute-force and scraping abuse, and implemented the CV relevance matching and bare-city geographic resolution pipelines.</w:t>
      </w:r>
    </w:p>
    <w:p>
      <w:pPr>
        <w:spacing w:before="80" w:after="40"/>
      </w:pPr>
      <w:r>
        <w:rPr>
          <w:rFonts w:ascii="Calibri" w:hAnsi="Calibri"/>
          <w:b/>
          <w:color w:val="0F2240"/>
          <w:sz w:val="22"/>
        </w:rPr>
        <w:t>Detailed Technical Contributions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576"/>
            <w:shd w:fill="1F3A60"/>
            <w:tcMar>
              <w:top w:w="100" w:type="dxa"/>
              <w:bottom w:w="100" w:type="dxa"/>
              <w:left w:w="100" w:type="dxa"/>
              <w:right w:w="100" w:type="dxa"/>
            </w:tcMar>
          </w:tcPr>
          <w:p>
            <w:pPr>
              <w:spacing w:before="0" w:after="0"/>
              <w:jc w:val="center"/>
            </w:pPr>
            <w:r>
              <w:rPr>
                <w:rFonts w:ascii="Calibri" w:hAnsi="Calibri"/>
                <w:b/>
                <w:color w:val="FFFFFF"/>
                <w:sz w:val="18"/>
              </w:rPr>
              <w:t>No.</w:t>
            </w:r>
          </w:p>
        </w:tc>
        <w:tc>
          <w:tcPr>
            <w:tcW w:type="dxa" w:w="2160"/>
            <w:shd w:fill="1F3A60"/>
            <w:tcMar>
              <w:top w:w="100" w:type="dxa"/>
              <w:bottom w:w="100" w:type="dxa"/>
              <w:left w:w="100" w:type="dxa"/>
              <w:right w:w="100" w:type="dxa"/>
            </w:tcMar>
          </w:tcPr>
          <w:p>
            <w:pPr>
              <w:spacing w:before="0" w:after="0"/>
              <w:jc w:val="left"/>
            </w:pPr>
            <w:r>
              <w:rPr>
                <w:rFonts w:ascii="Calibri" w:hAnsi="Calibri"/>
                <w:b/>
                <w:color w:val="FFFFFF"/>
                <w:sz w:val="18"/>
              </w:rPr>
              <w:t>Technical Area</w:t>
            </w:r>
          </w:p>
        </w:tc>
        <w:tc>
          <w:tcPr>
            <w:tcW w:type="dxa" w:w="3744"/>
            <w:shd w:fill="1F3A60"/>
            <w:tcMar>
              <w:top w:w="100" w:type="dxa"/>
              <w:bottom w:w="100" w:type="dxa"/>
              <w:left w:w="100" w:type="dxa"/>
              <w:right w:w="100" w:type="dxa"/>
            </w:tcMar>
          </w:tcPr>
          <w:p>
            <w:pPr>
              <w:spacing w:before="0" w:after="0"/>
              <w:jc w:val="left"/>
            </w:pPr>
            <w:r>
              <w:rPr>
                <w:rFonts w:ascii="Calibri" w:hAnsi="Calibri"/>
                <w:b/>
                <w:color w:val="FFFFFF"/>
                <w:sz w:val="18"/>
              </w:rPr>
              <w:t>My Specific Contribution</w:t>
            </w:r>
          </w:p>
        </w:tc>
        <w:tc>
          <w:tcPr>
            <w:tcW w:type="dxa" w:w="1728"/>
            <w:shd w:fill="1F3A60"/>
            <w:tcMar>
              <w:top w:w="100" w:type="dxa"/>
              <w:bottom w:w="100" w:type="dxa"/>
              <w:left w:w="100" w:type="dxa"/>
              <w:right w:w="100" w:type="dxa"/>
            </w:tcMar>
          </w:tcPr>
          <w:p>
            <w:pPr>
              <w:spacing w:before="0" w:after="0"/>
              <w:jc w:val="left"/>
            </w:pPr>
            <w:r>
              <w:rPr>
                <w:rFonts w:ascii="Calibri" w:hAnsi="Calibri"/>
                <w:b/>
                <w:color w:val="FFFFFF"/>
                <w:sz w:val="18"/>
              </w:rPr>
              <w:t>Tools &amp; AI Techniques</w:t>
            </w:r>
          </w:p>
        </w:tc>
        <w:tc>
          <w:tcPr>
            <w:tcW w:type="dxa" w:w="1872"/>
            <w:shd w:fill="1F3A60"/>
            <w:tcMar>
              <w:top w:w="100" w:type="dxa"/>
              <w:bottom w:w="100" w:type="dxa"/>
              <w:left w:w="100" w:type="dxa"/>
              <w:right w:w="100" w:type="dxa"/>
            </w:tcMar>
          </w:tcPr>
          <w:p>
            <w:pPr>
              <w:spacing w:before="0" w:after="0"/>
              <w:jc w:val="left"/>
            </w:pPr>
            <w:r>
              <w:rPr>
                <w:rFonts w:ascii="Calibri" w:hAnsi="Calibri"/>
                <w:b/>
                <w:color w:val="FFFFFF"/>
                <w:sz w:val="18"/>
              </w:rPr>
              <w:t>Evidence &amp; Deliverables</w:t>
            </w:r>
          </w:p>
        </w:tc>
      </w:tr>
      <w:tr>
        <w:trPr>
          <w:cantSplit/>
        </w:trPr>
        <w:tc>
          <w:tcPr>
            <w:tcW w:type="dxa" w:w="576"/>
            <w:tcMar>
              <w:top w:w="70" w:type="dxa"/>
              <w:bottom w:w="70" w:type="dxa"/>
              <w:left w:w="80" w:type="dxa"/>
              <w:right w:w="80" w:type="dxa"/>
            </w:tcMar>
          </w:tcPr>
          <w:p>
            <w:pPr>
              <w:spacing w:before="0" w:after="0"/>
              <w:jc w:val="center"/>
            </w:pPr>
            <w:r>
              <w:rPr>
                <w:rFonts w:ascii="Calibri" w:hAnsi="Calibri"/>
                <w:b/>
                <w:color w:val="212529"/>
                <w:sz w:val="17"/>
              </w:rPr>
              <w:t>1</w:t>
            </w:r>
          </w:p>
        </w:tc>
        <w:tc>
          <w:tcPr>
            <w:tcW w:type="dxa" w:w="2160"/>
            <w:tcMar>
              <w:top w:w="70" w:type="dxa"/>
              <w:bottom w:w="70" w:type="dxa"/>
              <w:left w:w="80" w:type="dxa"/>
              <w:right w:w="80" w:type="dxa"/>
            </w:tcMar>
          </w:tcPr>
          <w:p>
            <w:pPr>
              <w:spacing w:before="0" w:after="0"/>
              <w:jc w:val="left"/>
            </w:pPr>
            <w:r>
              <w:rPr>
                <w:rFonts w:ascii="Calibri" w:hAnsi="Calibri"/>
                <w:b/>
                <w:color w:val="212529"/>
                <w:sz w:val="17"/>
              </w:rPr>
              <w:t>Deterministic Risk Engine &amp; Indicators</w:t>
            </w:r>
          </w:p>
        </w:tc>
        <w:tc>
          <w:tcPr>
            <w:tcW w:type="dxa" w:w="3744"/>
            <w:tcMar>
              <w:top w:w="70" w:type="dxa"/>
              <w:bottom w:w="70" w:type="dxa"/>
              <w:left w:w="80" w:type="dxa"/>
              <w:right w:w="80" w:type="dxa"/>
            </w:tcMar>
          </w:tcPr>
          <w:p>
            <w:pPr>
              <w:spacing w:before="0" w:after="0"/>
              <w:jc w:val="left"/>
            </w:pPr>
            <w:r>
              <w:rPr>
                <w:rFonts w:ascii="Calibri" w:hAnsi="Calibri"/>
                <w:b w:val="0"/>
                <w:color w:val="212529"/>
                <w:sz w:val="17"/>
              </w:rPr>
              <w:t>Designed and implemented the core rule-based Risk Engine with 18 graded indicators across 4 severity tiers (C1-C4 Critical, H1-H6 High, M1-M5 Medium, L1-L3 Low). Implemented first-match-wins arbitration rules and V1-V3 consistency safety nets so Critical fraud indicators (advance fee, sensitive identity requests) can never be averaged away by ML probability scores.</w:t>
            </w:r>
          </w:p>
        </w:tc>
        <w:tc>
          <w:tcPr>
            <w:tcW w:type="dxa" w:w="1728"/>
            <w:tcMar>
              <w:top w:w="70" w:type="dxa"/>
              <w:bottom w:w="70" w:type="dxa"/>
              <w:left w:w="80" w:type="dxa"/>
              <w:right w:w="80" w:type="dxa"/>
            </w:tcMar>
          </w:tcPr>
          <w:p>
            <w:pPr>
              <w:spacing w:before="0" w:after="0"/>
              <w:jc w:val="left"/>
            </w:pPr>
            <w:r>
              <w:rPr>
                <w:rFonts w:ascii="Calibri" w:hAnsi="Calibri"/>
                <w:b w:val="0"/>
                <w:color w:val="212529"/>
                <w:sz w:val="17"/>
              </w:rPr>
              <w:t>Rule-based Reasoning, Python, Regex Engine, Deterministic Decision Trees</w:t>
            </w:r>
          </w:p>
        </w:tc>
        <w:tc>
          <w:tcPr>
            <w:tcW w:type="dxa" w:w="1872"/>
            <w:tcMar>
              <w:top w:w="70" w:type="dxa"/>
              <w:bottom w:w="70" w:type="dxa"/>
              <w:left w:w="80" w:type="dxa"/>
              <w:right w:w="80" w:type="dxa"/>
            </w:tcMar>
          </w:tcPr>
          <w:p>
            <w:pPr>
              <w:spacing w:before="0" w:after="0"/>
              <w:jc w:val="left"/>
            </w:pPr>
            <w:r>
              <w:rPr>
                <w:rFonts w:ascii="Calibri" w:hAnsi="Calibri"/>
                <w:b w:val="0"/>
                <w:color w:val="212529"/>
                <w:sz w:val="17"/>
              </w:rPr>
              <w:t>risk/indicators.py, risk/engine.py, risk/consistency.py (Commits fe0abfd, 4cec4a1, 0c191b8; tests/test_engine.py 17 passed)</w:t>
            </w:r>
          </w:p>
        </w:tc>
      </w:tr>
      <w:tr>
        <w:trPr>
          <w:cantSplit/>
        </w:trPr>
        <w:tc>
          <w:tcPr>
            <w:tcW w:type="dxa" w:w="576"/>
            <w:tcMar>
              <w:top w:w="70" w:type="dxa"/>
              <w:bottom w:w="70" w:type="dxa"/>
              <w:left w:w="80" w:type="dxa"/>
              <w:right w:w="80" w:type="dxa"/>
            </w:tcMar>
          </w:tcPr>
          <w:p>
            <w:pPr>
              <w:spacing w:before="0" w:after="0"/>
              <w:jc w:val="center"/>
            </w:pPr>
            <w:r>
              <w:rPr>
                <w:rFonts w:ascii="Calibri" w:hAnsi="Calibri"/>
                <w:b/>
                <w:color w:val="212529"/>
                <w:sz w:val="17"/>
              </w:rPr>
              <w:t>2</w:t>
            </w:r>
          </w:p>
        </w:tc>
        <w:tc>
          <w:tcPr>
            <w:tcW w:type="dxa" w:w="2160"/>
            <w:tcMar>
              <w:top w:w="70" w:type="dxa"/>
              <w:bottom w:w="70" w:type="dxa"/>
              <w:left w:w="80" w:type="dxa"/>
              <w:right w:w="80" w:type="dxa"/>
            </w:tcMar>
          </w:tcPr>
          <w:p>
            <w:pPr>
              <w:spacing w:before="0" w:after="0"/>
              <w:jc w:val="left"/>
            </w:pPr>
            <w:r>
              <w:rPr>
                <w:rFonts w:ascii="Calibri" w:hAnsi="Calibri"/>
                <w:b/>
                <w:color w:val="212529"/>
                <w:sz w:val="17"/>
              </w:rPr>
              <w:t>Responsible AI Language Discipline</w:t>
            </w:r>
          </w:p>
        </w:tc>
        <w:tc>
          <w:tcPr>
            <w:tcW w:type="dxa" w:w="3744"/>
            <w:tcMar>
              <w:top w:w="70" w:type="dxa"/>
              <w:bottom w:w="70" w:type="dxa"/>
              <w:left w:w="80" w:type="dxa"/>
              <w:right w:w="80" w:type="dxa"/>
            </w:tcMar>
          </w:tcPr>
          <w:p>
            <w:pPr>
              <w:spacing w:before="0" w:after="0"/>
              <w:jc w:val="left"/>
            </w:pPr>
            <w:r>
              <w:rPr>
                <w:rFonts w:ascii="Calibri" w:hAnsi="Calibri"/>
                <w:b w:val="0"/>
                <w:color w:val="212529"/>
                <w:sz w:val="17"/>
              </w:rPr>
              <w:t>Engineered ethical language discipline sanitization preventing defamatory allegations (e.g., claiming a listing is "fake" or "a scam"). Generated forensic, evidence-backed red flag statements coupled with legitimate alternative business explanations, ensuring academic and legal safety.</w:t>
            </w:r>
          </w:p>
        </w:tc>
        <w:tc>
          <w:tcPr>
            <w:tcW w:type="dxa" w:w="1728"/>
            <w:tcMar>
              <w:top w:w="70" w:type="dxa"/>
              <w:bottom w:w="70" w:type="dxa"/>
              <w:left w:w="80" w:type="dxa"/>
              <w:right w:w="80" w:type="dxa"/>
            </w:tcMar>
          </w:tcPr>
          <w:p>
            <w:pPr>
              <w:spacing w:before="0" w:after="0"/>
              <w:jc w:val="left"/>
            </w:pPr>
            <w:r>
              <w:rPr>
                <w:rFonts w:ascii="Calibri" w:hAnsi="Calibri"/>
                <w:b w:val="0"/>
                <w:color w:val="212529"/>
                <w:sz w:val="17"/>
              </w:rPr>
              <w:t>Deterministic Lexical Sweep, Content Moderation, NLP Sanitization</w:t>
            </w:r>
          </w:p>
        </w:tc>
        <w:tc>
          <w:tcPr>
            <w:tcW w:type="dxa" w:w="1872"/>
            <w:tcMar>
              <w:top w:w="70" w:type="dxa"/>
              <w:bottom w:w="70" w:type="dxa"/>
              <w:left w:w="80" w:type="dxa"/>
              <w:right w:w="80" w:type="dxa"/>
            </w:tcMar>
          </w:tcPr>
          <w:p>
            <w:pPr>
              <w:spacing w:before="0" w:after="0"/>
              <w:jc w:val="left"/>
            </w:pPr>
            <w:r>
              <w:rPr>
                <w:rFonts w:ascii="Calibri" w:hAnsi="Calibri"/>
                <w:b w:val="0"/>
                <w:color w:val="212529"/>
                <w:sz w:val="17"/>
              </w:rPr>
              <w:t>risk/language.py (Commit 4cec4a1, 0c191b8; tests/test_language.py 5 passed)</w:t>
            </w:r>
          </w:p>
        </w:tc>
      </w:tr>
      <w:tr>
        <w:trPr>
          <w:cantSplit/>
        </w:trPr>
        <w:tc>
          <w:tcPr>
            <w:tcW w:type="dxa" w:w="576"/>
            <w:tcMar>
              <w:top w:w="70" w:type="dxa"/>
              <w:bottom w:w="70" w:type="dxa"/>
              <w:left w:w="80" w:type="dxa"/>
              <w:right w:w="80" w:type="dxa"/>
            </w:tcMar>
          </w:tcPr>
          <w:p>
            <w:pPr>
              <w:spacing w:before="0" w:after="0"/>
              <w:jc w:val="center"/>
            </w:pPr>
            <w:r>
              <w:rPr>
                <w:rFonts w:ascii="Calibri" w:hAnsi="Calibri"/>
                <w:b/>
                <w:color w:val="212529"/>
                <w:sz w:val="17"/>
              </w:rPr>
              <w:t>3</w:t>
            </w:r>
          </w:p>
        </w:tc>
        <w:tc>
          <w:tcPr>
            <w:tcW w:type="dxa" w:w="2160"/>
            <w:tcMar>
              <w:top w:w="70" w:type="dxa"/>
              <w:bottom w:w="70" w:type="dxa"/>
              <w:left w:w="80" w:type="dxa"/>
              <w:right w:w="80" w:type="dxa"/>
            </w:tcMar>
          </w:tcPr>
          <w:p>
            <w:pPr>
              <w:spacing w:before="0" w:after="0"/>
              <w:jc w:val="left"/>
            </w:pPr>
            <w:r>
              <w:rPr>
                <w:rFonts w:ascii="Calibri" w:hAnsi="Calibri"/>
                <w:b/>
                <w:color w:val="212529"/>
                <w:sz w:val="17"/>
              </w:rPr>
              <w:t>Job Board Scanner Framework &amp; Ingestion</w:t>
            </w:r>
          </w:p>
        </w:tc>
        <w:tc>
          <w:tcPr>
            <w:tcW w:type="dxa" w:w="3744"/>
            <w:tcMar>
              <w:top w:w="70" w:type="dxa"/>
              <w:bottom w:w="70" w:type="dxa"/>
              <w:left w:w="80" w:type="dxa"/>
              <w:right w:w="80" w:type="dxa"/>
            </w:tcMar>
          </w:tcPr>
          <w:p>
            <w:pPr>
              <w:spacing w:before="0" w:after="0"/>
              <w:jc w:val="left"/>
            </w:pPr>
            <w:r>
              <w:rPr>
                <w:rFonts w:ascii="Calibri" w:hAnsi="Calibri"/>
                <w:b w:val="0"/>
                <w:color w:val="212529"/>
                <w:sz w:val="17"/>
              </w:rPr>
              <w:t>Built an extensible, pluggable job ingestion architecture (BaseScanner interface) and implemented connectors for 10 public job boards (RemoteOK, Remotive, Arbeitnow, Jobicy, Himalayas, Working Nomads, LaraJobs, Greenhouse, Lever, Ashby). Built exponential-backoff HTTP retry logic and SHA-256 URL hashing for deduplication.</w:t>
            </w:r>
          </w:p>
        </w:tc>
        <w:tc>
          <w:tcPr>
            <w:tcW w:type="dxa" w:w="1728"/>
            <w:tcMar>
              <w:top w:w="70" w:type="dxa"/>
              <w:bottom w:w="70" w:type="dxa"/>
              <w:left w:w="80" w:type="dxa"/>
              <w:right w:w="80" w:type="dxa"/>
            </w:tcMar>
          </w:tcPr>
          <w:p>
            <w:pPr>
              <w:spacing w:before="0" w:after="0"/>
              <w:jc w:val="left"/>
            </w:pPr>
            <w:r>
              <w:rPr>
                <w:rFonts w:ascii="Calibri" w:hAnsi="Calibri"/>
                <w:b w:val="0"/>
                <w:color w:val="212529"/>
                <w:sz w:val="17"/>
              </w:rPr>
              <w:t>Python Requests, REST/JSON &amp; RSS APIs, Regex HTML Stripping, SHA-256 Deduplication</w:t>
            </w:r>
          </w:p>
        </w:tc>
        <w:tc>
          <w:tcPr>
            <w:tcW w:type="dxa" w:w="1872"/>
            <w:tcMar>
              <w:top w:w="70" w:type="dxa"/>
              <w:bottom w:w="70" w:type="dxa"/>
              <w:left w:w="80" w:type="dxa"/>
              <w:right w:w="80" w:type="dxa"/>
            </w:tcMar>
          </w:tcPr>
          <w:p>
            <w:pPr>
              <w:spacing w:before="0" w:after="0"/>
              <w:jc w:val="left"/>
            </w:pPr>
            <w:r>
              <w:rPr>
                <w:rFonts w:ascii="Calibri" w:hAnsi="Calibri"/>
                <w:b w:val="0"/>
                <w:color w:val="212529"/>
                <w:sz w:val="17"/>
              </w:rPr>
              <w:t>scanner/base.py, scanner/registry.py, scanner/sources/*.py (Commits 4338d3e, bb965f9, 5d6d4cb; 24 scanner tests passed)</w:t>
            </w:r>
          </w:p>
        </w:tc>
      </w:tr>
      <w:tr>
        <w:trPr>
          <w:cantSplit/>
        </w:trPr>
        <w:tc>
          <w:tcPr>
            <w:tcW w:type="dxa" w:w="576"/>
            <w:tcMar>
              <w:top w:w="70" w:type="dxa"/>
              <w:bottom w:w="70" w:type="dxa"/>
              <w:left w:w="80" w:type="dxa"/>
              <w:right w:w="80" w:type="dxa"/>
            </w:tcMar>
          </w:tcPr>
          <w:p>
            <w:pPr>
              <w:spacing w:before="0" w:after="0"/>
              <w:jc w:val="center"/>
            </w:pPr>
            <w:r>
              <w:rPr>
                <w:rFonts w:ascii="Calibri" w:hAnsi="Calibri"/>
                <w:b/>
                <w:color w:val="212529"/>
                <w:sz w:val="17"/>
              </w:rPr>
              <w:t>4</w:t>
            </w:r>
          </w:p>
        </w:tc>
        <w:tc>
          <w:tcPr>
            <w:tcW w:type="dxa" w:w="2160"/>
            <w:tcMar>
              <w:top w:w="70" w:type="dxa"/>
              <w:bottom w:w="70" w:type="dxa"/>
              <w:left w:w="80" w:type="dxa"/>
              <w:right w:w="80" w:type="dxa"/>
            </w:tcMar>
          </w:tcPr>
          <w:p>
            <w:pPr>
              <w:spacing w:before="0" w:after="0"/>
              <w:jc w:val="left"/>
            </w:pPr>
            <w:r>
              <w:rPr>
                <w:rFonts w:ascii="Calibri" w:hAnsi="Calibri"/>
                <w:b/>
                <w:color w:val="212529"/>
                <w:sz w:val="17"/>
              </w:rPr>
              <w:t>Background Scan Orchestration &amp; Scheduler</w:t>
            </w:r>
          </w:p>
        </w:tc>
        <w:tc>
          <w:tcPr>
            <w:tcW w:type="dxa" w:w="3744"/>
            <w:tcMar>
              <w:top w:w="70" w:type="dxa"/>
              <w:bottom w:w="70" w:type="dxa"/>
              <w:left w:w="80" w:type="dxa"/>
              <w:right w:w="80" w:type="dxa"/>
            </w:tcMar>
          </w:tcPr>
          <w:p>
            <w:pPr>
              <w:spacing w:before="0" w:after="0"/>
              <w:jc w:val="left"/>
            </w:pPr>
            <w:r>
              <w:rPr>
                <w:rFonts w:ascii="Calibri" w:hAnsi="Calibri"/>
                <w:b w:val="0"/>
                <w:color w:val="212529"/>
                <w:sz w:val="17"/>
              </w:rPr>
              <w:t>Developed an asynchronous background scanner service utilizing Python daemon worker threads with thread-safe execution locks, preventing concurrent duplicate scans. Added scan history logging, CLI scanning tool (scan.py), and non-blocking HTTP 202 endpoints with synchronous bypass mode.</w:t>
            </w:r>
          </w:p>
        </w:tc>
        <w:tc>
          <w:tcPr>
            <w:tcW w:type="dxa" w:w="1728"/>
            <w:tcMar>
              <w:top w:w="70" w:type="dxa"/>
              <w:bottom w:w="70" w:type="dxa"/>
              <w:left w:w="80" w:type="dxa"/>
              <w:right w:w="80" w:type="dxa"/>
            </w:tcMar>
          </w:tcPr>
          <w:p>
            <w:pPr>
              <w:spacing w:before="0" w:after="0"/>
              <w:jc w:val="left"/>
            </w:pPr>
            <w:r>
              <w:rPr>
                <w:rFonts w:ascii="Calibri" w:hAnsi="Calibri"/>
                <w:b w:val="0"/>
                <w:color w:val="212529"/>
                <w:sz w:val="17"/>
              </w:rPr>
              <w:t>Python Threading, Daemon Scheduling, CLI Engineering, Mutex Concurrency</w:t>
            </w:r>
          </w:p>
        </w:tc>
        <w:tc>
          <w:tcPr>
            <w:tcW w:type="dxa" w:w="1872"/>
            <w:tcMar>
              <w:top w:w="70" w:type="dxa"/>
              <w:bottom w:w="70" w:type="dxa"/>
              <w:left w:w="80" w:type="dxa"/>
              <w:right w:w="80" w:type="dxa"/>
            </w:tcMar>
          </w:tcPr>
          <w:p>
            <w:pPr>
              <w:spacing w:before="0" w:after="0"/>
              <w:jc w:val="left"/>
            </w:pPr>
            <w:r>
              <w:rPr>
                <w:rFonts w:ascii="Calibri" w:hAnsi="Calibri"/>
                <w:b w:val="0"/>
                <w:color w:val="212529"/>
                <w:sz w:val="17"/>
              </w:rPr>
              <w:t>services/scheduler.py, services/scanner_service.py, scan.py (Commits bb965f9, b4fbaf5; tests/test_phase3.py 20 passed)</w:t>
            </w:r>
          </w:p>
        </w:tc>
      </w:tr>
      <w:tr>
        <w:trPr>
          <w:cantSplit/>
        </w:trPr>
        <w:tc>
          <w:tcPr>
            <w:tcW w:type="dxa" w:w="576"/>
            <w:tcMar>
              <w:top w:w="70" w:type="dxa"/>
              <w:bottom w:w="70" w:type="dxa"/>
              <w:left w:w="80" w:type="dxa"/>
              <w:right w:w="80" w:type="dxa"/>
            </w:tcMar>
          </w:tcPr>
          <w:p>
            <w:pPr>
              <w:spacing w:before="0" w:after="0"/>
              <w:jc w:val="center"/>
            </w:pPr>
            <w:r>
              <w:rPr>
                <w:rFonts w:ascii="Calibri" w:hAnsi="Calibri"/>
                <w:b/>
                <w:color w:val="212529"/>
                <w:sz w:val="17"/>
              </w:rPr>
              <w:t>5</w:t>
            </w:r>
          </w:p>
        </w:tc>
        <w:tc>
          <w:tcPr>
            <w:tcW w:type="dxa" w:w="2160"/>
            <w:tcMar>
              <w:top w:w="70" w:type="dxa"/>
              <w:bottom w:w="70" w:type="dxa"/>
              <w:left w:w="80" w:type="dxa"/>
              <w:right w:w="80" w:type="dxa"/>
            </w:tcMar>
          </w:tcPr>
          <w:p>
            <w:pPr>
              <w:spacing w:before="0" w:after="0"/>
              <w:jc w:val="left"/>
            </w:pPr>
            <w:r>
              <w:rPr>
                <w:rFonts w:ascii="Calibri" w:hAnsi="Calibri"/>
                <w:b/>
                <w:color w:val="212529"/>
                <w:sz w:val="17"/>
              </w:rPr>
              <w:t>Dual-Engine Storage Abstraction &amp; Migration</w:t>
            </w:r>
          </w:p>
        </w:tc>
        <w:tc>
          <w:tcPr>
            <w:tcW w:type="dxa" w:w="3744"/>
            <w:tcMar>
              <w:top w:w="70" w:type="dxa"/>
              <w:bottom w:w="70" w:type="dxa"/>
              <w:left w:w="80" w:type="dxa"/>
              <w:right w:w="80" w:type="dxa"/>
            </w:tcMar>
          </w:tcPr>
          <w:p>
            <w:pPr>
              <w:spacing w:before="0" w:after="0"/>
              <w:jc w:val="left"/>
            </w:pPr>
            <w:r>
              <w:rPr>
                <w:rFonts w:ascii="Calibri" w:hAnsi="Calibri"/>
                <w:b w:val="0"/>
                <w:color w:val="212529"/>
                <w:sz w:val="17"/>
              </w:rPr>
              <w:t>Designed a unified repository facade (models/job.py, storage.py) supporting SQLite for local zero-config development and PostgreSQL for production via DATABASE_URL. Built automatic schema evolution, dynamic index creation, and idempotent background backfilling for historical records.</w:t>
            </w:r>
          </w:p>
        </w:tc>
        <w:tc>
          <w:tcPr>
            <w:tcW w:type="dxa" w:w="1728"/>
            <w:tcMar>
              <w:top w:w="70" w:type="dxa"/>
              <w:bottom w:w="70" w:type="dxa"/>
              <w:left w:w="80" w:type="dxa"/>
              <w:right w:w="80" w:type="dxa"/>
            </w:tcMar>
          </w:tcPr>
          <w:p>
            <w:pPr>
              <w:spacing w:before="0" w:after="0"/>
              <w:jc w:val="left"/>
            </w:pPr>
            <w:r>
              <w:rPr>
                <w:rFonts w:ascii="Calibri" w:hAnsi="Calibri"/>
                <w:b w:val="0"/>
                <w:color w:val="212529"/>
                <w:sz w:val="17"/>
              </w:rPr>
              <w:t>SQLite, PostgreSQL, psycopg3, Database Migration, Repository Pattern</w:t>
            </w:r>
          </w:p>
        </w:tc>
        <w:tc>
          <w:tcPr>
            <w:tcW w:type="dxa" w:w="1872"/>
            <w:tcMar>
              <w:top w:w="70" w:type="dxa"/>
              <w:bottom w:w="70" w:type="dxa"/>
              <w:left w:w="80" w:type="dxa"/>
              <w:right w:w="80" w:type="dxa"/>
            </w:tcMar>
          </w:tcPr>
          <w:p>
            <w:pPr>
              <w:spacing w:before="0" w:after="0"/>
              <w:jc w:val="left"/>
            </w:pPr>
            <w:r>
              <w:rPr>
                <w:rFonts w:ascii="Calibri" w:hAnsi="Calibri"/>
                <w:b w:val="0"/>
                <w:color w:val="212529"/>
                <w:sz w:val="17"/>
              </w:rPr>
              <w:t>models/job.py, models/storage.py (Commits 4338d3e, 4e074a4, 0e09b6b; tests/test_job_model.py 17 passed)</w:t>
            </w:r>
          </w:p>
        </w:tc>
      </w:tr>
      <w:tr>
        <w:trPr>
          <w:cantSplit/>
        </w:trPr>
        <w:tc>
          <w:tcPr>
            <w:tcW w:type="dxa" w:w="576"/>
            <w:tcMar>
              <w:top w:w="70" w:type="dxa"/>
              <w:bottom w:w="70" w:type="dxa"/>
              <w:left w:w="80" w:type="dxa"/>
              <w:right w:w="80" w:type="dxa"/>
            </w:tcMar>
          </w:tcPr>
          <w:p>
            <w:pPr>
              <w:spacing w:before="0" w:after="0"/>
              <w:jc w:val="center"/>
            </w:pPr>
            <w:r>
              <w:rPr>
                <w:rFonts w:ascii="Calibri" w:hAnsi="Calibri"/>
                <w:b/>
                <w:color w:val="212529"/>
                <w:sz w:val="17"/>
              </w:rPr>
              <w:t>6</w:t>
            </w:r>
          </w:p>
        </w:tc>
        <w:tc>
          <w:tcPr>
            <w:tcW w:type="dxa" w:w="2160"/>
            <w:tcMar>
              <w:top w:w="70" w:type="dxa"/>
              <w:bottom w:w="70" w:type="dxa"/>
              <w:left w:w="80" w:type="dxa"/>
              <w:right w:w="80" w:type="dxa"/>
            </w:tcMar>
          </w:tcPr>
          <w:p>
            <w:pPr>
              <w:spacing w:before="0" w:after="0"/>
              <w:jc w:val="left"/>
            </w:pPr>
            <w:r>
              <w:rPr>
                <w:rFonts w:ascii="Calibri" w:hAnsi="Calibri"/>
                <w:b/>
                <w:color w:val="212529"/>
                <w:sz w:val="17"/>
              </w:rPr>
              <w:t>API Security, Rate Limiting &amp; Abuse Control</w:t>
            </w:r>
          </w:p>
        </w:tc>
        <w:tc>
          <w:tcPr>
            <w:tcW w:type="dxa" w:w="3744"/>
            <w:tcMar>
              <w:top w:w="70" w:type="dxa"/>
              <w:bottom w:w="70" w:type="dxa"/>
              <w:left w:w="80" w:type="dxa"/>
              <w:right w:w="80" w:type="dxa"/>
            </w:tcMar>
          </w:tcPr>
          <w:p>
            <w:pPr>
              <w:spacing w:before="0" w:after="0"/>
              <w:jc w:val="left"/>
            </w:pPr>
            <w:r>
              <w:rPr>
                <w:rFonts w:ascii="Calibri" w:hAnsi="Calibri"/>
                <w:b w:val="0"/>
                <w:color w:val="212529"/>
                <w:sz w:val="17"/>
              </w:rPr>
              <w:t>Engineered enterprise security remediations (Audit F-01 to F-08): fail-closed X-Scan-Token authentication, per-IP sliding window rate limiting (Flask-Limiter), strict Content Security Policy (CSP), anti-clickjacking headers (SAMEORIGIN), payload size limits (JSON 413), and fail-closed application boot guards.</w:t>
            </w:r>
          </w:p>
        </w:tc>
        <w:tc>
          <w:tcPr>
            <w:tcW w:type="dxa" w:w="1728"/>
            <w:tcMar>
              <w:top w:w="70" w:type="dxa"/>
              <w:bottom w:w="70" w:type="dxa"/>
              <w:left w:w="80" w:type="dxa"/>
              <w:right w:w="80" w:type="dxa"/>
            </w:tcMar>
          </w:tcPr>
          <w:p>
            <w:pPr>
              <w:spacing w:before="0" w:after="0"/>
              <w:jc w:val="left"/>
            </w:pPr>
            <w:r>
              <w:rPr>
                <w:rFonts w:ascii="Calibri" w:hAnsi="Calibri"/>
                <w:b w:val="0"/>
                <w:color w:val="212529"/>
                <w:sz w:val="17"/>
              </w:rPr>
              <w:t>Flask-Limiter, HTTP Security Headers, API Token Auth, Abuse Mitigation</w:t>
            </w:r>
          </w:p>
        </w:tc>
        <w:tc>
          <w:tcPr>
            <w:tcW w:type="dxa" w:w="1872"/>
            <w:tcMar>
              <w:top w:w="70" w:type="dxa"/>
              <w:bottom w:w="70" w:type="dxa"/>
              <w:left w:w="80" w:type="dxa"/>
              <w:right w:w="80" w:type="dxa"/>
            </w:tcMar>
          </w:tcPr>
          <w:p>
            <w:pPr>
              <w:spacing w:before="0" w:after="0"/>
              <w:jc w:val="left"/>
            </w:pPr>
            <w:r>
              <w:rPr>
                <w:rFonts w:ascii="Calibri" w:hAnsi="Calibri"/>
                <w:b w:val="0"/>
                <w:color w:val="212529"/>
                <w:sz w:val="17"/>
              </w:rPr>
              <w:t>app.py, config.py (Commits 1ec4d9c, 7ed03f4; tests/test_abuse_control.py 23 passed, test_scan_api.py 22 passed)</w:t>
            </w:r>
          </w:p>
        </w:tc>
      </w:tr>
      <w:tr>
        <w:trPr>
          <w:cantSplit/>
        </w:trPr>
        <w:tc>
          <w:tcPr>
            <w:tcW w:type="dxa" w:w="576"/>
            <w:tcMar>
              <w:top w:w="70" w:type="dxa"/>
              <w:bottom w:w="70" w:type="dxa"/>
              <w:left w:w="80" w:type="dxa"/>
              <w:right w:w="80" w:type="dxa"/>
            </w:tcMar>
          </w:tcPr>
          <w:p>
            <w:pPr>
              <w:spacing w:before="0" w:after="0"/>
              <w:jc w:val="center"/>
            </w:pPr>
            <w:r>
              <w:rPr>
                <w:rFonts w:ascii="Calibri" w:hAnsi="Calibri"/>
                <w:b/>
                <w:color w:val="212529"/>
                <w:sz w:val="17"/>
              </w:rPr>
              <w:t>7</w:t>
            </w:r>
          </w:p>
        </w:tc>
        <w:tc>
          <w:tcPr>
            <w:tcW w:type="dxa" w:w="2160"/>
            <w:tcMar>
              <w:top w:w="70" w:type="dxa"/>
              <w:bottom w:w="70" w:type="dxa"/>
              <w:left w:w="80" w:type="dxa"/>
              <w:right w:w="80" w:type="dxa"/>
            </w:tcMar>
          </w:tcPr>
          <w:p>
            <w:pPr>
              <w:spacing w:before="0" w:after="0"/>
              <w:jc w:val="left"/>
            </w:pPr>
            <w:r>
              <w:rPr>
                <w:rFonts w:ascii="Calibri" w:hAnsi="Calibri"/>
                <w:b/>
                <w:color w:val="212529"/>
                <w:sz w:val="17"/>
              </w:rPr>
              <w:t>ML Calibration &amp; Supporting Signal Honesty</w:t>
            </w:r>
          </w:p>
        </w:tc>
        <w:tc>
          <w:tcPr>
            <w:tcW w:type="dxa" w:w="3744"/>
            <w:tcMar>
              <w:top w:w="70" w:type="dxa"/>
              <w:bottom w:w="70" w:type="dxa"/>
              <w:left w:w="80" w:type="dxa"/>
              <w:right w:w="80" w:type="dxa"/>
            </w:tcMar>
          </w:tcPr>
          <w:p>
            <w:pPr>
              <w:spacing w:before="0" w:after="0"/>
              <w:jc w:val="left"/>
            </w:pPr>
            <w:r>
              <w:rPr>
                <w:rFonts w:ascii="Calibri" w:hAnsi="Calibri"/>
                <w:b w:val="0"/>
                <w:color w:val="212529"/>
                <w:sz w:val="17"/>
              </w:rPr>
              <w:t>Retrained GradientBoosting and TF-IDF models to resolve library depreciation warnings, calibrated model probability curves via isotonic regression, and transparently labeled ML scores as synthetic-trained supporting signals that cannot override deterministic risk floors.</w:t>
            </w:r>
          </w:p>
        </w:tc>
        <w:tc>
          <w:tcPr>
            <w:tcW w:type="dxa" w:w="1728"/>
            <w:tcMar>
              <w:top w:w="70" w:type="dxa"/>
              <w:bottom w:w="70" w:type="dxa"/>
              <w:left w:w="80" w:type="dxa"/>
              <w:right w:w="80" w:type="dxa"/>
            </w:tcMar>
          </w:tcPr>
          <w:p>
            <w:pPr>
              <w:spacing w:before="0" w:after="0"/>
              <w:jc w:val="left"/>
            </w:pPr>
            <w:r>
              <w:rPr>
                <w:rFonts w:ascii="Calibri" w:hAnsi="Calibri"/>
                <w:b w:val="0"/>
                <w:color w:val="212529"/>
                <w:sz w:val="17"/>
              </w:rPr>
              <w:t>Scikit-learn, TF-IDF Vectorization, Gradient Boosting, Isotonic Calibration</w:t>
            </w:r>
          </w:p>
        </w:tc>
        <w:tc>
          <w:tcPr>
            <w:tcW w:type="dxa" w:w="1872"/>
            <w:tcMar>
              <w:top w:w="70" w:type="dxa"/>
              <w:bottom w:w="70" w:type="dxa"/>
              <w:left w:w="80" w:type="dxa"/>
              <w:right w:w="80" w:type="dxa"/>
            </w:tcMar>
          </w:tcPr>
          <w:p>
            <w:pPr>
              <w:spacing w:before="0" w:after="0"/>
              <w:jc w:val="left"/>
            </w:pPr>
            <w:r>
              <w:rPr>
                <w:rFonts w:ascii="Calibri" w:hAnsi="Calibri"/>
                <w:b w:val="0"/>
                <w:color w:val="212529"/>
                <w:sz w:val="17"/>
              </w:rPr>
              <w:t>model_training.py, artifacts/, app.py (Commits 0969ed9, dfbc1db; tests/test_ml_honesty.py 14 passed)</w:t>
            </w:r>
          </w:p>
        </w:tc>
      </w:tr>
      <w:tr>
        <w:trPr>
          <w:cantSplit/>
        </w:trPr>
        <w:tc>
          <w:tcPr>
            <w:tcW w:type="dxa" w:w="576"/>
            <w:tcMar>
              <w:top w:w="70" w:type="dxa"/>
              <w:bottom w:w="70" w:type="dxa"/>
              <w:left w:w="80" w:type="dxa"/>
              <w:right w:w="80" w:type="dxa"/>
            </w:tcMar>
          </w:tcPr>
          <w:p>
            <w:pPr>
              <w:spacing w:before="0" w:after="0"/>
              <w:jc w:val="center"/>
            </w:pPr>
            <w:r>
              <w:rPr>
                <w:rFonts w:ascii="Calibri" w:hAnsi="Calibri"/>
                <w:b/>
                <w:color w:val="212529"/>
                <w:sz w:val="17"/>
              </w:rPr>
              <w:t>8</w:t>
            </w:r>
          </w:p>
        </w:tc>
        <w:tc>
          <w:tcPr>
            <w:tcW w:type="dxa" w:w="2160"/>
            <w:tcMar>
              <w:top w:w="70" w:type="dxa"/>
              <w:bottom w:w="70" w:type="dxa"/>
              <w:left w:w="80" w:type="dxa"/>
              <w:right w:w="80" w:type="dxa"/>
            </w:tcMar>
          </w:tcPr>
          <w:p>
            <w:pPr>
              <w:spacing w:before="0" w:after="0"/>
              <w:jc w:val="left"/>
            </w:pPr>
            <w:r>
              <w:rPr>
                <w:rFonts w:ascii="Calibri" w:hAnsi="Calibri"/>
                <w:b/>
                <w:color w:val="212529"/>
                <w:sz w:val="17"/>
              </w:rPr>
              <w:t>Domain Taxonomy &amp; Bare-City Geo Normalization</w:t>
            </w:r>
          </w:p>
        </w:tc>
        <w:tc>
          <w:tcPr>
            <w:tcW w:type="dxa" w:w="3744"/>
            <w:tcMar>
              <w:top w:w="70" w:type="dxa"/>
              <w:bottom w:w="70" w:type="dxa"/>
              <w:left w:w="80" w:type="dxa"/>
              <w:right w:w="80" w:type="dxa"/>
            </w:tcMar>
          </w:tcPr>
          <w:p>
            <w:pPr>
              <w:spacing w:before="0" w:after="0"/>
              <w:jc w:val="left"/>
            </w:pPr>
            <w:r>
              <w:rPr>
                <w:rFonts w:ascii="Calibri" w:hAnsi="Calibri"/>
                <w:b w:val="0"/>
                <w:color w:val="212529"/>
                <w:sz w:val="17"/>
              </w:rPr>
              <w:t>Created an 18-domain, 100+ role keyword taxonomy with boundary-aware regex patterns. Built a geographic normalizer parsing continents, countries, and an 80+ bare-city lookup table (e.g. "London" -&gt; UK, "Bangalore" -&gt; India) with automated database migration backfilling.</w:t>
            </w:r>
          </w:p>
        </w:tc>
        <w:tc>
          <w:tcPr>
            <w:tcW w:type="dxa" w:w="1728"/>
            <w:tcMar>
              <w:top w:w="70" w:type="dxa"/>
              <w:bottom w:w="70" w:type="dxa"/>
              <w:left w:w="80" w:type="dxa"/>
              <w:right w:w="80" w:type="dxa"/>
            </w:tcMar>
          </w:tcPr>
          <w:p>
            <w:pPr>
              <w:spacing w:before="0" w:after="0"/>
              <w:jc w:val="left"/>
            </w:pPr>
            <w:r>
              <w:rPr>
                <w:rFonts w:ascii="Calibri" w:hAnsi="Calibri"/>
                <w:b w:val="0"/>
                <w:color w:val="212529"/>
                <w:sz w:val="17"/>
              </w:rPr>
              <w:t>Regex Pattern Matching, Lexical Mapping, Entity Resolution, Geographic Normalization</w:t>
            </w:r>
          </w:p>
        </w:tc>
        <w:tc>
          <w:tcPr>
            <w:tcW w:type="dxa" w:w="1872"/>
            <w:tcMar>
              <w:top w:w="70" w:type="dxa"/>
              <w:bottom w:w="70" w:type="dxa"/>
              <w:left w:w="80" w:type="dxa"/>
              <w:right w:w="80" w:type="dxa"/>
            </w:tcMar>
          </w:tcPr>
          <w:p>
            <w:pPr>
              <w:spacing w:before="0" w:after="0"/>
              <w:jc w:val="left"/>
            </w:pPr>
            <w:r>
              <w:rPr>
                <w:rFonts w:ascii="Calibri" w:hAnsi="Calibri"/>
                <w:b w:val="0"/>
                <w:color w:val="212529"/>
                <w:sz w:val="17"/>
              </w:rPr>
              <w:t>taxonomy.py, location.py (Commits 34238f1, fba3fd1, 2366f41, 90e2e8e; 25 location/taxonomy tests passed)</w:t>
            </w:r>
          </w:p>
        </w:tc>
      </w:tr>
      <w:tr>
        <w:trPr>
          <w:cantSplit/>
        </w:trPr>
        <w:tc>
          <w:tcPr>
            <w:tcW w:type="dxa" w:w="576"/>
            <w:tcMar>
              <w:top w:w="70" w:type="dxa"/>
              <w:bottom w:w="70" w:type="dxa"/>
              <w:left w:w="80" w:type="dxa"/>
              <w:right w:w="80" w:type="dxa"/>
            </w:tcMar>
          </w:tcPr>
          <w:p>
            <w:pPr>
              <w:spacing w:before="0" w:after="0"/>
              <w:jc w:val="center"/>
            </w:pPr>
            <w:r>
              <w:rPr>
                <w:rFonts w:ascii="Calibri" w:hAnsi="Calibri"/>
                <w:b/>
                <w:color w:val="212529"/>
                <w:sz w:val="17"/>
              </w:rPr>
              <w:t>9</w:t>
            </w:r>
          </w:p>
        </w:tc>
        <w:tc>
          <w:tcPr>
            <w:tcW w:type="dxa" w:w="2160"/>
            <w:tcMar>
              <w:top w:w="70" w:type="dxa"/>
              <w:bottom w:w="70" w:type="dxa"/>
              <w:left w:w="80" w:type="dxa"/>
              <w:right w:w="80" w:type="dxa"/>
            </w:tcMar>
          </w:tcPr>
          <w:p>
            <w:pPr>
              <w:spacing w:before="0" w:after="0"/>
              <w:jc w:val="left"/>
            </w:pPr>
            <w:r>
              <w:rPr>
                <w:rFonts w:ascii="Calibri" w:hAnsi="Calibri"/>
                <w:b/>
                <w:color w:val="212529"/>
                <w:sz w:val="17"/>
              </w:rPr>
              <w:t>Resume / CV Career Relevance Matcher</w:t>
            </w:r>
          </w:p>
        </w:tc>
        <w:tc>
          <w:tcPr>
            <w:tcW w:type="dxa" w:w="3744"/>
            <w:tcMar>
              <w:top w:w="70" w:type="dxa"/>
              <w:bottom w:w="70" w:type="dxa"/>
              <w:left w:w="80" w:type="dxa"/>
              <w:right w:w="80" w:type="dxa"/>
            </w:tcMar>
          </w:tcPr>
          <w:p>
            <w:pPr>
              <w:spacing w:before="0" w:after="0"/>
              <w:jc w:val="left"/>
            </w:pPr>
            <w:r>
              <w:rPr>
                <w:rFonts w:ascii="Calibri" w:hAnsi="Calibri"/>
                <w:b w:val="0"/>
                <w:color w:val="212529"/>
                <w:sz w:val="17"/>
              </w:rPr>
              <w:t>Developed a candidate CV relevance matching engine utilizing TF-IDF n-gram vectorization and cosine similarity to rank ingested postings against candidate resumes. Explicitly isolated CV matching from risk scoring to prevent career relevance from biasing fraud detection.</w:t>
            </w:r>
          </w:p>
        </w:tc>
        <w:tc>
          <w:tcPr>
            <w:tcW w:type="dxa" w:w="1728"/>
            <w:tcMar>
              <w:top w:w="70" w:type="dxa"/>
              <w:bottom w:w="70" w:type="dxa"/>
              <w:left w:w="80" w:type="dxa"/>
              <w:right w:w="80" w:type="dxa"/>
            </w:tcMar>
          </w:tcPr>
          <w:p>
            <w:pPr>
              <w:spacing w:before="0" w:after="0"/>
              <w:jc w:val="left"/>
            </w:pPr>
            <w:r>
              <w:rPr>
                <w:rFonts w:ascii="Calibri" w:hAnsi="Calibri"/>
                <w:b w:val="0"/>
                <w:color w:val="212529"/>
                <w:sz w:val="17"/>
              </w:rPr>
              <w:t>NLP, TF-IDF Cosine Similarity, Resume Feature Extraction, Vector Space Model</w:t>
            </w:r>
          </w:p>
        </w:tc>
        <w:tc>
          <w:tcPr>
            <w:tcW w:type="dxa" w:w="1872"/>
            <w:tcMar>
              <w:top w:w="70" w:type="dxa"/>
              <w:bottom w:w="70" w:type="dxa"/>
              <w:left w:w="80" w:type="dxa"/>
              <w:right w:w="80" w:type="dxa"/>
            </w:tcMar>
          </w:tcPr>
          <w:p>
            <w:pPr>
              <w:spacing w:before="0" w:after="0"/>
              <w:jc w:val="left"/>
            </w:pPr>
            <w:r>
              <w:rPr>
                <w:rFonts w:ascii="Calibri" w:hAnsi="Calibri"/>
                <w:b w:val="0"/>
                <w:color w:val="212529"/>
                <w:sz w:val="17"/>
              </w:rPr>
              <w:t>cv_matcher.py, cv_utils.py (Commits cf8f90a, 65e6473; tests/test_cv_matcher.py 10 passed, test_cv_api.py 8 passed)</w:t>
            </w:r>
          </w:p>
        </w:tc>
      </w:tr>
      <w:tr>
        <w:trPr>
          <w:cantSplit/>
        </w:trPr>
        <w:tc>
          <w:tcPr>
            <w:tcW w:type="dxa" w:w="576"/>
            <w:tcMar>
              <w:top w:w="70" w:type="dxa"/>
              <w:bottom w:w="70" w:type="dxa"/>
              <w:left w:w="80" w:type="dxa"/>
              <w:right w:w="80" w:type="dxa"/>
            </w:tcMar>
          </w:tcPr>
          <w:p>
            <w:pPr>
              <w:spacing w:before="0" w:after="0"/>
              <w:jc w:val="center"/>
            </w:pPr>
            <w:r>
              <w:rPr>
                <w:rFonts w:ascii="Calibri" w:hAnsi="Calibri"/>
                <w:b/>
                <w:color w:val="212529"/>
                <w:sz w:val="17"/>
              </w:rPr>
              <w:t>10</w:t>
            </w:r>
          </w:p>
        </w:tc>
        <w:tc>
          <w:tcPr>
            <w:tcW w:type="dxa" w:w="2160"/>
            <w:tcMar>
              <w:top w:w="70" w:type="dxa"/>
              <w:bottom w:w="70" w:type="dxa"/>
              <w:left w:w="80" w:type="dxa"/>
              <w:right w:w="80" w:type="dxa"/>
            </w:tcMar>
          </w:tcPr>
          <w:p>
            <w:pPr>
              <w:spacing w:before="0" w:after="0"/>
              <w:jc w:val="left"/>
            </w:pPr>
            <w:r>
              <w:rPr>
                <w:rFonts w:ascii="Calibri" w:hAnsi="Calibri"/>
                <w:b/>
                <w:color w:val="212529"/>
                <w:sz w:val="17"/>
              </w:rPr>
              <w:t>Automated Testing, CI/CD &amp; Deployment</w:t>
            </w:r>
          </w:p>
        </w:tc>
        <w:tc>
          <w:tcPr>
            <w:tcW w:type="dxa" w:w="3744"/>
            <w:tcMar>
              <w:top w:w="70" w:type="dxa"/>
              <w:bottom w:w="70" w:type="dxa"/>
              <w:left w:w="80" w:type="dxa"/>
              <w:right w:w="80" w:type="dxa"/>
            </w:tcMar>
          </w:tcPr>
          <w:p>
            <w:pPr>
              <w:spacing w:before="0" w:after="0"/>
              <w:jc w:val="left"/>
            </w:pPr>
            <w:r>
              <w:rPr>
                <w:rFonts w:ascii="Calibri" w:hAnsi="Calibri"/>
                <w:b w:val="0"/>
                <w:color w:val="212529"/>
                <w:sz w:val="17"/>
              </w:rPr>
              <w:t>Engineered the comprehensive 403-test automated quality assurance suite (unit, integration, hostile fuzzing, and security tests). Built the GitHub Actions CI workflow spinning up ephemeral PostgreSQL containers for storage parity and configured Docker runtime packaging for Render cloud deployment.</w:t>
            </w:r>
          </w:p>
        </w:tc>
        <w:tc>
          <w:tcPr>
            <w:tcW w:type="dxa" w:w="1728"/>
            <w:tcMar>
              <w:top w:w="70" w:type="dxa"/>
              <w:bottom w:w="70" w:type="dxa"/>
              <w:left w:w="80" w:type="dxa"/>
              <w:right w:w="80" w:type="dxa"/>
            </w:tcMar>
          </w:tcPr>
          <w:p>
            <w:pPr>
              <w:spacing w:before="0" w:after="0"/>
              <w:jc w:val="left"/>
            </w:pPr>
            <w:r>
              <w:rPr>
                <w:rFonts w:ascii="Calibri" w:hAnsi="Calibri"/>
                <w:b w:val="0"/>
                <w:color w:val="212529"/>
                <w:sz w:val="17"/>
              </w:rPr>
              <w:t>Pytest, GitHub Actions, Docker, Render Cloud PaaS, Continuous Integration</w:t>
            </w:r>
          </w:p>
        </w:tc>
        <w:tc>
          <w:tcPr>
            <w:tcW w:type="dxa" w:w="1872"/>
            <w:tcMar>
              <w:top w:w="70" w:type="dxa"/>
              <w:bottom w:w="70" w:type="dxa"/>
              <w:left w:w="80" w:type="dxa"/>
              <w:right w:w="80" w:type="dxa"/>
            </w:tcMar>
          </w:tcPr>
          <w:p>
            <w:pPr>
              <w:spacing w:before="0" w:after="0"/>
              <w:jc w:val="left"/>
            </w:pPr>
            <w:r>
              <w:rPr>
                <w:rFonts w:ascii="Calibri" w:hAnsi="Calibri"/>
                <w:b w:val="0"/>
                <w:color w:val="212529"/>
                <w:sz w:val="17"/>
              </w:rPr>
              <w:t>fakejob_app/tests/*, .github/workflows/ci.yml, Dockerfile (Commits fe0abfd, 0c191b8, f5a7156; 403 tests passed in 18.89s)</w:t>
            </w:r>
          </w:p>
        </w:tc>
      </w:tr>
    </w:tbl>
    <w:p>
      <w:pPr>
        <w:spacing w:after="80"/>
      </w:pPr>
    </w:p>
    <w:p>
      <w:pPr>
        <w:spacing w:before="120" w:after="40"/>
      </w:pPr>
      <w:r>
        <w:rPr>
          <w:rFonts w:ascii="Calibri" w:hAnsi="Calibri"/>
          <w:b/>
          <w:color w:val="0F2240"/>
          <w:sz w:val="22"/>
        </w:rPr>
        <w:t>Summary of Tools, Frameworks &amp; AI Techniques Used</w:t>
      </w:r>
    </w:p>
    <w:p>
      <w:pPr>
        <w:spacing w:before="0" w:after="160"/>
      </w:pPr>
      <w:r>
        <w:rPr>
          <w:rFonts w:ascii="Calibri" w:hAnsi="Calibri"/>
          <w:color w:val="212529"/>
          <w:sz w:val="18"/>
        </w:rPr>
        <w:t>• Programming &amp; Frameworks: Python 3.11+, Flask 3.0, Flask-Limiter, Jinja2, Requests, Threading.</w:t>
        <w:br/>
        <w:t>• Artificial Intelligence &amp; NLP: Scikit-learn (GradientBoosting, TF-IDF Vectorizer, Cosine Similarity), Rule-based Expert Systems, Probability Calibration, Deterministic Regex Decision Trees.</w:t>
        <w:br/>
        <w:t>• Database &amp; Persistence: SQLite3, PostgreSQL (psycopg3), Database Schema Migrations, Repository Design Pattern.</w:t>
        <w:br/>
        <w:t>• Quality Assurance &amp; Security: Pytest (403 tests), GitHub Actions CI/CD, Pyflakes, API Token Authentication, CSP/OWASP Security Headers.</w:t>
        <w:br/>
        <w:t>• Deployment &amp; Infrastructure: Docker, Render Cloud PaaS, Tesseract OCR, Poppler Utilities, pdfplumber.</w:t>
      </w:r>
    </w:p>
    <w:p>
      <w:pPr>
        <w:spacing w:before="120" w:after="40"/>
      </w:pPr>
      <w:r>
        <w:rPr>
          <w:rFonts w:ascii="Calibri" w:hAnsi="Calibri"/>
          <w:b/>
          <w:color w:val="0F2240"/>
          <w:sz w:val="22"/>
        </w:rPr>
        <w:t>Declaration</w:t>
      </w:r>
    </w:p>
    <w:p>
      <w:pPr>
        <w:spacing w:before="0" w:after="120" w:line="276" w:lineRule="auto"/>
      </w:pPr>
      <w:r>
        <w:rPr>
          <w:rFonts w:ascii="Calibri" w:hAnsi="Calibri"/>
          <w:i/>
          <w:color w:val="212529"/>
          <w:sz w:val="19"/>
        </w:rPr>
        <w:t>I confirm that the technical contributions, architectural designs, implementations, and test suites detailed above accurately and truthfully represent my individual work in Group 44 for the Scam Sentry project. I am prepared to demonstrate, defend, and explain all associated source code, algorithms, and technical artifacts during oral examination.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tcMar>
              <w:top w:w="80" w:type="dxa"/>
              <w:bottom w:w="80" w:type="dxa"/>
              <w:left w:w="80" w:type="dxa"/>
              <w:right w:w="80" w:type="dxa"/>
            </w:tcMar>
            <w:shd w:fill="F8F9FA"/>
          </w:tcPr>
          <w:p>
            <w:pPr>
              <w:spacing w:before="0" w:after="0"/>
              <w:jc w:val="left"/>
            </w:pPr>
            <w:r>
              <w:rPr>
                <w:rFonts w:ascii="Calibri" w:hAnsi="Calibri"/>
                <w:b/>
                <w:color w:val="212529"/>
                <w:sz w:val="19"/>
              </w:rPr>
              <w:t>Student Signature:</w:t>
            </w:r>
          </w:p>
        </w:tc>
        <w:tc>
          <w:tcPr>
            <w:tcW w:type="dxa" w:w="3168"/>
            <w:tcMar>
              <w:top w:w="80" w:type="dxa"/>
              <w:bottom w:w="80" w:type="dxa"/>
              <w:left w:w="80" w:type="dxa"/>
              <w:right w:w="80" w:type="dxa"/>
            </w:tcMar>
            <w:shd w:fill="FFFFFF"/>
          </w:tcPr>
          <w:p>
            <w:pPr>
              <w:spacing w:before="0" w:after="0"/>
              <w:jc w:val="left"/>
            </w:pPr>
            <w:r>
              <w:rPr>
                <w:rFonts w:ascii="Calibri" w:hAnsi="Calibri"/>
                <w:b w:val="0"/>
                <w:color w:val="212529"/>
                <w:sz w:val="19"/>
              </w:rPr>
              <w:t>_____________________________</w:t>
            </w:r>
          </w:p>
        </w:tc>
        <w:tc>
          <w:tcPr>
            <w:tcW w:type="dxa" w:w="2160"/>
            <w:tcMar>
              <w:top w:w="80" w:type="dxa"/>
              <w:bottom w:w="80" w:type="dxa"/>
              <w:left w:w="80" w:type="dxa"/>
              <w:right w:w="80" w:type="dxa"/>
            </w:tcMar>
            <w:shd w:fill="F8F9FA"/>
          </w:tcPr>
          <w:p>
            <w:pPr>
              <w:spacing w:before="0" w:after="0"/>
              <w:jc w:val="left"/>
            </w:pPr>
            <w:r>
              <w:rPr>
                <w:rFonts w:ascii="Calibri" w:hAnsi="Calibri"/>
                <w:b/>
                <w:color w:val="212529"/>
                <w:sz w:val="19"/>
              </w:rPr>
              <w:t>Submission Date:</w:t>
            </w:r>
          </w:p>
        </w:tc>
        <w:tc>
          <w:tcPr>
            <w:tcW w:type="dxa" w:w="2592"/>
            <w:tcMar>
              <w:top w:w="80" w:type="dxa"/>
              <w:bottom w:w="80" w:type="dxa"/>
              <w:left w:w="80" w:type="dxa"/>
              <w:right w:w="80" w:type="dxa"/>
            </w:tcMar>
            <w:shd w:fill="FFFFFF"/>
          </w:tcPr>
          <w:p>
            <w:pPr>
              <w:spacing w:before="0" w:after="0"/>
              <w:jc w:val="left"/>
            </w:pPr>
            <w:r>
              <w:rPr>
                <w:rFonts w:ascii="Calibri" w:hAnsi="Calibri"/>
                <w:b w:val="0"/>
                <w:color w:val="212529"/>
                <w:sz w:val="19"/>
              </w:rPr>
              <w:t>___ / ___ / 2026</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