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eart-rate-time-series-forecasting"/>
    <w:p>
      <w:pPr>
        <w:pStyle w:val="Heading1"/>
      </w:pPr>
      <w:r>
        <w:t xml:space="preserve">Heart Rate Time Series Forecasting</w:t>
      </w:r>
    </w:p>
    <w:p>
      <w:pPr>
        <w:pStyle w:val="FirstParagraph"/>
      </w:pPr>
      <w:r>
        <w:t xml:space="preserve">Predicting future heart rate from continuous sensor data supports early detection of cardiac anomalies. This post outlines my approach to forecasting the next 20 minutes of Lifetouch Heart Rate.</w:t>
      </w:r>
    </w:p>
    <w:bookmarkStart w:id="9" w:name="data-cleaning"/>
    <w:p>
      <w:pPr>
        <w:pStyle w:val="Heading3"/>
      </w:pPr>
      <w:r>
        <w:t xml:space="preserve">1. Data Cleaning</w:t>
      </w:r>
    </w:p>
    <w:p>
      <w:pPr>
        <w:pStyle w:val="FirstParagraph"/>
      </w:pPr>
      <w:r>
        <w:t xml:space="preserve">The dataset contained 226 minute-by-minute observations. Eight sensor-error readings (~61,441 bpm) were identified. I replaced them using a</w:t>
      </w:r>
      <w:r>
        <w:t xml:space="preserve"> </w:t>
      </w:r>
      <w:r>
        <w:rPr>
          <w:b/>
          <w:bCs/>
        </w:rPr>
        <w:t xml:space="preserve">rolling median</w:t>
      </w:r>
      <w:r>
        <w:t xml:space="preserve"> </w:t>
      </w:r>
      <w:r>
        <w:t xml:space="preserve">(window=5) to reduce the impact of isolated spikes, then applied forward- and backward-fill to handle any remaining gaps. The cleaned series ranged from 106 to 172 bpm.</w:t>
      </w:r>
    </w:p>
    <w:bookmarkEnd w:id="9"/>
    <w:bookmarkStart w:id="10" w:name="stationarity-and-validation"/>
    <w:p>
      <w:pPr>
        <w:pStyle w:val="Heading3"/>
      </w:pPr>
      <w:r>
        <w:t xml:space="preserve">2. Stationarity and Validation</w:t>
      </w:r>
    </w:p>
    <w:p>
      <w:pPr>
        <w:pStyle w:val="FirstParagraph"/>
      </w:pPr>
      <w:r>
        <w:t xml:space="preserve">An Augmented Dickey-Fuller test indicated non-stationarity, supporting the use of differencing. I held out the last</w:t>
      </w:r>
      <w:r>
        <w:t xml:space="preserve"> </w:t>
      </w:r>
      <w:r>
        <w:rPr>
          <w:b/>
          <w:bCs/>
        </w:rPr>
        <w:t xml:space="preserve">25</w:t>
      </w:r>
      <w:r>
        <w:t xml:space="preserve"> </w:t>
      </w:r>
      <w:r>
        <w:t xml:space="preserve">observations for validation to approximate the 20-step forecast horizon.</w:t>
      </w:r>
    </w:p>
    <w:bookmarkEnd w:id="10"/>
    <w:bookmarkStart w:id="11" w:name="model-comparison"/>
    <w:p>
      <w:pPr>
        <w:pStyle w:val="Heading3"/>
      </w:pPr>
      <w:r>
        <w:t xml:space="preserve">3. Model Comparison</w:t>
      </w:r>
    </w:p>
    <w:p>
      <w:pPr>
        <w:pStyle w:val="FirstParagraph"/>
      </w:pPr>
      <w:r>
        <w:t xml:space="preserve">Three models were evaluated: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ARIMA(0,1,0) Random Walk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Holt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ARIMA(2,1,0)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6.91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Random Walk</w:t>
      </w:r>
      <w:r>
        <w:t xml:space="preserve"> </w:t>
      </w:r>
      <w:r>
        <w:t xml:space="preserve">(ARIMA(0,1,0)) achieved the lowest MAE. Its simplicity—differencing only, no autoregressive or moving-average terms—suited the relatively stable post-cleaning series. Holt and ARIMA(2,1,0) added complexity without improving validation error.</w:t>
      </w:r>
    </w:p>
    <w:bookmarkEnd w:id="11"/>
    <w:bookmarkStart w:id="16" w:name="final-forecast"/>
    <w:p>
      <w:pPr>
        <w:pStyle w:val="Heading3"/>
      </w:pPr>
      <w:r>
        <w:t xml:space="preserve">4. Final Forecast</w:t>
      </w:r>
    </w:p>
    <w:p>
      <w:pPr>
        <w:pStyle w:val="FirstParagraph"/>
      </w:pPr>
      <w:r>
        <w:t xml:space="preserve">The Random Walk was retrained on the full 226 observations and used to produce 20-step forecasts. The predictions stabilise around 138 bpm, consistent with the tail of the cleaned series.</w:t>
      </w:r>
    </w:p>
    <w:p>
      <w:pPr>
        <w:pStyle w:val="BodyText"/>
      </w:pPr>
      <w:hyperlink r:id="rId12">
        <w:r>
          <w:rPr>
            <w:rStyle w:val="Hyperlink"/>
          </w:rPr>
          <w:t xml:space="preserve">Code Notebook</w:t>
        </w:r>
      </w:hyperlink>
    </w:p>
    <w:p>
      <w:pPr>
        <w:pStyle w:val="CaptionedFigure"/>
      </w:pPr>
      <w:r>
        <w:drawing>
          <wp:inline>
            <wp:extent cx="5334000" cy="1697181"/>
            <wp:effectExtent b="0" l="0" r="0" t="0"/>
            <wp:docPr descr="Validation Forecasts" title="" id="14" name="Picture"/>
            <a:graphic>
              <a:graphicData uri="http://schemas.openxmlformats.org/drawingml/2006/picture">
                <pic:pic>
                  <pic:nvPicPr>
                    <pic:cNvPr descr="/Users/cops/MY/Freelance/Ashish/AI/TimeSeries/ts_forecast_v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Forecasts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2" Target="https://colab.research.google.com/drive/PLACEHOLDER_TS_S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olab.research.google.com/drive/PLACEHOLDER_TS_S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2026-03-04T09:09:18Z</dcterms:created>
  <dcterms:modified xsi:type="dcterms:W3CDTF">2026-03-04T09:09:18Z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