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at-vs-dog-classification-with-vgg16"/>
    <w:p>
      <w:pPr>
        <w:pStyle w:val="Heading1"/>
      </w:pPr>
      <w:r>
        <w:t xml:space="preserve">Cat vs Dog Classification with VGG16</w:t>
      </w:r>
    </w:p>
    <w:p>
      <w:pPr>
        <w:pStyle w:val="FirstParagraph"/>
      </w:pPr>
      <w:r>
        <w:t xml:space="preserve">This post describes my approach to binary image classification on a balanced dataset of 10,000 cat and dog images.</w:t>
      </w:r>
    </w:p>
    <w:bookmarkStart w:id="9" w:name="data-and-baseline"/>
    <w:p>
      <w:pPr>
        <w:pStyle w:val="Heading3"/>
      </w:pPr>
      <w:r>
        <w:t xml:space="preserve">1. Data and Baseline</w:t>
      </w:r>
    </w:p>
    <w:p>
      <w:pPr>
        <w:pStyle w:val="FirstParagraph"/>
      </w:pPr>
      <w:r>
        <w:t xml:space="preserve">The training set was split 70/30 (</w:t>
      </w:r>
      <w:r>
        <w:rPr>
          <w:rStyle w:val="VerbatimChar"/>
        </w:rPr>
        <w:t xml:space="preserve">random_state=100</w:t>
      </w:r>
      <w:r>
        <w:t xml:space="preserve">). I first built a classical baseline:</w:t>
      </w:r>
      <w:r>
        <w:t xml:space="preserve"> </w:t>
      </w:r>
      <w:r>
        <w:rPr>
          <w:b/>
          <w:bCs/>
        </w:rPr>
        <w:t xml:space="preserve">K-Nearest Neighbours</w:t>
      </w:r>
      <w:r>
        <w:t xml:space="preserve"> </w:t>
      </w:r>
      <w:r>
        <w:t xml:space="preserve">(k=7, distance weighting) on</w:t>
      </w:r>
      <w:r>
        <w:t xml:space="preserve"> </w:t>
      </w:r>
      <w:r>
        <w:rPr>
          <w:b/>
          <w:bCs/>
        </w:rPr>
        <w:t xml:space="preserve">HSV colour histograms</w:t>
      </w:r>
      <w:r>
        <w:t xml:space="preserve"> </w:t>
      </w:r>
      <w:r>
        <w:t xml:space="preserve">(32 bins per channel, 96 features). Colour histograms are fast to compute but lack spatial structure, yielding 58.4% validation accuracy.</w:t>
      </w:r>
    </w:p>
    <w:bookmarkEnd w:id="9"/>
    <w:bookmarkStart w:id="10" w:name="transfer-learning-with-vgg16"/>
    <w:p>
      <w:pPr>
        <w:pStyle w:val="Heading3"/>
      </w:pPr>
      <w:r>
        <w:t xml:space="preserve">2. Transfer Learning with VGG16</w:t>
      </w:r>
    </w:p>
    <w:p>
      <w:pPr>
        <w:pStyle w:val="FirstParagraph"/>
      </w:pPr>
      <w:r>
        <w:t xml:space="preserve">I used</w:t>
      </w:r>
      <w:r>
        <w:t xml:space="preserve"> </w:t>
      </w:r>
      <w:r>
        <w:rPr>
          <w:b/>
          <w:bCs/>
        </w:rPr>
        <w:t xml:space="preserve">VGG16</w:t>
      </w:r>
      <w:r>
        <w:t xml:space="preserve"> </w:t>
      </w:r>
      <w:r>
        <w:t xml:space="preserve">pretrained on ImageNet, freezing the convolutional base and training only a classification head (GlobalAveragePooling, 40% Dropout, Sigmoid). Images were resized to 224x224. Augmentation included brightness variation (0.8–1.2) and horizontal flipping. EarlyStopping (patience 3) prevented overfitting.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 + colour histograms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VGG16 (transfer)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~94%</w:t>
            </w:r>
          </w:p>
        </w:tc>
      </w:tr>
    </w:tbl>
    <w:bookmarkEnd w:id="10"/>
    <w:bookmarkStart w:id="12" w:name="conclusion"/>
    <w:p>
      <w:pPr>
        <w:pStyle w:val="Heading3"/>
      </w:pPr>
      <w:r>
        <w:t xml:space="preserve">3. Conclusion</w:t>
      </w:r>
    </w:p>
    <w:p>
      <w:pPr>
        <w:pStyle w:val="FirstParagraph"/>
      </w:pPr>
      <w:r>
        <w:t xml:space="preserve">VGG16’s hierarchical convolutional features transferred effectively to the cat–dog task, outperforming the KNN baseline by over 34 percentage points. The frozen-base strategy kept training efficient while the Dropout layer regularised the small head. VGG16 was selected for the final 1,000 test predictions.</w:t>
      </w:r>
    </w:p>
    <w:p>
      <w:pPr>
        <w:pStyle w:val="BodyText"/>
      </w:pPr>
      <w:hyperlink r:id="rId11">
        <w:r>
          <w:rPr>
            <w:rStyle w:val="Hyperlink"/>
          </w:rPr>
          <w:t xml:space="preserve">Code Notebook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Confusion Matrix</w:t>
            </w:r>
          </w:p>
        </w:tc>
      </w:tr>
    </w:tbl>
    <w:p>
      <w:pPr>
        <w:pStyle w:val="ImageCaption"/>
      </w:pPr>
      <w:r>
        <w:t xml:space="preserve">Confusion Matrix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olab.research.google.com/drive/PLACEHOLDER_CV_S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olab.research.google.com/drive/PLACEHOLDER_CV_S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2026-03-04T09:09:18Z</dcterms:created>
  <dcterms:modified xsi:type="dcterms:W3CDTF">2026-03-04T09:09:18Z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