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80AAF" w14:textId="77777777" w:rsidR="004F4B8D" w:rsidRPr="004F4B8D" w:rsidRDefault="004F4B8D" w:rsidP="004F4B8D">
      <w:pPr>
        <w:rPr>
          <w:b/>
          <w:bCs/>
        </w:rPr>
      </w:pPr>
      <w:r w:rsidRPr="004F4B8D">
        <w:rPr>
          <w:b/>
          <w:bCs/>
        </w:rPr>
        <w:t>Project Documentation: Smoking Health Risk Analysis</w:t>
      </w:r>
    </w:p>
    <w:p w14:paraId="609EA9F3" w14:textId="77777777" w:rsidR="004F4B8D" w:rsidRDefault="004F4B8D" w:rsidP="004F4B8D"/>
    <w:p w14:paraId="41EAA8F7" w14:textId="77777777" w:rsidR="004F4B8D" w:rsidRDefault="004F4B8D" w:rsidP="004F4B8D">
      <w:r>
        <w:t xml:space="preserve">Subtitle: </w:t>
      </w:r>
      <w:proofErr w:type="gramStart"/>
      <w:r>
        <w:t>How</w:t>
      </w:r>
      <w:proofErr w:type="gramEnd"/>
      <w:r>
        <w:t xml:space="preserve"> Smoking Damages Organs and Fuels Cancer: A Data-Driven Approach</w:t>
      </w:r>
    </w:p>
    <w:p w14:paraId="6260F5D4" w14:textId="5D454427" w:rsidR="004F4B8D" w:rsidRDefault="004F4B8D" w:rsidP="004F4B8D"/>
    <w:p w14:paraId="3CC3A7A6" w14:textId="77777777" w:rsidR="004F4B8D" w:rsidRDefault="004F4B8D" w:rsidP="004F4B8D">
      <w:r>
        <w:t>1. Executive Summary</w:t>
      </w:r>
    </w:p>
    <w:p w14:paraId="390358C8" w14:textId="77777777" w:rsidR="004F4B8D" w:rsidRDefault="004F4B8D" w:rsidP="004F4B8D"/>
    <w:p w14:paraId="5071C374" w14:textId="77777777" w:rsidR="004F4B8D" w:rsidRDefault="004F4B8D" w:rsidP="004F4B8D">
      <w:r>
        <w:t>This analytical project provides a comprehensive, data-driven investigation into the devastating systemic effects of smoking on the human body. By leveraging a robust dataset of 30,000 patient records, this project integrates general hospital health records with specialized oncology data.</w:t>
      </w:r>
    </w:p>
    <w:p w14:paraId="376407F7" w14:textId="77777777" w:rsidR="004F4B8D" w:rsidRDefault="004F4B8D" w:rsidP="004F4B8D"/>
    <w:p w14:paraId="13926BDF" w14:textId="77777777" w:rsidR="004F4B8D" w:rsidRDefault="004F4B8D" w:rsidP="004F4B8D">
      <w:r>
        <w:t>Rather than merely reiterating the well-known link between smoking and lung cancer, this dashboard maps the complete "Patient Deterioration Journey". It traces the biological timeline from the initial accumulation of toxins (quantified as Pack-Years), to the degradation of vital cardiovascular and filtration organs (Organ Damage), and finally to the onset of cancer using the epidemiological Multiplicative Risk Model.</w:t>
      </w:r>
    </w:p>
    <w:p w14:paraId="7340F505" w14:textId="77777777" w:rsidR="004F4B8D" w:rsidRDefault="004F4B8D" w:rsidP="004F4B8D"/>
    <w:p w14:paraId="1E04A4B3" w14:textId="77777777" w:rsidR="004F4B8D" w:rsidRDefault="004F4B8D" w:rsidP="004F4B8D">
      <w:r>
        <w:t>2. Dashboard Design &amp; UI/UX Strategy</w:t>
      </w:r>
    </w:p>
    <w:p w14:paraId="332F1F73" w14:textId="77777777" w:rsidR="004F4B8D" w:rsidRDefault="004F4B8D" w:rsidP="004F4B8D"/>
    <w:p w14:paraId="31D65000" w14:textId="77777777" w:rsidR="004F4B8D" w:rsidRDefault="004F4B8D" w:rsidP="004F4B8D">
      <w:r>
        <w:t>The Power BI dashboard was meticulously designed to prioritize clarity, professional medical aesthetics, and intuitive data storytelling.</w:t>
      </w:r>
    </w:p>
    <w:p w14:paraId="05C7E5F2" w14:textId="77777777" w:rsidR="004F4B8D" w:rsidRDefault="004F4B8D" w:rsidP="004F4B8D"/>
    <w:p w14:paraId="60CD3580" w14:textId="77777777" w:rsidR="004F4B8D" w:rsidRDefault="004F4B8D" w:rsidP="004F4B8D">
      <w:r>
        <w:t>Color Palette: A soft, clinical color scheme featuring muted teals, slate grays, and whites was chosen. This reduces visual fatigue and aligns with professional healthcare reporting standards.</w:t>
      </w:r>
    </w:p>
    <w:p w14:paraId="3B8A5F5E" w14:textId="77777777" w:rsidR="004F4B8D" w:rsidRDefault="004F4B8D" w:rsidP="004F4B8D"/>
    <w:p w14:paraId="46797A41" w14:textId="77777777" w:rsidR="004F4B8D" w:rsidRDefault="004F4B8D" w:rsidP="004F4B8D">
      <w:r>
        <w:t>Layout Structure: The dashboard utilizes a central visual anchor (e.g., anatomical illustrations of the human body or specific organs like the heart) surrounded by analytical KPIs and charts. This "Hub and Spoke" layout grounds abstract data in physical reality.</w:t>
      </w:r>
    </w:p>
    <w:p w14:paraId="3D53F90A" w14:textId="77777777" w:rsidR="004F4B8D" w:rsidRDefault="004F4B8D" w:rsidP="004F4B8D"/>
    <w:p w14:paraId="5985BDE9" w14:textId="77777777" w:rsidR="004F4B8D" w:rsidRDefault="004F4B8D" w:rsidP="004F4B8D">
      <w:r>
        <w:lastRenderedPageBreak/>
        <w:t>Interactivity: Slicers (e.g., Organ Condition: Damaged vs. Healthy) are prominently placed at the top right across all pages, allowing users to seamlessly filter the entire narrative based on patient health status.</w:t>
      </w:r>
    </w:p>
    <w:p w14:paraId="7AD38635" w14:textId="77777777" w:rsidR="004F4B8D" w:rsidRDefault="004F4B8D" w:rsidP="004F4B8D"/>
    <w:p w14:paraId="1FD0950B" w14:textId="77777777" w:rsidR="004F4B8D" w:rsidRDefault="004F4B8D" w:rsidP="004F4B8D">
      <w:r>
        <w:t>3. Data Architecture &amp; Methodology</w:t>
      </w:r>
    </w:p>
    <w:p w14:paraId="1FF28F28" w14:textId="77777777" w:rsidR="004F4B8D" w:rsidRDefault="004F4B8D" w:rsidP="004F4B8D"/>
    <w:p w14:paraId="376AA1F0" w14:textId="77777777" w:rsidR="004F4B8D" w:rsidRDefault="004F4B8D" w:rsidP="004F4B8D">
      <w:r>
        <w:t>The project was engineered using advanced Business Intelligence tools (Power Query &amp; Power BI) to merge, clean, and model the data for accurate statistical representation.</w:t>
      </w:r>
    </w:p>
    <w:p w14:paraId="10D334B4" w14:textId="77777777" w:rsidR="004F4B8D" w:rsidRDefault="004F4B8D" w:rsidP="004F4B8D"/>
    <w:p w14:paraId="11999FEE" w14:textId="77777777" w:rsidR="004F4B8D" w:rsidRDefault="004F4B8D" w:rsidP="004F4B8D">
      <w:r>
        <w:t>3.1 Datasets Used</w:t>
      </w:r>
    </w:p>
    <w:p w14:paraId="4D992C53" w14:textId="77777777" w:rsidR="004F4B8D" w:rsidRDefault="004F4B8D" w:rsidP="004F4B8D"/>
    <w:p w14:paraId="08465535" w14:textId="77777777" w:rsidR="004F4B8D" w:rsidRDefault="004F4B8D" w:rsidP="004F4B8D">
      <w:r>
        <w:t>Hospital Data: Contains 30,000 records detailing patient demographics (Age, Gender), vitals (BMI, BP Risk, Cholesterol), daily habits (Cigarettes Per Day, Years of Smoking), and current organ conditions.</w:t>
      </w:r>
    </w:p>
    <w:p w14:paraId="0D3F78B2" w14:textId="77777777" w:rsidR="004F4B8D" w:rsidRDefault="004F4B8D" w:rsidP="004F4B8D"/>
    <w:p w14:paraId="5705FF1B" w14:textId="77777777" w:rsidR="004F4B8D" w:rsidRDefault="004F4B8D" w:rsidP="004F4B8D">
      <w:r>
        <w:t>Oncology Data: Contains final cancer diagnoses (Yes/No) and specific cancer types corresponding to the unique Patient IDs.</w:t>
      </w:r>
    </w:p>
    <w:p w14:paraId="1C18A2BA" w14:textId="77777777" w:rsidR="004F4B8D" w:rsidRDefault="004F4B8D" w:rsidP="004F4B8D"/>
    <w:p w14:paraId="78276CF8" w14:textId="77777777" w:rsidR="004F4B8D" w:rsidRDefault="004F4B8D" w:rsidP="004F4B8D">
      <w:r>
        <w:t>3.2 Data Preparation (Power Query)</w:t>
      </w:r>
    </w:p>
    <w:p w14:paraId="1B8C572A" w14:textId="77777777" w:rsidR="004F4B8D" w:rsidRDefault="004F4B8D" w:rsidP="004F4B8D"/>
    <w:p w14:paraId="71F89D7A" w14:textId="77777777" w:rsidR="004F4B8D" w:rsidRDefault="004F4B8D" w:rsidP="004F4B8D">
      <w:r>
        <w:t xml:space="preserve">Data Merging: Executed an inner join between hospital and cancer datasets using </w:t>
      </w:r>
      <w:proofErr w:type="spellStart"/>
      <w:r>
        <w:t>Patient_ID</w:t>
      </w:r>
      <w:proofErr w:type="spellEnd"/>
      <w:r>
        <w:t xml:space="preserve"> as the primary key.</w:t>
      </w:r>
    </w:p>
    <w:p w14:paraId="69BE4C80" w14:textId="77777777" w:rsidR="004F4B8D" w:rsidRDefault="004F4B8D" w:rsidP="004F4B8D"/>
    <w:p w14:paraId="4489BC04" w14:textId="77777777" w:rsidR="004F4B8D" w:rsidRDefault="004F4B8D" w:rsidP="004F4B8D">
      <w:r>
        <w:t xml:space="preserve">Data Cleansing: Sanitized the data by ensuring that patients categorized with a "Never" </w:t>
      </w:r>
      <w:proofErr w:type="spellStart"/>
      <w:r>
        <w:t>Smoking_Status</w:t>
      </w:r>
      <w:proofErr w:type="spellEnd"/>
      <w:r>
        <w:t xml:space="preserve"> had their </w:t>
      </w:r>
      <w:proofErr w:type="spellStart"/>
      <w:r>
        <w:t>Years_of_Smoking</w:t>
      </w:r>
      <w:proofErr w:type="spellEnd"/>
      <w:r>
        <w:t xml:space="preserve"> and </w:t>
      </w:r>
      <w:proofErr w:type="spellStart"/>
      <w:r>
        <w:t>Cigarettes_Per_Day</w:t>
      </w:r>
      <w:proofErr w:type="spellEnd"/>
      <w:r>
        <w:t xml:space="preserve"> strictly set to 0 to prevent skewed cumulative metrics.</w:t>
      </w:r>
    </w:p>
    <w:p w14:paraId="72FEC668" w14:textId="77777777" w:rsidR="004F4B8D" w:rsidRDefault="004F4B8D" w:rsidP="004F4B8D"/>
    <w:p w14:paraId="330E85A2" w14:textId="77777777" w:rsidR="004F4B8D" w:rsidRDefault="004F4B8D" w:rsidP="004F4B8D">
      <w:r>
        <w:t>4. Feature Engineering &amp; DAX (KPIs)</w:t>
      </w:r>
    </w:p>
    <w:p w14:paraId="4F296973" w14:textId="77777777" w:rsidR="004F4B8D" w:rsidRDefault="004F4B8D" w:rsidP="004F4B8D"/>
    <w:p w14:paraId="02BF3334" w14:textId="77777777" w:rsidR="004F4B8D" w:rsidRDefault="004F4B8D" w:rsidP="004F4B8D">
      <w:r>
        <w:lastRenderedPageBreak/>
        <w:t>To translate raw clinical data into measurable medical insights, custom Key Performance Indicators (KPIs) were engineered using Data Analysis Expressions (DAX):</w:t>
      </w:r>
    </w:p>
    <w:p w14:paraId="7C1BFDDF" w14:textId="77777777" w:rsidR="004F4B8D" w:rsidRDefault="004F4B8D" w:rsidP="004F4B8D"/>
    <w:p w14:paraId="58E745C1" w14:textId="77777777" w:rsidR="004F4B8D" w:rsidRDefault="004F4B8D" w:rsidP="004F4B8D">
      <w:r>
        <w:t>Pack-Years (Cumulative Dose): A calculated column to quantify lifetime tobacco exposure. (Formula: (Cigarettes Per Day / 20) * Years of Smoking)</w:t>
      </w:r>
    </w:p>
    <w:p w14:paraId="3B6BE3B1" w14:textId="77777777" w:rsidR="004F4B8D" w:rsidRDefault="004F4B8D" w:rsidP="004F4B8D"/>
    <w:p w14:paraId="350ACA54" w14:textId="77777777" w:rsidR="004F4B8D" w:rsidRDefault="004F4B8D" w:rsidP="004F4B8D">
      <w:r>
        <w:t>Cancer Rate (%): A dynamic measure calculating the probability of cancer diagnoses across different filtered demographics.</w:t>
      </w:r>
    </w:p>
    <w:p w14:paraId="7A00C7DD" w14:textId="77777777" w:rsidR="004F4B8D" w:rsidRDefault="004F4B8D" w:rsidP="004F4B8D"/>
    <w:p w14:paraId="0B0050D7" w14:textId="77777777" w:rsidR="004F4B8D" w:rsidRDefault="004F4B8D" w:rsidP="004F4B8D">
      <w:r>
        <w:t>Heavy Smokers Classification: A custom KPI identifying patients in the critical high-risk threshold (Patients with &gt;= 20 cigarettes daily OR &gt;= 15 years of smoking).</w:t>
      </w:r>
    </w:p>
    <w:p w14:paraId="2629FCC8" w14:textId="77777777" w:rsidR="004F4B8D" w:rsidRDefault="004F4B8D" w:rsidP="004F4B8D"/>
    <w:p w14:paraId="33D352BC" w14:textId="77777777" w:rsidR="004F4B8D" w:rsidRDefault="004F4B8D" w:rsidP="004F4B8D">
      <w:r>
        <w:t>5. The Analytical Narrative &amp; Visualizations</w:t>
      </w:r>
    </w:p>
    <w:p w14:paraId="4D19B41D" w14:textId="77777777" w:rsidR="004F4B8D" w:rsidRDefault="004F4B8D" w:rsidP="004F4B8D"/>
    <w:p w14:paraId="6E1F90C1" w14:textId="77777777" w:rsidR="004F4B8D" w:rsidRDefault="004F4B8D" w:rsidP="004F4B8D">
      <w:r>
        <w:t>The dashboard tells the story of health deterioration across distinct views, supported by specific visualizations:</w:t>
      </w:r>
    </w:p>
    <w:p w14:paraId="4C011C3F" w14:textId="77777777" w:rsidR="004F4B8D" w:rsidRDefault="004F4B8D" w:rsidP="004F4B8D"/>
    <w:p w14:paraId="61A57886" w14:textId="77777777" w:rsidR="004F4B8D" w:rsidRDefault="004F4B8D" w:rsidP="004F4B8D">
      <w:r>
        <w:t>View 1: Patient Demographics &amp; The Deterioration Funnel</w:t>
      </w:r>
    </w:p>
    <w:p w14:paraId="240D8C24" w14:textId="77777777" w:rsidR="004F4B8D" w:rsidRDefault="004F4B8D" w:rsidP="004F4B8D"/>
    <w:p w14:paraId="36C6044A" w14:textId="77777777" w:rsidR="004F4B8D" w:rsidRDefault="004F4B8D" w:rsidP="004F4B8D">
      <w:r>
        <w:t>(Reference: System Overview Dashboard with Full Body Anatomy)</w:t>
      </w:r>
    </w:p>
    <w:p w14:paraId="659F6219" w14:textId="77777777" w:rsidR="004F4B8D" w:rsidRDefault="004F4B8D" w:rsidP="004F4B8D"/>
    <w:p w14:paraId="2E834368" w14:textId="77777777" w:rsidR="004F4B8D" w:rsidRDefault="004F4B8D" w:rsidP="004F4B8D">
      <w:r>
        <w:t>Visual Anchor: Full-body anatomical illustration.</w:t>
      </w:r>
    </w:p>
    <w:p w14:paraId="7CBDBCF3" w14:textId="77777777" w:rsidR="004F4B8D" w:rsidRDefault="004F4B8D" w:rsidP="004F4B8D"/>
    <w:p w14:paraId="1606C41F" w14:textId="77777777" w:rsidR="004F4B8D" w:rsidRDefault="004F4B8D" w:rsidP="004F4B8D">
      <w:r>
        <w:t>Key Visuals:</w:t>
      </w:r>
    </w:p>
    <w:p w14:paraId="1C9E86E5" w14:textId="77777777" w:rsidR="004F4B8D" w:rsidRDefault="004F4B8D" w:rsidP="004F4B8D"/>
    <w:p w14:paraId="08A9CA6C" w14:textId="77777777" w:rsidR="004F4B8D" w:rsidRDefault="004F4B8D" w:rsidP="004F4B8D">
      <w:r>
        <w:t>Health Deterioration Funnel: Effectively illustrates the transition from the total patient population (12K) to Heavy Smokers (4K), and finally to actual Cancer Cases (4K), highlighting a 30.1% conversion rate at the bottom of the funnel.</w:t>
      </w:r>
    </w:p>
    <w:p w14:paraId="74C752CB" w14:textId="77777777" w:rsidR="004F4B8D" w:rsidRDefault="004F4B8D" w:rsidP="004F4B8D"/>
    <w:p w14:paraId="1DC0337A" w14:textId="77777777" w:rsidR="004F4B8D" w:rsidRDefault="004F4B8D" w:rsidP="004F4B8D">
      <w:r>
        <w:t>Tree Age (Decomposition Tree): Breaks down the total patient count by distinct age groups, revealing where the bulk of the patient population lies.</w:t>
      </w:r>
    </w:p>
    <w:p w14:paraId="7183A15D" w14:textId="77777777" w:rsidR="004F4B8D" w:rsidRDefault="004F4B8D" w:rsidP="004F4B8D"/>
    <w:p w14:paraId="61D26904" w14:textId="77777777" w:rsidR="004F4B8D" w:rsidRDefault="004F4B8D" w:rsidP="004F4B8D">
      <w:r>
        <w:t>The Most Age Targeted (Bar Chart): Shows the highest concentration of patients in the 39-48 and 49-58 age brackets.</w:t>
      </w:r>
    </w:p>
    <w:p w14:paraId="60139E96" w14:textId="77777777" w:rsidR="004F4B8D" w:rsidRDefault="004F4B8D" w:rsidP="004F4B8D"/>
    <w:p w14:paraId="6BB7BC0D" w14:textId="77777777" w:rsidR="004F4B8D" w:rsidRDefault="004F4B8D" w:rsidP="004F4B8D">
      <w:r>
        <w:t>View 2: Organ-Specific Impact (The Heart)</w:t>
      </w:r>
    </w:p>
    <w:p w14:paraId="02B63D95" w14:textId="77777777" w:rsidR="004F4B8D" w:rsidRDefault="004F4B8D" w:rsidP="004F4B8D"/>
    <w:p w14:paraId="24651E2D" w14:textId="77777777" w:rsidR="004F4B8D" w:rsidRDefault="004F4B8D" w:rsidP="004F4B8D">
      <w:r>
        <w:t>(Reference: Organ Specific Dashboard - Heart)</w:t>
      </w:r>
    </w:p>
    <w:p w14:paraId="56435BCC" w14:textId="77777777" w:rsidR="004F4B8D" w:rsidRDefault="004F4B8D" w:rsidP="004F4B8D"/>
    <w:p w14:paraId="71257B78" w14:textId="77777777" w:rsidR="004F4B8D" w:rsidRDefault="004F4B8D" w:rsidP="004F4B8D">
      <w:r>
        <w:t>Visual Anchor: Detailed anatomical illustration of the human heart.</w:t>
      </w:r>
    </w:p>
    <w:p w14:paraId="45FEAD0B" w14:textId="77777777" w:rsidR="004F4B8D" w:rsidRDefault="004F4B8D" w:rsidP="004F4B8D"/>
    <w:p w14:paraId="564161FA" w14:textId="77777777" w:rsidR="004F4B8D" w:rsidRDefault="004F4B8D" w:rsidP="004F4B8D">
      <w:r>
        <w:t>Navigation: A sleek left-hand navigation pane allows users to switch views between different organs (Heart, Kidney, Liver, Lung).</w:t>
      </w:r>
    </w:p>
    <w:p w14:paraId="25588BA3" w14:textId="77777777" w:rsidR="004F4B8D" w:rsidRDefault="004F4B8D" w:rsidP="004F4B8D"/>
    <w:p w14:paraId="50F1C18F" w14:textId="77777777" w:rsidR="004F4B8D" w:rsidRDefault="004F4B8D" w:rsidP="004F4B8D">
      <w:r>
        <w:t>Key Visuals:</w:t>
      </w:r>
    </w:p>
    <w:p w14:paraId="659B6084" w14:textId="77777777" w:rsidR="004F4B8D" w:rsidRDefault="004F4B8D" w:rsidP="004F4B8D"/>
    <w:p w14:paraId="14D2926E" w14:textId="77777777" w:rsidR="004F4B8D" w:rsidRDefault="004F4B8D" w:rsidP="004F4B8D">
      <w:r>
        <w:t>Smoking Duration &amp; Daily Intake (Line Chart): Maps Years of Smoking (YOS) and Cigarettes Per Day (CPD) across age groups, showing trends in consumption habits.</w:t>
      </w:r>
    </w:p>
    <w:p w14:paraId="6D483DB5" w14:textId="77777777" w:rsidR="004F4B8D" w:rsidRDefault="004F4B8D" w:rsidP="004F4B8D"/>
    <w:p w14:paraId="077427FE" w14:textId="77777777" w:rsidR="004F4B8D" w:rsidRDefault="004F4B8D" w:rsidP="004F4B8D">
      <w:r>
        <w:t>Alcohol Level by Gender (Bar Chart): Cross-analyzes lifestyle factors, revealing higher alcohol consumption trends among males.</w:t>
      </w:r>
    </w:p>
    <w:p w14:paraId="0E2EE9A8" w14:textId="77777777" w:rsidR="004F4B8D" w:rsidRDefault="004F4B8D" w:rsidP="004F4B8D"/>
    <w:p w14:paraId="38C69637" w14:textId="77777777" w:rsidR="004F4B8D" w:rsidRDefault="004F4B8D" w:rsidP="004F4B8D">
      <w:r>
        <w:t>Smoking Status VS Organ Condition (Column Chart): Clearly demonstrates the massive correlation between current smokers and damaged organ conditions compared to those who never smoked.</w:t>
      </w:r>
    </w:p>
    <w:p w14:paraId="357DA10F" w14:textId="77777777" w:rsidR="004F4B8D" w:rsidRDefault="004F4B8D" w:rsidP="004F4B8D"/>
    <w:p w14:paraId="2F989790" w14:textId="77777777" w:rsidR="004F4B8D" w:rsidRDefault="004F4B8D" w:rsidP="004F4B8D">
      <w:r>
        <w:lastRenderedPageBreak/>
        <w:t>View 3: Biomarkers &amp; Comorbidities</w:t>
      </w:r>
    </w:p>
    <w:p w14:paraId="0BFB445C" w14:textId="77777777" w:rsidR="004F4B8D" w:rsidRDefault="004F4B8D" w:rsidP="004F4B8D"/>
    <w:p w14:paraId="417A371E" w14:textId="77777777" w:rsidR="004F4B8D" w:rsidRDefault="004F4B8D" w:rsidP="004F4B8D">
      <w:r>
        <w:t>(Reference: Biomarkers Dashboard)</w:t>
      </w:r>
    </w:p>
    <w:p w14:paraId="08A14E7F" w14:textId="77777777" w:rsidR="004F4B8D" w:rsidRDefault="004F4B8D" w:rsidP="004F4B8D"/>
    <w:p w14:paraId="2F4D1463" w14:textId="77777777" w:rsidR="004F4B8D" w:rsidRDefault="004F4B8D" w:rsidP="004F4B8D">
      <w:r>
        <w:t>Key Visuals:</w:t>
      </w:r>
    </w:p>
    <w:p w14:paraId="3B13E0EC" w14:textId="77777777" w:rsidR="004F4B8D" w:rsidRDefault="004F4B8D" w:rsidP="004F4B8D"/>
    <w:p w14:paraId="04A8981A" w14:textId="77777777" w:rsidR="004F4B8D" w:rsidRDefault="004F4B8D" w:rsidP="004F4B8D">
      <w:r>
        <w:t>Cholesterol &amp; Hypertension Risk (Combo Chart): A critical visualization mapping Age Groups against Blood Pressure risk levels (stacked columns) overlaid with a line indicating overall risk percentage. It shows how risk dynamically changes across life stages.</w:t>
      </w:r>
    </w:p>
    <w:p w14:paraId="52DFD32B" w14:textId="77777777" w:rsidR="004F4B8D" w:rsidRDefault="004F4B8D" w:rsidP="004F4B8D"/>
    <w:p w14:paraId="6FB4FB86" w14:textId="77777777" w:rsidR="004F4B8D" w:rsidRDefault="004F4B8D" w:rsidP="004F4B8D">
      <w:r>
        <w:t>Family History Risk (Gauge Chart): Highlights that a significant 70% of the analyzed cohort carries a family history risk.</w:t>
      </w:r>
    </w:p>
    <w:p w14:paraId="0D223AE5" w14:textId="77777777" w:rsidR="004F4B8D" w:rsidRDefault="004F4B8D" w:rsidP="004F4B8D"/>
    <w:p w14:paraId="753A165D" w14:textId="77777777" w:rsidR="004F4B8D" w:rsidRDefault="004F4B8D" w:rsidP="004F4B8D">
      <w:r>
        <w:t>Alcohol Consumption VS BP Risk (Stacked Bar): Correlates lifestyle choices, showing how high alcohol consumption maps directly to high blood pressure risk.</w:t>
      </w:r>
    </w:p>
    <w:p w14:paraId="5078F04F" w14:textId="77777777" w:rsidR="004F4B8D" w:rsidRDefault="004F4B8D" w:rsidP="004F4B8D"/>
    <w:p w14:paraId="4AA7F0B9" w14:textId="77777777" w:rsidR="004F4B8D" w:rsidRDefault="004F4B8D" w:rsidP="004F4B8D">
      <w:r>
        <w:t>View 4: The Final Blow - Cancer Diagnoses</w:t>
      </w:r>
    </w:p>
    <w:p w14:paraId="27CAC3DF" w14:textId="77777777" w:rsidR="004F4B8D" w:rsidRDefault="004F4B8D" w:rsidP="004F4B8D"/>
    <w:p w14:paraId="28C9139C" w14:textId="77777777" w:rsidR="004F4B8D" w:rsidRDefault="004F4B8D" w:rsidP="004F4B8D">
      <w:r>
        <w:t>(Reference: Cancer Outcomes Dashboard)</w:t>
      </w:r>
    </w:p>
    <w:p w14:paraId="45021A18" w14:textId="77777777" w:rsidR="004F4B8D" w:rsidRDefault="004F4B8D" w:rsidP="004F4B8D"/>
    <w:p w14:paraId="7CAFDD10" w14:textId="77777777" w:rsidR="004F4B8D" w:rsidRDefault="004F4B8D" w:rsidP="004F4B8D">
      <w:r>
        <w:t>Key Insights:</w:t>
      </w:r>
    </w:p>
    <w:p w14:paraId="01C0A08F" w14:textId="77777777" w:rsidR="004F4B8D" w:rsidRDefault="004F4B8D" w:rsidP="004F4B8D"/>
    <w:p w14:paraId="55DC373C" w14:textId="77777777" w:rsidR="004F4B8D" w:rsidRDefault="004F4B8D" w:rsidP="004F4B8D">
      <w:r>
        <w:t>Total Cancer Cases: Clearly displays the overarching metric (9K cases) with a vital subtext: 58.8% of these cases had underlying organ damage.</w:t>
      </w:r>
    </w:p>
    <w:p w14:paraId="7C3FD5DB" w14:textId="77777777" w:rsidR="004F4B8D" w:rsidRDefault="004F4B8D" w:rsidP="004F4B8D"/>
    <w:p w14:paraId="37FC3A54" w14:textId="77777777" w:rsidR="004F4B8D" w:rsidRDefault="004F4B8D" w:rsidP="004F4B8D">
      <w:r>
        <w:t xml:space="preserve">Cancer Types Distributed by Smoking Status (Stacked Column Chart): Visually proves the Multiplicative Risk Model. It shows that while Lung Cancer is dominant among current smokers, </w:t>
      </w:r>
      <w:r>
        <w:lastRenderedPageBreak/>
        <w:t>significant portions of Oral, Bladder, and Throat cancers are also heavily tied to current smoking habits.</w:t>
      </w:r>
    </w:p>
    <w:p w14:paraId="62568773" w14:textId="77777777" w:rsidR="004F4B8D" w:rsidRDefault="004F4B8D" w:rsidP="004F4B8D"/>
    <w:p w14:paraId="2C9725F0" w14:textId="77777777" w:rsidR="004F4B8D" w:rsidRDefault="004F4B8D" w:rsidP="004F4B8D">
      <w:r>
        <w:t>Cancer Diagnosis VS Smoking Status (Column Chart): Provides stark, undeniable proof that the vast majority of positive cancer diagnoses ("Yes") belong to current smokers.</w:t>
      </w:r>
    </w:p>
    <w:p w14:paraId="3D9735E3" w14:textId="77777777" w:rsidR="004F4B8D" w:rsidRDefault="004F4B8D" w:rsidP="004F4B8D"/>
    <w:p w14:paraId="6CFB2D2A" w14:textId="77777777" w:rsidR="004F4B8D" w:rsidRDefault="004F4B8D" w:rsidP="004F4B8D">
      <w:r>
        <w:t>6. Key Conclusions &amp; Strategic Recommendations</w:t>
      </w:r>
    </w:p>
    <w:p w14:paraId="7B008D14" w14:textId="77777777" w:rsidR="004F4B8D" w:rsidRDefault="004F4B8D" w:rsidP="004F4B8D"/>
    <w:p w14:paraId="5F313CF6" w14:textId="77777777" w:rsidR="004F4B8D" w:rsidRDefault="004F4B8D" w:rsidP="004F4B8D">
      <w:r>
        <w:t>Systemic Vascular Strain: Before cancer even develops, smoking aggressively strains the entire cardiovascular system. Awareness campaigns must evolve beyond the traditional "Smoking ruins lungs" narrative to highlight the systemic threat to the liver, kidneys, and heart.</w:t>
      </w:r>
    </w:p>
    <w:p w14:paraId="7EFC9D94" w14:textId="77777777" w:rsidR="004F4B8D" w:rsidRDefault="004F4B8D" w:rsidP="004F4B8D"/>
    <w:p w14:paraId="3C362C67" w14:textId="77777777" w:rsidR="004F4B8D" w:rsidRDefault="004F4B8D" w:rsidP="004F4B8D">
      <w:r>
        <w:t>The Critical Intervention Window: The transition of an organ from "Healthy" to "Damaged" serves as the final clinical warning. Medical intervention targeted at this exact stage is crucial to halt the Field Cancerization process and drastically reduce malignancy chances.</w:t>
      </w:r>
    </w:p>
    <w:p w14:paraId="05524C28" w14:textId="77777777" w:rsidR="004F4B8D" w:rsidRDefault="004F4B8D" w:rsidP="004F4B8D"/>
    <w:p w14:paraId="65B0B41E" w14:textId="41403AC0" w:rsidR="004F4B8D" w:rsidRDefault="004F4B8D" w:rsidP="004F4B8D">
      <w:r>
        <w:t>Data-Driven Healthcare: Utilizing predictive KPIs like Pack-Years and monitoring the Health Deterioration Funnel allows healthcare providers to proactively flag high-risk patients for early cancer screenings, saving lives and reducing long-term healthcare costs</w:t>
      </w:r>
    </w:p>
    <w:p w14:paraId="53B19730" w14:textId="41EF87CD" w:rsidR="004F4B8D" w:rsidRDefault="004F4B8D" w:rsidP="004F4B8D">
      <w:r>
        <w:rPr>
          <w:noProof/>
        </w:rPr>
        <w:lastRenderedPageBreak/>
        <w:drawing>
          <wp:inline distT="0" distB="0" distL="0" distR="0" wp14:anchorId="38964212" wp14:editId="3D5F0377">
            <wp:extent cx="6316980" cy="3863340"/>
            <wp:effectExtent l="0" t="0" r="7620" b="3810"/>
            <wp:docPr id="13843127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312782" name="Picture 1384312782"/>
                    <pic:cNvPicPr/>
                  </pic:nvPicPr>
                  <pic:blipFill>
                    <a:blip r:embed="rId5">
                      <a:extLst>
                        <a:ext uri="{28A0092B-C50C-407E-A947-70E740481C1C}">
                          <a14:useLocalDpi xmlns:a14="http://schemas.microsoft.com/office/drawing/2010/main" val="0"/>
                        </a:ext>
                      </a:extLst>
                    </a:blip>
                    <a:stretch>
                      <a:fillRect/>
                    </a:stretch>
                  </pic:blipFill>
                  <pic:spPr>
                    <a:xfrm>
                      <a:off x="0" y="0"/>
                      <a:ext cx="6316980" cy="3863340"/>
                    </a:xfrm>
                    <a:prstGeom prst="rect">
                      <a:avLst/>
                    </a:prstGeom>
                  </pic:spPr>
                </pic:pic>
              </a:graphicData>
            </a:graphic>
          </wp:inline>
        </w:drawing>
      </w:r>
      <w:r>
        <w:rPr>
          <w:noProof/>
        </w:rPr>
        <w:drawing>
          <wp:inline distT="0" distB="0" distL="0" distR="0" wp14:anchorId="3CC9E338" wp14:editId="67A34ED4">
            <wp:extent cx="6301740" cy="3916081"/>
            <wp:effectExtent l="0" t="0" r="3810" b="8255"/>
            <wp:docPr id="12694747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474758" name="Picture 1269474758"/>
                    <pic:cNvPicPr/>
                  </pic:nvPicPr>
                  <pic:blipFill>
                    <a:blip r:embed="rId6">
                      <a:extLst>
                        <a:ext uri="{28A0092B-C50C-407E-A947-70E740481C1C}">
                          <a14:useLocalDpi xmlns:a14="http://schemas.microsoft.com/office/drawing/2010/main" val="0"/>
                        </a:ext>
                      </a:extLst>
                    </a:blip>
                    <a:stretch>
                      <a:fillRect/>
                    </a:stretch>
                  </pic:blipFill>
                  <pic:spPr>
                    <a:xfrm>
                      <a:off x="0" y="0"/>
                      <a:ext cx="6341394" cy="3940723"/>
                    </a:xfrm>
                    <a:prstGeom prst="rect">
                      <a:avLst/>
                    </a:prstGeom>
                  </pic:spPr>
                </pic:pic>
              </a:graphicData>
            </a:graphic>
          </wp:inline>
        </w:drawing>
      </w:r>
      <w:r>
        <w:rPr>
          <w:noProof/>
        </w:rPr>
        <w:lastRenderedPageBreak/>
        <w:drawing>
          <wp:inline distT="0" distB="0" distL="0" distR="0" wp14:anchorId="69C7694B" wp14:editId="72679E3D">
            <wp:extent cx="6332220" cy="3625850"/>
            <wp:effectExtent l="0" t="0" r="0" b="0"/>
            <wp:docPr id="14027096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709673" name="Picture 1402709673"/>
                    <pic:cNvPicPr/>
                  </pic:nvPicPr>
                  <pic:blipFill>
                    <a:blip r:embed="rId7">
                      <a:extLst>
                        <a:ext uri="{28A0092B-C50C-407E-A947-70E740481C1C}">
                          <a14:useLocalDpi xmlns:a14="http://schemas.microsoft.com/office/drawing/2010/main" val="0"/>
                        </a:ext>
                      </a:extLst>
                    </a:blip>
                    <a:stretch>
                      <a:fillRect/>
                    </a:stretch>
                  </pic:blipFill>
                  <pic:spPr>
                    <a:xfrm>
                      <a:off x="0" y="0"/>
                      <a:ext cx="6332562" cy="3626046"/>
                    </a:xfrm>
                    <a:prstGeom prst="rect">
                      <a:avLst/>
                    </a:prstGeom>
                  </pic:spPr>
                </pic:pic>
              </a:graphicData>
            </a:graphic>
          </wp:inline>
        </w:drawing>
      </w:r>
      <w:r>
        <w:rPr>
          <w:noProof/>
        </w:rPr>
        <w:drawing>
          <wp:inline distT="0" distB="0" distL="0" distR="0" wp14:anchorId="1D39AACD" wp14:editId="0A90D921">
            <wp:extent cx="6324600" cy="3616325"/>
            <wp:effectExtent l="0" t="0" r="0" b="3175"/>
            <wp:docPr id="18388127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812702" name="Picture 1838812702"/>
                    <pic:cNvPicPr/>
                  </pic:nvPicPr>
                  <pic:blipFill>
                    <a:blip r:embed="rId8">
                      <a:extLst>
                        <a:ext uri="{28A0092B-C50C-407E-A947-70E740481C1C}">
                          <a14:useLocalDpi xmlns:a14="http://schemas.microsoft.com/office/drawing/2010/main" val="0"/>
                        </a:ext>
                      </a:extLst>
                    </a:blip>
                    <a:stretch>
                      <a:fillRect/>
                    </a:stretch>
                  </pic:blipFill>
                  <pic:spPr>
                    <a:xfrm>
                      <a:off x="0" y="0"/>
                      <a:ext cx="6324922" cy="3616509"/>
                    </a:xfrm>
                    <a:prstGeom prst="rect">
                      <a:avLst/>
                    </a:prstGeom>
                  </pic:spPr>
                </pic:pic>
              </a:graphicData>
            </a:graphic>
          </wp:inline>
        </w:drawing>
      </w:r>
    </w:p>
    <w:sectPr w:rsidR="004F4B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B8D"/>
    <w:rsid w:val="000C2501"/>
    <w:rsid w:val="004F4B8D"/>
    <w:rsid w:val="00541DD2"/>
    <w:rsid w:val="00CC0CF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799C7"/>
  <w15:chartTrackingRefBased/>
  <w15:docId w15:val="{31A9916B-812A-4904-80E4-EB0D57D2B0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4B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F4B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F4B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F4B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4B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4B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4B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4B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4B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4B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F4B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F4B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F4B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4B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4B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4B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4B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4B8D"/>
    <w:rPr>
      <w:rFonts w:eastAsiaTheme="majorEastAsia" w:cstheme="majorBidi"/>
      <w:color w:val="272727" w:themeColor="text1" w:themeTint="D8"/>
    </w:rPr>
  </w:style>
  <w:style w:type="paragraph" w:styleId="Title">
    <w:name w:val="Title"/>
    <w:basedOn w:val="Normal"/>
    <w:next w:val="Normal"/>
    <w:link w:val="TitleChar"/>
    <w:uiPriority w:val="10"/>
    <w:qFormat/>
    <w:rsid w:val="004F4B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4B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4B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4B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4B8D"/>
    <w:pPr>
      <w:spacing w:before="160"/>
      <w:jc w:val="center"/>
    </w:pPr>
    <w:rPr>
      <w:i/>
      <w:iCs/>
      <w:color w:val="404040" w:themeColor="text1" w:themeTint="BF"/>
    </w:rPr>
  </w:style>
  <w:style w:type="character" w:customStyle="1" w:styleId="QuoteChar">
    <w:name w:val="Quote Char"/>
    <w:basedOn w:val="DefaultParagraphFont"/>
    <w:link w:val="Quote"/>
    <w:uiPriority w:val="29"/>
    <w:rsid w:val="004F4B8D"/>
    <w:rPr>
      <w:i/>
      <w:iCs/>
      <w:color w:val="404040" w:themeColor="text1" w:themeTint="BF"/>
    </w:rPr>
  </w:style>
  <w:style w:type="paragraph" w:styleId="ListParagraph">
    <w:name w:val="List Paragraph"/>
    <w:basedOn w:val="Normal"/>
    <w:uiPriority w:val="34"/>
    <w:qFormat/>
    <w:rsid w:val="004F4B8D"/>
    <w:pPr>
      <w:ind w:left="720"/>
      <w:contextualSpacing/>
    </w:pPr>
  </w:style>
  <w:style w:type="character" w:styleId="IntenseEmphasis">
    <w:name w:val="Intense Emphasis"/>
    <w:basedOn w:val="DefaultParagraphFont"/>
    <w:uiPriority w:val="21"/>
    <w:qFormat/>
    <w:rsid w:val="004F4B8D"/>
    <w:rPr>
      <w:i/>
      <w:iCs/>
      <w:color w:val="2F5496" w:themeColor="accent1" w:themeShade="BF"/>
    </w:rPr>
  </w:style>
  <w:style w:type="paragraph" w:styleId="IntenseQuote">
    <w:name w:val="Intense Quote"/>
    <w:basedOn w:val="Normal"/>
    <w:next w:val="Normal"/>
    <w:link w:val="IntenseQuoteChar"/>
    <w:uiPriority w:val="30"/>
    <w:qFormat/>
    <w:rsid w:val="004F4B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4B8D"/>
    <w:rPr>
      <w:i/>
      <w:iCs/>
      <w:color w:val="2F5496" w:themeColor="accent1" w:themeShade="BF"/>
    </w:rPr>
  </w:style>
  <w:style w:type="character" w:styleId="IntenseReference">
    <w:name w:val="Intense Reference"/>
    <w:basedOn w:val="DefaultParagraphFont"/>
    <w:uiPriority w:val="32"/>
    <w:qFormat/>
    <w:rsid w:val="004F4B8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4F0398-04C7-41DF-9CA6-40ADD96636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8</Pages>
  <Words>1058</Words>
  <Characters>6031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Israa ali</dc:creator>
  <cp:keywords/>
  <dc:description/>
  <cp:lastModifiedBy>Israa ali</cp:lastModifiedBy>
  <cp:revision>1</cp:revision>
  <dcterms:created xsi:type="dcterms:W3CDTF">2026-07-03T00:56:00Z</dcterms:created>
  <dcterms:modified xsi:type="dcterms:W3CDTF">2026-07-03T01:17:00Z</dcterms:modified>
</cp:coreProperties>
</file>