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360"/>
              <w:left w:type="dxa" w:w="500"/>
              <w:bottom w:type="dxa" w:w="280"/>
              <w:right w:type="dxa" w:w="500"/>
            </w:tcMar>
          </w:tcPr>
          <w:p>
            <w:pPr>
              <w:spacing w:after="60" w:before="0"/>
            </w:pPr>
            <w:r>
              <w:rPr>
                <w:rFonts w:ascii="Arial" w:cs="Arial" w:eastAsia="Arial" w:hAnsi="Arial"/>
                <w:b/>
                <w:bCs/>
                <w:caps/>
                <w:color w:val="C0392B"/>
                <w:sz w:val="16"/>
                <w:szCs w:val="16"/>
              </w:rPr>
              <w:t xml:space="preserve">PROJECT DOCUMENTATION</w:t>
            </w:r>
          </w:p>
          <w:p>
            <w:pPr>
              <w:spacing w:after="80" w:before="0"/>
            </w:pPr>
            <w:r>
              <w:rPr>
                <w:rFonts w:ascii="Arial" w:cs="Arial" w:eastAsia="Arial" w:hAnsi="Arial"/>
                <w:b/>
                <w:bCs/>
                <w:color w:val="FFFFFF"/>
                <w:sz w:val="46"/>
                <w:szCs w:val="46"/>
              </w:rPr>
              <w:t xml:space="preserve">Smoking Health Risk Analysis</w:t>
            </w:r>
          </w:p>
          <w:p>
            <w:pPr>
              <w:spacing w:after="0" w:before="0"/>
            </w:pPr>
            <w:r>
              <w:rPr>
                <w:rFonts w:ascii="Arial" w:cs="Arial" w:eastAsia="Arial" w:hAnsi="Arial"/>
                <w:i/>
                <w:iCs/>
                <w:color w:val="A0B4C8"/>
                <w:sz w:val="21"/>
                <w:szCs w:val="21"/>
              </w:rPr>
              <w:t xml:space="preserve">How Smoking Damages Organs — and Fuels Cancer</w:t>
            </w:r>
          </w:p>
        </w:tc>
      </w:tr>
    </w:tbl>
    <w:p>
      <w:pPr>
        <w:spacing w:after="18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pPr>
              <w:spacing w:after="30" w:before="0"/>
              <w:jc w:val="center"/>
            </w:pPr>
            <w:r>
              <w:rPr>
                <w:rFonts w:ascii="Arial" w:cs="Arial" w:eastAsia="Arial" w:hAnsi="Arial"/>
                <w:b/>
                <w:bCs/>
                <w:color w:val="C0392B"/>
                <w:sz w:val="44"/>
                <w:szCs w:val="44"/>
              </w:rPr>
              <w:t xml:space="preserve">30,000</w:t>
            </w:r>
          </w:p>
          <w:p>
            <w:pPr>
              <w:spacing w:after="0" w:before="0"/>
              <w:jc w:val="center"/>
            </w:pPr>
            <w:r>
              <w:rPr>
                <w:rFonts w:ascii="Arial" w:cs="Arial" w:eastAsia="Arial" w:hAnsi="Arial"/>
                <w:caps/>
                <w:color w:val="5D6D7E"/>
                <w:sz w:val="16"/>
                <w:szCs w:val="16"/>
              </w:rPr>
              <w:t xml:space="preserve">Patients</w:t>
            </w:r>
          </w:p>
        </w:tc>
        <w:tc>
          <w:tcPr>
            <w:tcW w:type="dxa" w:w="312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pPr>
              <w:spacing w:after="30" w:before="0"/>
              <w:jc w:val="center"/>
            </w:pPr>
            <w:r>
              <w:rPr>
                <w:rFonts w:ascii="Arial" w:cs="Arial" w:eastAsia="Arial" w:hAnsi="Arial"/>
                <w:b/>
                <w:bCs/>
                <w:color w:val="C0392B"/>
                <w:sz w:val="44"/>
                <w:szCs w:val="44"/>
              </w:rPr>
              <w:t xml:space="preserve">15×</w:t>
            </w:r>
          </w:p>
          <w:p>
            <w:pPr>
              <w:spacing w:after="0" w:before="0"/>
              <w:jc w:val="center"/>
            </w:pPr>
            <w:r>
              <w:rPr>
                <w:rFonts w:ascii="Arial" w:cs="Arial" w:eastAsia="Arial" w:hAnsi="Arial"/>
                <w:caps/>
                <w:color w:val="5D6D7E"/>
                <w:sz w:val="16"/>
                <w:szCs w:val="16"/>
              </w:rPr>
              <w:t xml:space="preserve">Lung Cancer Risk</w:t>
            </w:r>
          </w:p>
        </w:tc>
        <w:tc>
          <w:tcPr>
            <w:tcW w:type="dxa" w:w="312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pPr>
              <w:spacing w:after="30" w:before="0"/>
              <w:jc w:val="center"/>
            </w:pPr>
            <w:r>
              <w:rPr>
                <w:rFonts w:ascii="Arial" w:cs="Arial" w:eastAsia="Arial" w:hAnsi="Arial"/>
                <w:b/>
                <w:bCs/>
                <w:color w:val="C0392B"/>
                <w:sz w:val="44"/>
                <w:szCs w:val="44"/>
              </w:rPr>
              <w:t xml:space="preserve">1.6×</w:t>
            </w:r>
          </w:p>
          <w:p>
            <w:pPr>
              <w:spacing w:after="0" w:before="0"/>
              <w:jc w:val="center"/>
            </w:pPr>
            <w:r>
              <w:rPr>
                <w:rFonts w:ascii="Arial" w:cs="Arial" w:eastAsia="Arial" w:hAnsi="Arial"/>
                <w:caps/>
                <w:color w:val="5D6D7E"/>
                <w:sz w:val="16"/>
                <w:szCs w:val="16"/>
              </w:rPr>
              <w:t xml:space="preserve">Damaged Organ Risk</w:t>
            </w:r>
          </w:p>
        </w:tc>
      </w:tr>
    </w:tbl>
    <w:p>
      <w:pP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392B" w:val="clear"/>
            <w:tcMar>
              <w:top w:type="dxa" w:w="140"/>
              <w:left w:type="dxa" w:w="180"/>
              <w:bottom w:type="dxa" w:w="140"/>
              <w:right w:type="dxa" w:w="180"/>
            </w:tcMar>
            <w:vAlign w:val="center"/>
          </w:tcPr>
          <w:p>
            <w:pPr>
              <w:jc w:val="center"/>
            </w:pPr>
            <w:r>
              <w:rPr>
                <w:rFonts w:ascii="Arial" w:cs="Arial" w:eastAsia="Arial" w:hAnsi="Arial"/>
                <w:b/>
                <w:bCs/>
                <w:color w:val="FFFFFF"/>
                <w:sz w:val="52"/>
                <w:szCs w:val="52"/>
              </w:rPr>
              <w:t xml:space="preserve">I</w:t>
            </w:r>
          </w:p>
        </w:tc>
        <w:tc>
          <w:tcPr>
            <w:tcW w:type="dxa" w:w="7860"/>
            <w:tcBorders>
              <w:top w:val="none" w:color="FFFFFF" w:sz="0"/>
              <w:left w:val="none" w:color="FFFFFF" w:sz="0"/>
              <w:bottom w:val="none" w:color="FFFFFF" w:sz="0"/>
              <w:right w:val="none" w:color="FFFFFF" w:sz="0"/>
            </w:tcBorders>
            <w:shd w:fill="1A1A2E" w:val="clear"/>
            <w:tcMar>
              <w:top w:type="dxa" w:w="130"/>
              <w:left w:type="dxa" w:w="240"/>
              <w:bottom w:type="dxa" w:w="130"/>
              <w:right w:type="dxa" w:w="180"/>
            </w:tcMar>
          </w:tcPr>
          <w:p>
            <w:pPr>
              <w:spacing w:after="30" w:before="0"/>
            </w:pPr>
            <w:r>
              <w:rPr>
                <w:rFonts w:ascii="Arial" w:cs="Arial" w:eastAsia="Arial" w:hAnsi="Arial"/>
                <w:b/>
                <w:bCs/>
                <w:color w:val="FFFFFF"/>
                <w:sz w:val="25"/>
                <w:szCs w:val="25"/>
              </w:rPr>
              <w:t xml:space="preserve">The Silent Burden</w:t>
            </w:r>
          </w:p>
          <w:p>
            <w:pPr>
              <w:spacing w:after="0" w:before="0"/>
            </w:pPr>
            <w:r>
              <w:rPr>
                <w:rFonts w:ascii="Arial" w:cs="Arial" w:eastAsia="Arial" w:hAnsi="Arial"/>
                <w:i/>
                <w:iCs/>
                <w:color w:val="A0B4C8"/>
                <w:sz w:val="18"/>
                <w:szCs w:val="18"/>
              </w:rPr>
              <w:t xml:space="preserve">Pack-Years accumulate — organs shift from Healthy to Damaged</w:t>
            </w:r>
          </w:p>
        </w:tc>
      </w:tr>
    </w:tbl>
    <w:p>
      <w:pPr>
        <w:spacing w:after="120" w:before="120"/>
      </w:pPr>
    </w:p>
    <w:p>
      <w:pPr>
        <w:spacing w:after="60" w:before="60" w:line="300"/>
      </w:pPr>
      <w:r>
        <w:rPr>
          <w:rFonts w:ascii="Arial" w:cs="Arial" w:eastAsia="Arial" w:hAnsi="Arial"/>
          <w:color w:val="1A1A2E"/>
          <w:sz w:val="20"/>
          <w:szCs w:val="20"/>
        </w:rPr>
        <w:t xml:space="preserve">As smoking continues, toxins enter the bloodstream and attack every major organ. Blood pressure rises, cholesterol destabilises, and the liver and kidneys degrade from constant carcinogen filtering. Across 30,000 patients, the shift from Healthy to Damaged is clearly measurable as Pack-Years increase.</w:t>
      </w:r>
    </w:p>
    <w:p>
      <w:pP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392B" w:val="clear"/>
            <w:tcMar>
              <w:top w:type="dxa" w:w="140"/>
              <w:left w:type="dxa" w:w="180"/>
              <w:bottom w:type="dxa" w:w="140"/>
              <w:right w:type="dxa" w:w="180"/>
            </w:tcMar>
            <w:vAlign w:val="center"/>
          </w:tcPr>
          <w:p>
            <w:pPr>
              <w:jc w:val="center"/>
            </w:pPr>
            <w:r>
              <w:rPr>
                <w:rFonts w:ascii="Arial" w:cs="Arial" w:eastAsia="Arial" w:hAnsi="Arial"/>
                <w:b/>
                <w:bCs/>
                <w:color w:val="FFFFFF"/>
                <w:sz w:val="52"/>
                <w:szCs w:val="52"/>
              </w:rPr>
              <w:t xml:space="preserve">II</w:t>
            </w:r>
          </w:p>
        </w:tc>
        <w:tc>
          <w:tcPr>
            <w:tcW w:type="dxa" w:w="7860"/>
            <w:tcBorders>
              <w:top w:val="none" w:color="FFFFFF" w:sz="0"/>
              <w:left w:val="none" w:color="FFFFFF" w:sz="0"/>
              <w:bottom w:val="none" w:color="FFFFFF" w:sz="0"/>
              <w:right w:val="none" w:color="FFFFFF" w:sz="0"/>
            </w:tcBorders>
            <w:shd w:fill="1A1A2E" w:val="clear"/>
            <w:tcMar>
              <w:top w:type="dxa" w:w="130"/>
              <w:left w:type="dxa" w:w="240"/>
              <w:bottom w:type="dxa" w:w="130"/>
              <w:right w:type="dxa" w:w="180"/>
            </w:tcMar>
          </w:tcPr>
          <w:p>
            <w:pPr>
              <w:spacing w:after="30" w:before="0"/>
            </w:pPr>
            <w:r>
              <w:rPr>
                <w:rFonts w:ascii="Arial" w:cs="Arial" w:eastAsia="Arial" w:hAnsi="Arial"/>
                <w:b/>
                <w:bCs/>
                <w:color w:val="FFFFFF"/>
                <w:sz w:val="25"/>
                <w:szCs w:val="25"/>
              </w:rPr>
              <w:t xml:space="preserve">The Turning Point</w:t>
            </w:r>
          </w:p>
          <w:p>
            <w:pPr>
              <w:spacing w:after="0" w:before="0"/>
            </w:pPr>
            <w:r>
              <w:rPr>
                <w:rFonts w:ascii="Arial" w:cs="Arial" w:eastAsia="Arial" w:hAnsi="Arial"/>
                <w:i/>
                <w:iCs/>
                <w:color w:val="A0B4C8"/>
                <w:sz w:val="18"/>
                <w:szCs w:val="18"/>
              </w:rPr>
              <w:t xml:space="preserve">Damaged organs become cancer's gateway — Field Cancerization</w:t>
            </w:r>
          </w:p>
        </w:tc>
      </w:tr>
    </w:tbl>
    <w:p>
      <w:pPr>
        <w:spacing w:after="120" w:before="120"/>
      </w:pPr>
    </w:p>
    <w:p>
      <w:pPr>
        <w:spacing w:after="60" w:before="60" w:line="300"/>
      </w:pPr>
      <w:r>
        <w:rPr>
          <w:rFonts w:ascii="Arial" w:cs="Arial" w:eastAsia="Arial" w:hAnsi="Arial"/>
          <w:color w:val="1A1A2E"/>
          <w:sz w:val="20"/>
          <w:szCs w:val="20"/>
        </w:rPr>
        <w:t xml:space="preserve">Damaged organs are not simply weakened — they become biologically primed for cancer. Chronic inflammation causes molecular-level cell changes across entire tissue regions (Field Cancerization), raising cancer risk by 1.6x. Smoking first destroys the organ's defences, then creates the exact environment cancer needs to grow.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60"/>
        <w:gridCol w:w="2400"/>
        <w:gridCol w:w="1700"/>
      </w:tblGrid>
      <w:tr>
        <w:tc>
          <w:tcPr>
            <w:tcW w:type="dxa" w:w="1900"/>
            <w:tcBorders>
              <w:top w:val="none" w:color="FFFFFF" w:sz="0"/>
              <w:left w:val="none" w:color="FFFFFF" w:sz="0"/>
              <w:bottom w:val="none" w:color="FFFFFF" w:sz="0"/>
              <w:right w:val="none" w:color="FFFFFF" w:sz="0"/>
            </w:tcBorders>
            <w:shd w:fill="1A1A2E" w:val="clear"/>
            <w:tcMar>
              <w:top w:type="dxa" w:w="80"/>
              <w:left w:type="dxa" w:w="130"/>
              <w:bottom w:type="dxa" w:w="80"/>
              <w:right w:type="dxa" w:w="130"/>
            </w:tcMar>
          </w:tcPr>
          <w:p>
            <w:r>
              <w:rPr>
                <w:rFonts w:ascii="Arial" w:cs="Arial" w:eastAsia="Arial" w:hAnsi="Arial"/>
                <w:b/>
                <w:bCs/>
                <w:color w:val="FFFFFF"/>
                <w:sz w:val="17"/>
                <w:szCs w:val="17"/>
              </w:rPr>
              <w:t xml:space="preserve">Organ</w:t>
            </w:r>
          </w:p>
        </w:tc>
        <w:tc>
          <w:tcPr>
            <w:tcW w:type="dxa" w:w="3360"/>
            <w:tcBorders>
              <w:top w:val="none" w:color="FFFFFF" w:sz="0"/>
              <w:left w:val="none" w:color="FFFFFF" w:sz="0"/>
              <w:bottom w:val="none" w:color="FFFFFF" w:sz="0"/>
              <w:right w:val="none" w:color="FFFFFF" w:sz="0"/>
            </w:tcBorders>
            <w:shd w:fill="1A1A2E" w:val="clear"/>
            <w:tcMar>
              <w:top w:type="dxa" w:w="80"/>
              <w:left w:type="dxa" w:w="130"/>
              <w:bottom w:type="dxa" w:w="80"/>
              <w:right w:type="dxa" w:w="130"/>
            </w:tcMar>
          </w:tcPr>
          <w:p>
            <w:r>
              <w:rPr>
                <w:rFonts w:ascii="Arial" w:cs="Arial" w:eastAsia="Arial" w:hAnsi="Arial"/>
                <w:b/>
                <w:bCs/>
                <w:color w:val="FFFFFF"/>
                <w:sz w:val="17"/>
                <w:szCs w:val="17"/>
              </w:rPr>
              <w:t xml:space="preserve">Healthy → Damaged</w:t>
            </w:r>
          </w:p>
        </w:tc>
        <w:tc>
          <w:tcPr>
            <w:tcW w:type="dxa" w:w="2400"/>
            <w:tcBorders>
              <w:top w:val="none" w:color="FFFFFF" w:sz="0"/>
              <w:left w:val="none" w:color="FFFFFF" w:sz="0"/>
              <w:bottom w:val="none" w:color="FFFFFF" w:sz="0"/>
              <w:right w:val="none" w:color="FFFFFF" w:sz="0"/>
            </w:tcBorders>
            <w:shd w:fill="1A1A2E" w:val="clear"/>
            <w:tcMar>
              <w:top w:type="dxa" w:w="80"/>
              <w:left w:type="dxa" w:w="130"/>
              <w:bottom w:type="dxa" w:w="80"/>
              <w:right w:type="dxa" w:w="130"/>
            </w:tcMar>
          </w:tcPr>
          <w:p>
            <w:r>
              <w:rPr>
                <w:rFonts w:ascii="Arial" w:cs="Arial" w:eastAsia="Arial" w:hAnsi="Arial"/>
                <w:b/>
                <w:bCs/>
                <w:color w:val="FFFFFF"/>
                <w:sz w:val="17"/>
                <w:szCs w:val="17"/>
              </w:rPr>
              <w:t xml:space="preserve">Cancer Risk</w:t>
            </w:r>
          </w:p>
        </w:tc>
        <w:tc>
          <w:tcPr>
            <w:tcW w:type="dxa" w:w="1700"/>
            <w:tcBorders>
              <w:top w:val="none" w:color="FFFFFF" w:sz="0"/>
              <w:left w:val="none" w:color="FFFFFF" w:sz="0"/>
              <w:bottom w:val="none" w:color="FFFFFF" w:sz="0"/>
              <w:right w:val="none" w:color="FFFFFF" w:sz="0"/>
            </w:tcBorders>
            <w:shd w:fill="1A1A2E" w:val="clear"/>
            <w:tcMar>
              <w:top w:type="dxa" w:w="80"/>
              <w:left w:type="dxa" w:w="130"/>
              <w:bottom w:type="dxa" w:w="80"/>
              <w:right w:type="dxa" w:w="130"/>
            </w:tcMar>
          </w:tcPr>
          <w:p>
            <w:r>
              <w:rPr>
                <w:rFonts w:ascii="Arial" w:cs="Arial" w:eastAsia="Arial" w:hAnsi="Arial"/>
                <w:b/>
                <w:bCs/>
                <w:color w:val="FFFFFF"/>
                <w:sz w:val="17"/>
                <w:szCs w:val="17"/>
              </w:rPr>
              <w:t xml:space="preserve">RR</w:t>
            </w:r>
          </w:p>
        </w:tc>
      </w:tr>
      <w:tr>
        <w:tc>
          <w:tcPr>
            <w:tcW w:type="dxa" w:w="1900"/>
            <w:tcBorders>
              <w:top w:val="single" w:color="D5D8DC" w:sz="1"/>
              <w:left w:val="single" w:color="D5D8DC" w:sz="1"/>
              <w:bottom w:val="single" w:color="D5D8DC" w:sz="1"/>
              <w:right w:val="single" w:color="D5D8DC" w:sz="1"/>
            </w:tcBorders>
            <w:shd w:fill="FFFFFF" w:val="clear"/>
            <w:tcMar>
              <w:top w:type="dxa" w:w="80"/>
              <w:left w:type="dxa" w:w="130"/>
              <w:bottom w:type="dxa" w:w="80"/>
              <w:right w:type="dxa" w:w="130"/>
            </w:tcMar>
          </w:tcPr>
          <w:p>
            <w:r>
              <w:rPr>
                <w:rFonts w:ascii="Arial" w:cs="Arial" w:eastAsia="Arial" w:hAnsi="Arial"/>
                <w:b/>
                <w:bCs/>
                <w:color w:val="1A1A2E"/>
                <w:sz w:val="18"/>
                <w:szCs w:val="18"/>
              </w:rPr>
              <w:t xml:space="preserve">Lungs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30"/>
              <w:bottom w:type="dxa" w:w="80"/>
              <w:right w:type="dxa" w:w="130"/>
            </w:tcMar>
          </w:tcPr>
          <w:p>
            <w:r>
              <w:rPr>
                <w:rFonts w:ascii="Arial" w:cs="Arial" w:eastAsia="Arial" w:hAnsi="Arial"/>
                <w:color w:val="5D6D7E"/>
                <w:sz w:val="17"/>
                <w:szCs w:val="17"/>
              </w:rPr>
              <w:t xml:space="preserve">Clear tissue → Chronic inflammation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30"/>
              <w:bottom w:type="dxa" w:w="80"/>
              <w:right w:type="dxa" w:w="130"/>
            </w:tcMar>
          </w:tcPr>
          <w:p>
            <w:r>
              <w:rPr>
                <w:rFonts w:ascii="Arial" w:cs="Arial" w:eastAsia="Arial" w:hAnsi="Arial"/>
                <w:color w:val="1A1A2E"/>
                <w:sz w:val="17"/>
                <w:szCs w:val="17"/>
              </w:rPr>
              <w:t xml:space="preserve">Lung cancer — 85% globally</w:t>
            </w:r>
          </w:p>
        </w:tc>
        <w:tc>
          <w:tcPr>
            <w:tcW w:type="dxa" w:w="1700"/>
            <w:tcBorders>
              <w:top w:val="single" w:color="D5D8DC" w:sz="1"/>
              <w:left w:val="single" w:color="D5D8DC" w:sz="1"/>
              <w:bottom w:val="single" w:color="D5D8DC" w:sz="1"/>
              <w:right w:val="single" w:color="D5D8DC" w:sz="1"/>
            </w:tcBorders>
            <w:shd w:fill="FFFFFF" w:val="clear"/>
            <w:tcMar>
              <w:top w:type="dxa" w:w="80"/>
              <w:left w:type="dxa" w:w="130"/>
              <w:bottom w:type="dxa" w:w="80"/>
              <w:right w:type="dxa" w:w="130"/>
            </w:tcMar>
          </w:tcPr>
          <w:p>
            <w:pPr>
              <w:jc w:val="center"/>
            </w:pPr>
            <w:r>
              <w:rPr>
                <w:rFonts w:ascii="Arial" w:cs="Arial" w:eastAsia="Arial" w:hAnsi="Arial"/>
                <w:b/>
                <w:bCs/>
                <w:color w:val="C0392B"/>
                <w:sz w:val="19"/>
                <w:szCs w:val="19"/>
              </w:rPr>
              <w:t xml:space="preserve">15×</w:t>
            </w:r>
          </w:p>
        </w:tc>
      </w:tr>
      <w:tr>
        <w:tc>
          <w:tcPr>
            <w:tcW w:type="dxa" w:w="1900"/>
            <w:tcBorders>
              <w:top w:val="single" w:color="D5D8DC" w:sz="1"/>
              <w:left w:val="single" w:color="D5D8DC" w:sz="1"/>
              <w:bottom w:val="single" w:color="D5D8DC" w:sz="1"/>
              <w:right w:val="single" w:color="D5D8DC" w:sz="1"/>
            </w:tcBorders>
            <w:shd w:fill="F4F6F9" w:val="clear"/>
            <w:tcMar>
              <w:top w:type="dxa" w:w="80"/>
              <w:left w:type="dxa" w:w="130"/>
              <w:bottom w:type="dxa" w:w="80"/>
              <w:right w:type="dxa" w:w="130"/>
            </w:tcMar>
          </w:tcPr>
          <w:p>
            <w:r>
              <w:rPr>
                <w:rFonts w:ascii="Arial" w:cs="Arial" w:eastAsia="Arial" w:hAnsi="Arial"/>
                <w:b/>
                <w:bCs/>
                <w:color w:val="1A1A2E"/>
                <w:sz w:val="18"/>
                <w:szCs w:val="18"/>
              </w:rPr>
              <w:t xml:space="preserve">Liver</w:t>
            </w:r>
          </w:p>
        </w:tc>
        <w:tc>
          <w:tcPr>
            <w:tcW w:type="dxa" w:w="3360"/>
            <w:tcBorders>
              <w:top w:val="single" w:color="D5D8DC" w:sz="1"/>
              <w:left w:val="single" w:color="D5D8DC" w:sz="1"/>
              <w:bottom w:val="single" w:color="D5D8DC" w:sz="1"/>
              <w:right w:val="single" w:color="D5D8DC" w:sz="1"/>
            </w:tcBorders>
            <w:shd w:fill="F4F6F9" w:val="clear"/>
            <w:tcMar>
              <w:top w:type="dxa" w:w="80"/>
              <w:left w:type="dxa" w:w="130"/>
              <w:bottom w:type="dxa" w:w="80"/>
              <w:right w:type="dxa" w:w="130"/>
            </w:tcMar>
          </w:tcPr>
          <w:p>
            <w:r>
              <w:rPr>
                <w:rFonts w:ascii="Arial" w:cs="Arial" w:eastAsia="Arial" w:hAnsi="Arial"/>
                <w:color w:val="5D6D7E"/>
                <w:sz w:val="17"/>
                <w:szCs w:val="17"/>
              </w:rPr>
              <w:t xml:space="preserve">Efficient filtering → Fatty deposits</w:t>
            </w:r>
          </w:p>
        </w:tc>
        <w:tc>
          <w:tcPr>
            <w:tcW w:type="dxa" w:w="2400"/>
            <w:tcBorders>
              <w:top w:val="single" w:color="D5D8DC" w:sz="1"/>
              <w:left w:val="single" w:color="D5D8DC" w:sz="1"/>
              <w:bottom w:val="single" w:color="D5D8DC" w:sz="1"/>
              <w:right w:val="single" w:color="D5D8DC" w:sz="1"/>
            </w:tcBorders>
            <w:shd w:fill="F4F6F9" w:val="clear"/>
            <w:tcMar>
              <w:top w:type="dxa" w:w="80"/>
              <w:left w:type="dxa" w:w="130"/>
              <w:bottom w:type="dxa" w:w="80"/>
              <w:right w:type="dxa" w:w="130"/>
            </w:tcMar>
          </w:tcPr>
          <w:p>
            <w:r>
              <w:rPr>
                <w:rFonts w:ascii="Arial" w:cs="Arial" w:eastAsia="Arial" w:hAnsi="Arial"/>
                <w:color w:val="1A1A2E"/>
                <w:sz w:val="17"/>
                <w:szCs w:val="17"/>
              </w:rPr>
              <w:t xml:space="preserve">Bloodstream carcinogens</w:t>
            </w:r>
          </w:p>
        </w:tc>
        <w:tc>
          <w:tcPr>
            <w:tcW w:type="dxa" w:w="1700"/>
            <w:tcBorders>
              <w:top w:val="single" w:color="D5D8DC" w:sz="1"/>
              <w:left w:val="single" w:color="D5D8DC" w:sz="1"/>
              <w:bottom w:val="single" w:color="D5D8DC" w:sz="1"/>
              <w:right w:val="single" w:color="D5D8DC" w:sz="1"/>
            </w:tcBorders>
            <w:shd w:fill="F4F6F9" w:val="clear"/>
            <w:tcMar>
              <w:top w:type="dxa" w:w="80"/>
              <w:left w:type="dxa" w:w="130"/>
              <w:bottom w:type="dxa" w:w="80"/>
              <w:right w:type="dxa" w:w="130"/>
            </w:tcMar>
          </w:tcPr>
          <w:p>
            <w:pPr>
              <w:jc w:val="center"/>
            </w:pPr>
            <w:r>
              <w:rPr>
                <w:rFonts w:ascii="Arial" w:cs="Arial" w:eastAsia="Arial" w:hAnsi="Arial"/>
                <w:b/>
                <w:bCs/>
                <w:color w:val="C0392B"/>
                <w:sz w:val="19"/>
                <w:szCs w:val="19"/>
              </w:rPr>
              <w:t xml:space="preserve">1.8×</w:t>
            </w:r>
          </w:p>
        </w:tc>
      </w:tr>
      <w:tr>
        <w:tc>
          <w:tcPr>
            <w:tcW w:type="dxa" w:w="1900"/>
            <w:tcBorders>
              <w:top w:val="single" w:color="D5D8DC" w:sz="1"/>
              <w:left w:val="single" w:color="D5D8DC" w:sz="1"/>
              <w:bottom w:val="single" w:color="D5D8DC" w:sz="1"/>
              <w:right w:val="single" w:color="D5D8DC" w:sz="1"/>
            </w:tcBorders>
            <w:shd w:fill="FFFFFF" w:val="clear"/>
            <w:tcMar>
              <w:top w:type="dxa" w:w="80"/>
              <w:left w:type="dxa" w:w="130"/>
              <w:bottom w:type="dxa" w:w="80"/>
              <w:right w:type="dxa" w:w="130"/>
            </w:tcMar>
          </w:tcPr>
          <w:p>
            <w:r>
              <w:rPr>
                <w:rFonts w:ascii="Arial" w:cs="Arial" w:eastAsia="Arial" w:hAnsi="Arial"/>
                <w:b/>
                <w:bCs/>
                <w:color w:val="1A1A2E"/>
                <w:sz w:val="18"/>
                <w:szCs w:val="18"/>
              </w:rPr>
              <w:t xml:space="preserve">Kidneys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30"/>
              <w:bottom w:type="dxa" w:w="80"/>
              <w:right w:type="dxa" w:w="130"/>
            </w:tcMar>
          </w:tcPr>
          <w:p>
            <w:r>
              <w:rPr>
                <w:rFonts w:ascii="Arial" w:cs="Arial" w:eastAsia="Arial" w:hAnsi="Arial"/>
                <w:color w:val="5D6D7E"/>
                <w:sz w:val="17"/>
                <w:szCs w:val="17"/>
              </w:rPr>
              <w:t xml:space="preserve">Clean filtration → Carcinogen buildup</w:t>
            </w:r>
          </w:p>
        </w:tc>
        <w:tc>
          <w:tcPr>
            <w:tcW w:type="dxa" w:w="2400"/>
            <w:tcBorders>
              <w:top w:val="single" w:color="D5D8DC" w:sz="1"/>
              <w:left w:val="single" w:color="D5D8DC" w:sz="1"/>
              <w:bottom w:val="single" w:color="D5D8DC" w:sz="1"/>
              <w:right w:val="single" w:color="D5D8DC" w:sz="1"/>
            </w:tcBorders>
            <w:shd w:fill="FFFFFF" w:val="clear"/>
            <w:tcMar>
              <w:top w:type="dxa" w:w="80"/>
              <w:left w:type="dxa" w:w="130"/>
              <w:bottom w:type="dxa" w:w="80"/>
              <w:right w:type="dxa" w:w="130"/>
            </w:tcMar>
          </w:tcPr>
          <w:p>
            <w:r>
              <w:rPr>
                <w:rFonts w:ascii="Arial" w:cs="Arial" w:eastAsia="Arial" w:hAnsi="Arial"/>
                <w:color w:val="1A1A2E"/>
                <w:sz w:val="17"/>
                <w:szCs w:val="17"/>
              </w:rPr>
              <w:t xml:space="preserve">Heavy toxic load</w:t>
            </w:r>
          </w:p>
        </w:tc>
        <w:tc>
          <w:tcPr>
            <w:tcW w:type="dxa" w:w="1700"/>
            <w:tcBorders>
              <w:top w:val="single" w:color="D5D8DC" w:sz="1"/>
              <w:left w:val="single" w:color="D5D8DC" w:sz="1"/>
              <w:bottom w:val="single" w:color="D5D8DC" w:sz="1"/>
              <w:right w:val="single" w:color="D5D8DC" w:sz="1"/>
            </w:tcBorders>
            <w:shd w:fill="FFFFFF" w:val="clear"/>
            <w:tcMar>
              <w:top w:type="dxa" w:w="80"/>
              <w:left w:type="dxa" w:w="130"/>
              <w:bottom w:type="dxa" w:w="80"/>
              <w:right w:type="dxa" w:w="130"/>
            </w:tcMar>
          </w:tcPr>
          <w:p>
            <w:pPr>
              <w:jc w:val="center"/>
            </w:pPr>
            <w:r>
              <w:rPr>
                <w:rFonts w:ascii="Arial" w:cs="Arial" w:eastAsia="Arial" w:hAnsi="Arial"/>
                <w:b/>
                <w:bCs/>
                <w:color w:val="C0392B"/>
                <w:sz w:val="19"/>
                <w:szCs w:val="19"/>
              </w:rPr>
              <w:t xml:space="preserve">1.7×</w:t>
            </w:r>
          </w:p>
        </w:tc>
      </w:tr>
      <w:tr>
        <w:tc>
          <w:tcPr>
            <w:tcW w:type="dxa" w:w="1900"/>
            <w:tcBorders>
              <w:top w:val="single" w:color="D5D8DC" w:sz="1"/>
              <w:left w:val="single" w:color="D5D8DC" w:sz="1"/>
              <w:bottom w:val="single" w:color="D5D8DC" w:sz="1"/>
              <w:right w:val="single" w:color="D5D8DC" w:sz="1"/>
            </w:tcBorders>
            <w:shd w:fill="F4F6F9" w:val="clear"/>
            <w:tcMar>
              <w:top w:type="dxa" w:w="80"/>
              <w:left w:type="dxa" w:w="130"/>
              <w:bottom w:type="dxa" w:w="80"/>
              <w:right w:type="dxa" w:w="130"/>
            </w:tcMar>
          </w:tcPr>
          <w:p>
            <w:r>
              <w:rPr>
                <w:rFonts w:ascii="Arial" w:cs="Arial" w:eastAsia="Arial" w:hAnsi="Arial"/>
                <w:b/>
                <w:bCs/>
                <w:color w:val="1A1A2E"/>
                <w:sz w:val="18"/>
                <w:szCs w:val="18"/>
              </w:rPr>
              <w:t xml:space="preserve">Heart</w:t>
            </w:r>
          </w:p>
        </w:tc>
        <w:tc>
          <w:tcPr>
            <w:tcW w:type="dxa" w:w="3360"/>
            <w:tcBorders>
              <w:top w:val="single" w:color="D5D8DC" w:sz="1"/>
              <w:left w:val="single" w:color="D5D8DC" w:sz="1"/>
              <w:bottom w:val="single" w:color="D5D8DC" w:sz="1"/>
              <w:right w:val="single" w:color="D5D8DC" w:sz="1"/>
            </w:tcBorders>
            <w:shd w:fill="F4F6F9" w:val="clear"/>
            <w:tcMar>
              <w:top w:type="dxa" w:w="80"/>
              <w:left w:type="dxa" w:w="130"/>
              <w:bottom w:type="dxa" w:w="80"/>
              <w:right w:type="dxa" w:w="130"/>
            </w:tcMar>
          </w:tcPr>
          <w:p>
            <w:r>
              <w:rPr>
                <w:rFonts w:ascii="Arial" w:cs="Arial" w:eastAsia="Arial" w:hAnsi="Arial"/>
                <w:color w:val="5D6D7E"/>
                <w:sz w:val="17"/>
                <w:szCs w:val="17"/>
              </w:rPr>
              <w:t xml:space="preserve">Strong output → Weakened walls</w:t>
            </w:r>
          </w:p>
        </w:tc>
        <w:tc>
          <w:tcPr>
            <w:tcW w:type="dxa" w:w="2400"/>
            <w:tcBorders>
              <w:top w:val="single" w:color="D5D8DC" w:sz="1"/>
              <w:left w:val="single" w:color="D5D8DC" w:sz="1"/>
              <w:bottom w:val="single" w:color="D5D8DC" w:sz="1"/>
              <w:right w:val="single" w:color="D5D8DC" w:sz="1"/>
            </w:tcBorders>
            <w:shd w:fill="F4F6F9" w:val="clear"/>
            <w:tcMar>
              <w:top w:type="dxa" w:w="80"/>
              <w:left w:type="dxa" w:w="130"/>
              <w:bottom w:type="dxa" w:w="80"/>
              <w:right w:type="dxa" w:w="130"/>
            </w:tcMar>
          </w:tcPr>
          <w:p>
            <w:r>
              <w:rPr>
                <w:rFonts w:ascii="Arial" w:cs="Arial" w:eastAsia="Arial" w:hAnsi="Arial"/>
                <w:color w:val="1A1A2E"/>
                <w:sz w:val="17"/>
                <w:szCs w:val="17"/>
              </w:rPr>
              <w:t xml:space="preserve">Indirect amplifier</w:t>
            </w:r>
          </w:p>
        </w:tc>
        <w:tc>
          <w:tcPr>
            <w:tcW w:type="dxa" w:w="1700"/>
            <w:tcBorders>
              <w:top w:val="single" w:color="D5D8DC" w:sz="1"/>
              <w:left w:val="single" w:color="D5D8DC" w:sz="1"/>
              <w:bottom w:val="single" w:color="D5D8DC" w:sz="1"/>
              <w:right w:val="single" w:color="D5D8DC" w:sz="1"/>
            </w:tcBorders>
            <w:shd w:fill="F4F6F9" w:val="clear"/>
            <w:tcMar>
              <w:top w:type="dxa" w:w="80"/>
              <w:left w:type="dxa" w:w="130"/>
              <w:bottom w:type="dxa" w:w="80"/>
              <w:right w:type="dxa" w:w="130"/>
            </w:tcMar>
          </w:tcPr>
          <w:p>
            <w:pPr>
              <w:jc w:val="center"/>
            </w:pPr>
            <w:r>
              <w:rPr>
                <w:rFonts w:ascii="Arial" w:cs="Arial" w:eastAsia="Arial" w:hAnsi="Arial"/>
                <w:b/>
                <w:bCs/>
                <w:color w:val="C0392B"/>
                <w:sz w:val="19"/>
                <w:szCs w:val="19"/>
              </w:rPr>
              <w:t xml:space="preserve">1.6×</w:t>
            </w:r>
          </w:p>
        </w:tc>
      </w:tr>
    </w:tbl>
    <w:p>
      <w:pP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392B" w:val="clear"/>
            <w:tcMar>
              <w:top w:type="dxa" w:w="140"/>
              <w:left w:type="dxa" w:w="180"/>
              <w:bottom w:type="dxa" w:w="140"/>
              <w:right w:type="dxa" w:w="180"/>
            </w:tcMar>
            <w:vAlign w:val="center"/>
          </w:tcPr>
          <w:p>
            <w:pPr>
              <w:jc w:val="center"/>
            </w:pPr>
            <w:r>
              <w:rPr>
                <w:rFonts w:ascii="Arial" w:cs="Arial" w:eastAsia="Arial" w:hAnsi="Arial"/>
                <w:b/>
                <w:bCs/>
                <w:color w:val="FFFFFF"/>
                <w:sz w:val="52"/>
                <w:szCs w:val="52"/>
              </w:rPr>
              <w:t xml:space="preserve">III</w:t>
            </w:r>
          </w:p>
        </w:tc>
        <w:tc>
          <w:tcPr>
            <w:tcW w:type="dxa" w:w="7860"/>
            <w:tcBorders>
              <w:top w:val="none" w:color="FFFFFF" w:sz="0"/>
              <w:left w:val="none" w:color="FFFFFF" w:sz="0"/>
              <w:bottom w:val="none" w:color="FFFFFF" w:sz="0"/>
              <w:right w:val="none" w:color="FFFFFF" w:sz="0"/>
            </w:tcBorders>
            <w:shd w:fill="1A1A2E" w:val="clear"/>
            <w:tcMar>
              <w:top w:type="dxa" w:w="130"/>
              <w:left w:type="dxa" w:w="240"/>
              <w:bottom w:type="dxa" w:w="130"/>
              <w:right w:type="dxa" w:w="180"/>
            </w:tcMar>
          </w:tcPr>
          <w:p>
            <w:pPr>
              <w:spacing w:after="30" w:before="0"/>
            </w:pPr>
            <w:r>
              <w:rPr>
                <w:rFonts w:ascii="Arial" w:cs="Arial" w:eastAsia="Arial" w:hAnsi="Arial"/>
                <w:b/>
                <w:bCs/>
                <w:color w:val="FFFFFF"/>
                <w:sz w:val="25"/>
                <w:szCs w:val="25"/>
              </w:rPr>
              <w:t xml:space="preserve">The Final Blow</w:t>
            </w:r>
          </w:p>
          <w:p>
            <w:pPr>
              <w:spacing w:after="0" w:before="0"/>
            </w:pPr>
            <w:r>
              <w:rPr>
                <w:rFonts w:ascii="Arial" w:cs="Arial" w:eastAsia="Arial" w:hAnsi="Arial"/>
                <w:i/>
                <w:iCs/>
                <w:color w:val="A0B4C8"/>
                <w:sz w:val="18"/>
                <w:szCs w:val="18"/>
              </w:rPr>
              <w:t xml:space="preserve">Cancer risk multiplies across organs — not just the lungs</w:t>
            </w:r>
          </w:p>
        </w:tc>
      </w:tr>
    </w:tbl>
    <w:p>
      <w:pPr>
        <w:spacing w:after="120" w:before="120"/>
      </w:pPr>
    </w:p>
    <w:p>
      <w:pPr>
        <w:spacing w:after="60" w:before="60" w:line="300"/>
      </w:pPr>
      <w:r>
        <w:rPr>
          <w:rFonts w:ascii="Arial" w:cs="Arial" w:eastAsia="Arial" w:hAnsi="Arial"/>
          <w:color w:val="1A1A2E"/>
          <w:sz w:val="20"/>
          <w:szCs w:val="20"/>
        </w:rPr>
        <w:t xml:space="preserve">WHO confirms smoking causes 85% of lung cancers globally — 15x risk for current smokers. But toxins spread via the bloodstream to the liver (1.8x) and kidneys (1.7x). These risks do not add — they multiply. Each damaged organ, each comorbidity, compounds the final probability exponentially.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none" w:color="FFFFFF" w:sz="0"/>
              <w:bottom w:val="single" w:color="C0392B" w:sz="6"/>
              <w:right w:val="none" w:color="FFFFFF" w:sz="0"/>
            </w:tcBorders>
            <w:shd w:fill="FDF2F0" w:val="clear"/>
            <w:tcMar>
              <w:top w:type="dxa" w:w="160"/>
              <w:left w:type="dxa" w:w="280"/>
              <w:bottom w:type="dxa" w:w="160"/>
              <w:right w:type="dxa" w:w="280"/>
            </w:tcMar>
          </w:tcPr>
          <w:p>
            <w:pPr>
              <w:spacing w:after="60" w:before="0"/>
              <w:jc w:val="center"/>
            </w:pPr>
            <w:r>
              <w:rPr>
                <w:rFonts w:ascii="Arial" w:cs="Arial" w:eastAsia="Arial" w:hAnsi="Arial"/>
                <w:b/>
                <w:bCs/>
                <w:color w:val="C0392B"/>
                <w:sz w:val="21"/>
                <w:szCs w:val="21"/>
              </w:rPr>
              <w:t xml:space="preserve">Multiplicative Risk Model</w:t>
            </w:r>
          </w:p>
          <w:p>
            <w:pPr>
              <w:spacing w:after="40" w:before="0"/>
              <w:jc w:val="center"/>
            </w:pPr>
            <w:r>
              <w:rPr>
                <w:rFonts w:ascii="Courier New" w:cs="Courier New" w:eastAsia="Courier New" w:hAnsi="Courier New"/>
                <w:color w:val="1A1A2E"/>
                <w:sz w:val="17"/>
                <w:szCs w:val="17"/>
              </w:rPr>
              <w:t xml:space="preserve">Combined RR = RR_smoking x RR_organ x RR_BMI x RR_BP x RR_family x RR_alcohol</w:t>
            </w:r>
          </w:p>
          <w:p>
            <w:pPr>
              <w:spacing w:after="0" w:before="0"/>
              <w:jc w:val="center"/>
            </w:pPr>
            <w:r>
              <w:rPr>
                <w:rFonts w:ascii="Courier New" w:cs="Courier New" w:eastAsia="Courier New" w:hAnsi="Courier New"/>
                <w:color w:val="2980B9"/>
                <w:sz w:val="17"/>
                <w:szCs w:val="17"/>
              </w:rPr>
              <w:t xml:space="preserve">P = 1 - (1 - baseline) ^ Combined RR</w:t>
            </w:r>
          </w:p>
        </w:tc>
      </w:tr>
    </w:tbl>
    <w:p>
      <w:pP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20"/>
              <w:left w:type="dxa" w:w="380"/>
              <w:bottom w:type="dxa" w:w="220"/>
              <w:right w:type="dxa" w:w="380"/>
            </w:tcMar>
          </w:tcPr>
          <w:p>
            <w:pPr>
              <w:spacing w:after="80" w:before="0"/>
            </w:pPr>
            <w:r>
              <w:rPr>
                <w:rFonts w:ascii="Arial" w:cs="Arial" w:eastAsia="Arial" w:hAnsi="Arial"/>
                <w:b/>
                <w:bCs/>
                <w:color w:val="FFFFFF"/>
                <w:sz w:val="24"/>
                <w:szCs w:val="24"/>
              </w:rPr>
              <w:t xml:space="preserve">Conclusion</w:t>
            </w:r>
          </w:p>
          <w:p>
            <w:pPr>
              <w:spacing w:after="40" w:before="40"/>
            </w:pPr>
            <w:r>
              <w:rPr>
                <w:rFonts w:ascii="Arial" w:cs="Arial" w:eastAsia="Arial" w:hAnsi="Arial"/>
                <w:b/>
                <w:bCs/>
                <w:color w:val="C0392B"/>
                <w:sz w:val="19"/>
                <w:szCs w:val="19"/>
              </w:rPr>
              <w:t xml:space="preserve">1. </w:t>
            </w:r>
            <w:r>
              <w:rPr>
                <w:rFonts w:ascii="Arial" w:cs="Arial" w:eastAsia="Arial" w:hAnsi="Arial"/>
                <w:color w:val="D0DBE8"/>
                <w:sz w:val="19"/>
                <w:szCs w:val="19"/>
              </w:rPr>
              <w:t xml:space="preserve">Smoking strains the cardiovascular system — raising blood pressure and degrading organ efficiency.</w:t>
            </w:r>
          </w:p>
          <w:p>
            <w:pPr>
              <w:spacing w:after="40" w:before="40"/>
            </w:pPr>
            <w:r>
              <w:rPr>
                <w:rFonts w:ascii="Arial" w:cs="Arial" w:eastAsia="Arial" w:hAnsi="Arial"/>
                <w:b/>
                <w:bCs/>
                <w:color w:val="C0392B"/>
                <w:sz w:val="19"/>
                <w:szCs w:val="19"/>
              </w:rPr>
              <w:t xml:space="preserve">2. </w:t>
            </w:r>
            <w:r>
              <w:rPr>
                <w:rFonts w:ascii="Arial" w:cs="Arial" w:eastAsia="Arial" w:hAnsi="Arial"/>
                <w:color w:val="D0DBE8"/>
                <w:sz w:val="19"/>
                <w:szCs w:val="19"/>
              </w:rPr>
              <w:t xml:space="preserve">Sustained exposure shifts organs Healthy -&gt; Damaged, triggering Field Cancerization (1.6x risk).</w:t>
            </w:r>
          </w:p>
          <w:p>
            <w:pPr>
              <w:spacing w:after="40" w:before="40"/>
            </w:pPr>
            <w:r>
              <w:rPr>
                <w:rFonts w:ascii="Arial" w:cs="Arial" w:eastAsia="Arial" w:hAnsi="Arial"/>
                <w:b/>
                <w:bCs/>
                <w:color w:val="C0392B"/>
                <w:sz w:val="19"/>
                <w:szCs w:val="19"/>
              </w:rPr>
              <w:t xml:space="preserve">3. </w:t>
            </w:r>
            <w:r>
              <w:rPr>
                <w:rFonts w:ascii="Arial" w:cs="Arial" w:eastAsia="Arial" w:hAnsi="Arial"/>
                <w:color w:val="D0DBE8"/>
                <w:sz w:val="19"/>
                <w:szCs w:val="19"/>
              </w:rPr>
              <w:t xml:space="preserve">Risk factors multiply, not add. Each damaged organ compounds the final cancer probability.</w:t>
            </w:r>
          </w:p>
          <w:p>
            <w:pPr>
              <w:spacing w:after="0" w:before="80"/>
            </w:pPr>
            <w:r>
              <w:rPr>
                <w:rFonts w:ascii="Arial" w:cs="Arial" w:eastAsia="Arial" w:hAnsi="Arial"/>
                <w:i/>
                <w:iCs/>
                <w:color w:val="A0B4C8"/>
                <w:sz w:val="18"/>
                <w:szCs w:val="18"/>
              </w:rPr>
              <w:t xml:space="preserve">We make data speak — 30,000 records + global epidemiology showing how smoking writes the body's final chapter.</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2026-06-30T00:57:53.135Z</dcterms:created>
  <dcterms:modified xsi:type="dcterms:W3CDTF">2026-06-30T00:57:53.135Z</dcterms:modified>
</cp:coreProperties>
</file>

<file path=docProps/custom.xml><?xml version="1.0" encoding="utf-8"?>
<Properties xmlns="http://schemas.openxmlformats.org/officeDocument/2006/custom-properties" xmlns:vt="http://schemas.openxmlformats.org/officeDocument/2006/docPropsVTypes"/>
</file>