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Central Superstore Sales Analysis</w:t>
      </w:r>
    </w:p>
    <w:p>
      <w:pPr>
        <w:jc w:val="center"/>
      </w:pPr>
      <w:r>
        <w:rPr>
          <w:i/>
        </w:rPr>
        <w:t>SQL Server Data Warehouse &amp; Business Analytics Report</w:t>
      </w:r>
    </w:p>
    <w:p>
      <w:pPr>
        <w:jc w:val="center"/>
      </w:pPr>
      <w:r>
        <w:br/>
        <w:t>Database: mini</w:t>
        <w:br/>
        <w:t>Dataset records: 2,323</w:t>
        <w:br/>
      </w:r>
    </w:p>
    <w:p>
      <w:r>
        <w:br w:type="page"/>
      </w:r>
    </w:p>
    <w:p>
      <w:pPr>
        <w:pStyle w:val="Heading1"/>
      </w:pPr>
      <w:r>
        <w:t>1. Executive Summary</w:t>
      </w:r>
    </w:p>
    <w:p>
      <w:r>
        <w:t>This project transforms the Central Superstore transactional dataset into a relational star-schema data warehouse and uses SQL Server to analyze sales, profitability, customers, products, sales trends, and discount impact. The final warehouse contains one fact table and five dimension tables, supported by primary keys, foreign keys, advanced SQL queries, a view, a stored procedure, and performance indexes.</w:t>
      </w:r>
    </w:p>
    <w:p>
      <w:pPr>
        <w:pStyle w:val="Heading1"/>
      </w:pPr>
      <w:r>
        <w:t>2. Data Warehouse Design</w:t>
      </w:r>
    </w:p>
    <w:p>
      <w:r>
        <w:t>The original data was normalized into a star schema. FactSales is the central fact table and the dimensions provide descriptive business context.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Table</w:t>
            </w:r>
          </w:p>
        </w:tc>
        <w:tc>
          <w:tcPr>
            <w:tcW w:type="dxa" w:w="2880"/>
          </w:tcPr>
          <w:p>
            <w:r>
              <w:t>Role</w:t>
            </w:r>
          </w:p>
        </w:tc>
        <w:tc>
          <w:tcPr>
            <w:tcW w:type="dxa" w:w="2880"/>
          </w:tcPr>
          <w:p>
            <w:r>
              <w:t>Primary Key</w:t>
            </w:r>
          </w:p>
        </w:tc>
      </w:tr>
      <w:tr>
        <w:tc>
          <w:tcPr>
            <w:tcW w:type="dxa" w:w="2880"/>
          </w:tcPr>
          <w:p>
            <w:r>
              <w:t>FactSales</w:t>
            </w:r>
          </w:p>
        </w:tc>
        <w:tc>
          <w:tcPr>
            <w:tcW w:type="dxa" w:w="2880"/>
          </w:tcPr>
          <w:p>
            <w:r>
              <w:t>Sales transactions and measures</w:t>
            </w:r>
          </w:p>
        </w:tc>
        <w:tc>
          <w:tcPr>
            <w:tcW w:type="dxa" w:w="2880"/>
          </w:tcPr>
          <w:p>
            <w:r>
              <w:t>SalesKey</w:t>
            </w:r>
          </w:p>
        </w:tc>
      </w:tr>
      <w:tr>
        <w:tc>
          <w:tcPr>
            <w:tcW w:type="dxa" w:w="2880"/>
          </w:tcPr>
          <w:p>
            <w:r>
              <w:t>DimCustomer</w:t>
            </w:r>
          </w:p>
        </w:tc>
        <w:tc>
          <w:tcPr>
            <w:tcW w:type="dxa" w:w="2880"/>
          </w:tcPr>
          <w:p>
            <w:r>
              <w:t>Customer and segment information</w:t>
            </w:r>
          </w:p>
        </w:tc>
        <w:tc>
          <w:tcPr>
            <w:tcW w:type="dxa" w:w="2880"/>
          </w:tcPr>
          <w:p>
            <w:r>
              <w:t>CustomerKey</w:t>
            </w:r>
          </w:p>
        </w:tc>
      </w:tr>
      <w:tr>
        <w:tc>
          <w:tcPr>
            <w:tcW w:type="dxa" w:w="2880"/>
          </w:tcPr>
          <w:p>
            <w:r>
              <w:t>DimProduct</w:t>
            </w:r>
          </w:p>
        </w:tc>
        <w:tc>
          <w:tcPr>
            <w:tcW w:type="dxa" w:w="2880"/>
          </w:tcPr>
          <w:p>
            <w:r>
              <w:t>Product, category and sub-category</w:t>
            </w:r>
          </w:p>
        </w:tc>
        <w:tc>
          <w:tcPr>
            <w:tcW w:type="dxa" w:w="2880"/>
          </w:tcPr>
          <w:p>
            <w:r>
              <w:t>ProductKey</w:t>
            </w:r>
          </w:p>
        </w:tc>
      </w:tr>
      <w:tr>
        <w:tc>
          <w:tcPr>
            <w:tcW w:type="dxa" w:w="2880"/>
          </w:tcPr>
          <w:p>
            <w:r>
              <w:t>DimLocation</w:t>
            </w:r>
          </w:p>
        </w:tc>
        <w:tc>
          <w:tcPr>
            <w:tcW w:type="dxa" w:w="2880"/>
          </w:tcPr>
          <w:p>
            <w:r>
              <w:t>Geographic information</w:t>
            </w:r>
          </w:p>
        </w:tc>
        <w:tc>
          <w:tcPr>
            <w:tcW w:type="dxa" w:w="2880"/>
          </w:tcPr>
          <w:p>
            <w:r>
              <w:t>LocationKey</w:t>
            </w:r>
          </w:p>
        </w:tc>
      </w:tr>
      <w:tr>
        <w:tc>
          <w:tcPr>
            <w:tcW w:type="dxa" w:w="2880"/>
          </w:tcPr>
          <w:p>
            <w:r>
              <w:t>DimShipping</w:t>
            </w:r>
          </w:p>
        </w:tc>
        <w:tc>
          <w:tcPr>
            <w:tcW w:type="dxa" w:w="2880"/>
          </w:tcPr>
          <w:p>
            <w:r>
              <w:t>Shipping mode</w:t>
            </w:r>
          </w:p>
        </w:tc>
        <w:tc>
          <w:tcPr>
            <w:tcW w:type="dxa" w:w="2880"/>
          </w:tcPr>
          <w:p>
            <w:r>
              <w:t>ShippingKey</w:t>
            </w:r>
          </w:p>
        </w:tc>
      </w:tr>
      <w:tr>
        <w:tc>
          <w:tcPr>
            <w:tcW w:type="dxa" w:w="2880"/>
          </w:tcPr>
          <w:p>
            <w:r>
              <w:t>DimDate</w:t>
            </w:r>
          </w:p>
        </w:tc>
        <w:tc>
          <w:tcPr>
            <w:tcW w:type="dxa" w:w="2880"/>
          </w:tcPr>
          <w:p>
            <w:r>
              <w:t>Date, year, quarter and month</w:t>
            </w:r>
          </w:p>
        </w:tc>
        <w:tc>
          <w:tcPr>
            <w:tcW w:type="dxa" w:w="2880"/>
          </w:tcPr>
          <w:p>
            <w:r>
              <w:t>DateKey</w:t>
            </w:r>
          </w:p>
        </w:tc>
      </w:tr>
    </w:tbl>
    <w:p>
      <w:pPr>
        <w:pStyle w:val="Heading1"/>
      </w:pPr>
      <w:r>
        <w:t>3. Key Performance Indicators</w:t>
      </w:r>
    </w:p>
    <w:tbl>
      <w:tblPr>
        <w:tblStyle w:val="TableGrid"/>
        <w:tblW w:type="auto" w:w="0"/>
        <w:tblLook w:firstColumn="1" w:firstRow="1" w:lastColumn="0" w:lastRow="0" w:noHBand="0" w:noVBand="1" w:val="04A0"/>
      </w:tblPr>
      <w:tblGrid>
        <w:gridCol w:w="4320"/>
        <w:gridCol w:w="4320"/>
      </w:tblGrid>
      <w:tr>
        <w:tc>
          <w:tcPr>
            <w:tcW w:type="dxa" w:w="4320"/>
          </w:tcPr>
          <w:p>
            <w:r>
              <w:t>KPI</w:t>
            </w:r>
          </w:p>
        </w:tc>
        <w:tc>
          <w:tcPr>
            <w:tcW w:type="dxa" w:w="4320"/>
          </w:tcPr>
          <w:p>
            <w:r>
              <w:t>Value</w:t>
            </w:r>
          </w:p>
        </w:tc>
      </w:tr>
      <w:tr>
        <w:tc>
          <w:tcPr>
            <w:tcW w:type="dxa" w:w="4320"/>
          </w:tcPr>
          <w:p>
            <w:r>
              <w:t>Total Sales</w:t>
            </w:r>
          </w:p>
        </w:tc>
        <w:tc>
          <w:tcPr>
            <w:tcW w:type="dxa" w:w="4320"/>
          </w:tcPr>
          <w:p>
            <w:r>
              <w:t>501,239.88</w:t>
            </w:r>
          </w:p>
        </w:tc>
      </w:tr>
      <w:tr>
        <w:tc>
          <w:tcPr>
            <w:tcW w:type="dxa" w:w="4320"/>
          </w:tcPr>
          <w:p>
            <w:r>
              <w:t>Total Profit</w:t>
            </w:r>
          </w:p>
        </w:tc>
        <w:tc>
          <w:tcPr>
            <w:tcW w:type="dxa" w:w="4320"/>
          </w:tcPr>
          <w:p>
            <w:r>
              <w:t>39,706.45</w:t>
            </w:r>
          </w:p>
        </w:tc>
      </w:tr>
      <w:tr>
        <w:tc>
          <w:tcPr>
            <w:tcW w:type="dxa" w:w="4320"/>
          </w:tcPr>
          <w:p>
            <w:r>
              <w:t>Total Quantity</w:t>
            </w:r>
          </w:p>
        </w:tc>
        <w:tc>
          <w:tcPr>
            <w:tcW w:type="dxa" w:w="4320"/>
          </w:tcPr>
          <w:p>
            <w:r>
              <w:t>8,780</w:t>
            </w:r>
          </w:p>
        </w:tc>
      </w:tr>
      <w:tr>
        <w:tc>
          <w:tcPr>
            <w:tcW w:type="dxa" w:w="4320"/>
          </w:tcPr>
          <w:p>
            <w:r>
              <w:t>Profit Margin</w:t>
            </w:r>
          </w:p>
        </w:tc>
        <w:tc>
          <w:tcPr>
            <w:tcW w:type="dxa" w:w="4320"/>
          </w:tcPr>
          <w:p>
            <w:r>
              <w:t>7.92%</w:t>
            </w:r>
          </w:p>
        </w:tc>
      </w:tr>
    </w:tbl>
    <w:p>
      <w:pPr>
        <w:pStyle w:val="Heading1"/>
      </w:pPr>
      <w:r>
        <w:t>4. Business Analysis</w:t>
      </w:r>
    </w:p>
    <w:p>
      <w:pPr>
        <w:pStyle w:val="Heading2"/>
      </w:pPr>
      <w:r>
        <w:t>4.1 Sales by Category</w:t>
      </w:r>
    </w:p>
    <w:p>
      <w:r>
        <w:t>Technology generated the highest sales at 170,416.29, followed by Office Supplies at 167,026.33 and Furniture at 163,797.26.</w:t>
      </w:r>
    </w:p>
    <w:p>
      <w:pPr>
        <w:pStyle w:val="Heading2"/>
      </w:pPr>
      <w:r>
        <w:t>4.2 Profitability by Category</w:t>
      </w:r>
    </w:p>
    <w:p>
      <w:r>
        <w:t>Technology was the most profitable category with 33,697.60 in profit. Office Supplies generated 8,879.95, while Furniture recorded a loss of 2,871.10.</w:t>
      </w:r>
    </w:p>
    <w:p>
      <w:pPr>
        <w:pStyle w:val="Heading2"/>
      </w:pPr>
      <w:r>
        <w:t>4.3 Customer Behavior</w:t>
      </w:r>
    </w:p>
    <w:p>
      <w:r>
        <w:t>The top customer by sales was Tamara Chand (TC-20980) with total sales of 18,437.14. A CTE was also used to rank customers by total sales.</w:t>
      </w:r>
    </w:p>
    <w:p>
      <w:pPr>
        <w:pStyle w:val="Heading2"/>
      </w:pPr>
      <w:r>
        <w:t>4.4 Product Performance</w:t>
      </w:r>
    </w:p>
    <w:p>
      <w:r>
        <w:t>The highest-selling product was the Canon imageCLASS 2200 Advanced Copier with 17,499.95 in sales. Loss-making products were also identified for profitability monitoring.</w:t>
      </w:r>
    </w:p>
    <w:p>
      <w:pPr>
        <w:pStyle w:val="Heading2"/>
      </w:pPr>
      <w:r>
        <w:t>4.5 Sales Trend</w:t>
      </w:r>
    </w:p>
    <w:p>
      <w:r>
        <w:t>Monthly sales were analyzed from 2013 through 2016. A notable peak occurred in September 2013 with sales of 34,408.69, while December 2015 reached 26,269.29.</w:t>
      </w:r>
    </w:p>
    <w:p>
      <w:pPr>
        <w:pStyle w:val="Heading2"/>
      </w:pPr>
      <w:r>
        <w:t>4.6 Discount Impact</w:t>
      </w:r>
    </w:p>
    <w:p>
      <w:r>
        <w:t>Transactions were classified into No Discount, Low Discount, Medium Discount, and High Discount levels using CASE, with sales and profit calculated for each level.</w:t>
      </w:r>
    </w:p>
    <w:p>
      <w:pPr>
        <w:pStyle w:val="Heading1"/>
      </w:pPr>
      <w:r>
        <w:t>5. SQL Implementation</w:t>
      </w:r>
    </w:p>
    <w:p>
      <w:pPr>
        <w:pStyle w:val="ListBullet"/>
      </w:pPr>
      <w:r>
        <w:t>Primary keys and foreign keys were created to enforce relational integrity.</w:t>
      </w:r>
    </w:p>
    <w:p>
      <w:pPr>
        <w:pStyle w:val="ListBullet"/>
      </w:pPr>
      <w:r>
        <w:t>JOIN operations were used to combine fact and dimension data.</w:t>
      </w:r>
    </w:p>
    <w:p>
      <w:pPr>
        <w:pStyle w:val="ListBullet"/>
      </w:pPr>
      <w:r>
        <w:t>CASE statements were used for profit-status and discount-level classification.</w:t>
      </w:r>
    </w:p>
    <w:p>
      <w:pPr>
        <w:pStyle w:val="ListBullet"/>
      </w:pPr>
      <w:r>
        <w:t>Two CTE analyses were implemented: monthly sales and customer ranking.</w:t>
      </w:r>
    </w:p>
    <w:p>
      <w:pPr>
        <w:pStyle w:val="ListBullet"/>
      </w:pPr>
      <w:r>
        <w:t>A subquery identified products with sales above the average product sales.</w:t>
      </w:r>
    </w:p>
    <w:p>
      <w:pPr>
        <w:pStyle w:val="ListBullet"/>
      </w:pPr>
      <w:r>
        <w:t>View: vw_SalesKPI for overall KPI reporting.</w:t>
      </w:r>
    </w:p>
    <w:p>
      <w:pPr>
        <w:pStyle w:val="ListBullet"/>
      </w:pPr>
      <w:r>
        <w:t>Stored Procedure: sp_GetKPIByYear for KPI reporting by year.</w:t>
      </w:r>
    </w:p>
    <w:p>
      <w:pPr>
        <w:pStyle w:val="ListBullet"/>
      </w:pPr>
      <w:r>
        <w:t>Indexes were created on FactSales foreign-key columns to improve JOIN and query performance.</w:t>
      </w:r>
    </w:p>
    <w:p>
      <w:pPr>
        <w:pStyle w:val="Heading1"/>
      </w:pPr>
      <w:r>
        <w:t>6. Assignment Requirements Coverage</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Status</w:t>
            </w:r>
          </w:p>
        </w:tc>
      </w:tr>
      <w:tr>
        <w:tc>
          <w:tcPr>
            <w:tcW w:type="dxa" w:w="4320"/>
          </w:tcPr>
          <w:p>
            <w:r>
              <w:t>Fact and dimension tables</w:t>
            </w:r>
          </w:p>
        </w:tc>
        <w:tc>
          <w:tcPr>
            <w:tcW w:type="dxa" w:w="4320"/>
          </w:tcPr>
          <w:p>
            <w:r>
              <w:t>Completed</w:t>
            </w:r>
          </w:p>
        </w:tc>
      </w:tr>
      <w:tr>
        <w:tc>
          <w:tcPr>
            <w:tcW w:type="dxa" w:w="4320"/>
          </w:tcPr>
          <w:p>
            <w:r>
              <w:t>Primary and foreign keys</w:t>
            </w:r>
          </w:p>
        </w:tc>
        <w:tc>
          <w:tcPr>
            <w:tcW w:type="dxa" w:w="4320"/>
          </w:tcPr>
          <w:p>
            <w:r>
              <w:t>Completed</w:t>
            </w:r>
          </w:p>
        </w:tc>
      </w:tr>
      <w:tr>
        <w:tc>
          <w:tcPr>
            <w:tcW w:type="dxa" w:w="4320"/>
          </w:tcPr>
          <w:p>
            <w:r>
              <w:t>Star schema</w:t>
            </w:r>
          </w:p>
        </w:tc>
        <w:tc>
          <w:tcPr>
            <w:tcW w:type="dxa" w:w="4320"/>
          </w:tcPr>
          <w:p>
            <w:r>
              <w:t>Completed</w:t>
            </w:r>
          </w:p>
        </w:tc>
      </w:tr>
      <w:tr>
        <w:tc>
          <w:tcPr>
            <w:tcW w:type="dxa" w:w="4320"/>
          </w:tcPr>
          <w:p>
            <w:r>
              <w:t>15+ SQL queries</w:t>
            </w:r>
          </w:p>
        </w:tc>
        <w:tc>
          <w:tcPr>
            <w:tcW w:type="dxa" w:w="4320"/>
          </w:tcPr>
          <w:p>
            <w:r>
              <w:t>Completed</w:t>
            </w:r>
          </w:p>
        </w:tc>
      </w:tr>
      <w:tr>
        <w:tc>
          <w:tcPr>
            <w:tcW w:type="dxa" w:w="4320"/>
          </w:tcPr>
          <w:p>
            <w:r>
              <w:t>3+ JOIN operations</w:t>
            </w:r>
          </w:p>
        </w:tc>
        <w:tc>
          <w:tcPr>
            <w:tcW w:type="dxa" w:w="4320"/>
          </w:tcPr>
          <w:p>
            <w:r>
              <w:t>Completed</w:t>
            </w:r>
          </w:p>
        </w:tc>
      </w:tr>
      <w:tr>
        <w:tc>
          <w:tcPr>
            <w:tcW w:type="dxa" w:w="4320"/>
          </w:tcPr>
          <w:p>
            <w:r>
              <w:t>2+ CTEs</w:t>
            </w:r>
          </w:p>
        </w:tc>
        <w:tc>
          <w:tcPr>
            <w:tcW w:type="dxa" w:w="4320"/>
          </w:tcPr>
          <w:p>
            <w:r>
              <w:t>Completed</w:t>
            </w:r>
          </w:p>
        </w:tc>
      </w:tr>
      <w:tr>
        <w:tc>
          <w:tcPr>
            <w:tcW w:type="dxa" w:w="4320"/>
          </w:tcPr>
          <w:p>
            <w:r>
              <w:t>Subquery</w:t>
            </w:r>
          </w:p>
        </w:tc>
        <w:tc>
          <w:tcPr>
            <w:tcW w:type="dxa" w:w="4320"/>
          </w:tcPr>
          <w:p>
            <w:r>
              <w:t>Completed</w:t>
            </w:r>
          </w:p>
        </w:tc>
      </w:tr>
      <w:tr>
        <w:tc>
          <w:tcPr>
            <w:tcW w:type="dxa" w:w="4320"/>
          </w:tcPr>
          <w:p>
            <w:r>
              <w:t>CASE statements</w:t>
            </w:r>
          </w:p>
        </w:tc>
        <w:tc>
          <w:tcPr>
            <w:tcW w:type="dxa" w:w="4320"/>
          </w:tcPr>
          <w:p>
            <w:r>
              <w:t>Completed</w:t>
            </w:r>
          </w:p>
        </w:tc>
      </w:tr>
      <w:tr>
        <w:tc>
          <w:tcPr>
            <w:tcW w:type="dxa" w:w="4320"/>
          </w:tcPr>
          <w:p>
            <w:r>
              <w:t>SQL View</w:t>
            </w:r>
          </w:p>
        </w:tc>
        <w:tc>
          <w:tcPr>
            <w:tcW w:type="dxa" w:w="4320"/>
          </w:tcPr>
          <w:p>
            <w:r>
              <w:t>Completed</w:t>
            </w:r>
          </w:p>
        </w:tc>
      </w:tr>
      <w:tr>
        <w:tc>
          <w:tcPr>
            <w:tcW w:type="dxa" w:w="4320"/>
          </w:tcPr>
          <w:p>
            <w:r>
              <w:t>Stored Procedure</w:t>
            </w:r>
          </w:p>
        </w:tc>
        <w:tc>
          <w:tcPr>
            <w:tcW w:type="dxa" w:w="4320"/>
          </w:tcPr>
          <w:p>
            <w:r>
              <w:t>Completed</w:t>
            </w:r>
          </w:p>
        </w:tc>
      </w:tr>
      <w:tr>
        <w:tc>
          <w:tcPr>
            <w:tcW w:type="dxa" w:w="4320"/>
          </w:tcPr>
          <w:p>
            <w:r>
              <w:t>Profitability analysis</w:t>
            </w:r>
          </w:p>
        </w:tc>
        <w:tc>
          <w:tcPr>
            <w:tcW w:type="dxa" w:w="4320"/>
          </w:tcPr>
          <w:p>
            <w:r>
              <w:t>Completed</w:t>
            </w:r>
          </w:p>
        </w:tc>
      </w:tr>
      <w:tr>
        <w:tc>
          <w:tcPr>
            <w:tcW w:type="dxa" w:w="4320"/>
          </w:tcPr>
          <w:p>
            <w:r>
              <w:t>Customer behavior analysis</w:t>
            </w:r>
          </w:p>
        </w:tc>
        <w:tc>
          <w:tcPr>
            <w:tcW w:type="dxa" w:w="4320"/>
          </w:tcPr>
          <w:p>
            <w:r>
              <w:t>Completed</w:t>
            </w:r>
          </w:p>
        </w:tc>
      </w:tr>
      <w:tr>
        <w:tc>
          <w:tcPr>
            <w:tcW w:type="dxa" w:w="4320"/>
          </w:tcPr>
          <w:p>
            <w:r>
              <w:t>Sales trend analysis</w:t>
            </w:r>
          </w:p>
        </w:tc>
        <w:tc>
          <w:tcPr>
            <w:tcW w:type="dxa" w:w="4320"/>
          </w:tcPr>
          <w:p>
            <w:r>
              <w:t>Completed</w:t>
            </w:r>
          </w:p>
        </w:tc>
      </w:tr>
      <w:tr>
        <w:tc>
          <w:tcPr>
            <w:tcW w:type="dxa" w:w="4320"/>
          </w:tcPr>
          <w:p>
            <w:r>
              <w:t>Performance optimization</w:t>
            </w:r>
          </w:p>
        </w:tc>
        <w:tc>
          <w:tcPr>
            <w:tcW w:type="dxa" w:w="4320"/>
          </w:tcPr>
          <w:p>
            <w:r>
              <w:t>Completed</w:t>
            </w:r>
          </w:p>
        </w:tc>
      </w:tr>
    </w:tbl>
    <w:p>
      <w:pPr>
        <w:pStyle w:val="Heading1"/>
      </w:pPr>
      <w:r>
        <w:t>7. Conclusion</w:t>
      </w:r>
    </w:p>
    <w:p>
      <w:r>
        <w:t>The project successfully converts the Central Superstore dataset into a structured SQL Server star-schema warehouse and provides analytical outputs for decision-making. The results highlight strong Technology performance, identify Furniture as a loss-making category, rank customers and products, and provide monthly sales trends.</w:t>
      </w:r>
    </w:p>
    <w:p>
      <w:pPr>
        <w:pStyle w:val="Heading1"/>
      </w:pPr>
      <w:r>
        <w:t>8. Suggested Management Actions</w:t>
      </w:r>
    </w:p>
    <w:p>
      <w:pPr>
        <w:pStyle w:val="ListBullet"/>
      </w:pPr>
      <w:r>
        <w:t>Investigate the causes of Furniture losses, including pricing and discount levels.</w:t>
      </w:r>
    </w:p>
    <w:p>
      <w:pPr>
        <w:pStyle w:val="ListBullet"/>
      </w:pPr>
      <w:r>
        <w:t>Focus on high-performing Technology products and customers.</w:t>
      </w:r>
    </w:p>
    <w:p>
      <w:pPr>
        <w:pStyle w:val="ListBullet"/>
      </w:pPr>
      <w:r>
        <w:t>Monitor products with consistently negative profit.</w:t>
      </w:r>
    </w:p>
    <w:p>
      <w:pPr>
        <w:pStyle w:val="ListBullet"/>
      </w:pPr>
      <w:r>
        <w:t>Use monthly sales trends for inventory and sales planning.</w:t>
      </w:r>
    </w:p>
    <w:p>
      <w:pPr>
        <w:pStyle w:val="ListBullet"/>
      </w:pPr>
      <w:r>
        <w:t>Review the effect of discounts on profitability.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