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69" w:lineRule="auto"/>
      </w:pPr>
      <w:r>
        <w:rPr>
          <w:b/>
          <w:i w:val="0"/>
          <w:color w:val="5A5A5A"/>
          <w:sz w:val="19"/>
        </w:rPr>
        <w:t>HACKATHON VITRU 2026</w:t>
      </w:r>
    </w:p>
    <w:p>
      <w:pPr>
        <w:spacing w:after="60"/>
      </w:pPr>
      <w:r>
        <w:rPr>
          <w:b/>
          <w:color w:val="0B4F8F"/>
          <w:sz w:val="48"/>
        </w:rPr>
        <w:t>Pré-pesquisa: evasão acadêmica</w:t>
      </w:r>
    </w:p>
    <w:p>
      <w:pPr>
        <w:spacing w:after="80" w:line="269" w:lineRule="auto"/>
      </w:pPr>
      <w:r>
        <w:rPr>
          <w:b w:val="0"/>
          <w:i w:val="0"/>
          <w:color w:val="5A5A5A"/>
          <w:sz w:val="22"/>
        </w:rPr>
        <w:t>Material de preparação do time · 15 e 16 de agosto de 2026 · São Paulo</w:t>
      </w:r>
    </w:p>
    <w:p>
      <w:pPr>
        <w:spacing w:after="120" w:line="269" w:lineRule="auto"/>
      </w:pPr>
      <w:r>
        <w:rPr>
          <w:b/>
          <w:i w:val="0"/>
          <w:color w:val="5A5A5A"/>
          <w:sz w:val="19"/>
        </w:rPr>
        <w:t xml:space="preserve">Sobre as citações: </w:t>
      </w:r>
      <w:r>
        <w:rPr>
          <w:b w:val="0"/>
          <w:i w:val="0"/>
          <w:color w:val="5A5A5A"/>
          <w:sz w:val="19"/>
        </w:rPr>
        <w:t xml:space="preserve">cada afirmação factual leva o número da fonte entre colchetes, e a lista numerada está no fim. Onde a fonte é secundária e o número não deve ser dito no palco sem conferência, o marcador vem com a palavra </w:t>
      </w:r>
      <w:r>
        <w:rPr>
          <w:b w:val="0"/>
          <w:i/>
          <w:color w:val="5A5A5A"/>
          <w:sz w:val="19"/>
        </w:rPr>
        <w:t>verificar</w:t>
      </w:r>
      <w:r>
        <w:rPr>
          <w:b w:val="0"/>
          <w:i w:val="0"/>
          <w:color w:val="5A5A5A"/>
          <w:sz w:val="19"/>
        </w:rPr>
        <w:t>. Parágrafo sem marcador é recomendação nossa, não é dado de fonte externa, e as seções 1, 3, 10 e 12 são inteiramente disso. Leia o aviso no início da seção Fontes.</w:t>
      </w:r>
    </w:p>
    <w:p>
      <w:pPr>
        <w:spacing w:before="40" w:after="200"/>
        <w:pBdr>
          <w:bottom w:val="single" w:sz="6" w:space="1" w:color="C8D4E0"/>
        </w:pBdr>
      </w:pPr>
    </w:p>
    <w:p>
      <w:pPr>
        <w:pStyle w:val="Heading1"/>
      </w:pPr>
      <w:r>
        <w:t>1. Como usar este material</w:t>
      </w:r>
    </w:p>
    <w:p>
      <w:pPr>
        <w:spacing w:line="269" w:lineRule="auto"/>
      </w:pPr>
      <w:r>
        <w:rPr>
          <w:b w:val="0"/>
          <w:i w:val="0"/>
        </w:rPr>
        <w:t>Ainda não sabemos o enunciado exato do desafio. Sabemos o tema (permanência e evasão), sabemos quem organiza, sabemos quais parceiros estarão na sala e sabemos bastante sobre o negócio da Vitru. Este documento existe para que, quando o enunciado aparecer, o time não gaste as primeiras horas descobrindo o contexto.</w:t>
      </w:r>
    </w:p>
    <w:p>
      <w:pPr>
        <w:pStyle w:val="Heading1"/>
      </w:pPr>
      <w:r>
        <w:t>2. O evento</w:t>
      </w:r>
    </w:p>
    <w:p>
      <w:pPr>
        <w:spacing w:line="269" w:lineRule="auto"/>
      </w:pPr>
      <w:r>
        <w:rPr>
          <w:b w:val="0"/>
          <w:i w:val="0"/>
        </w:rPr>
        <w:t>Tudo abaixo é informação pública, divulgada pela própria Vitru e por veículos que cobriram o lançamento.</w:t>
      </w:r>
    </w:p>
    <w:tbl>
      <w:tblPr>
        <w:tblStyle w:val="TableGrid"/>
        <w:tblW w:type="auto" w:w="0"/>
        <w:jc w:val="center"/>
        <w:tblLayout w:type="fixed"/>
        <w:tblLook w:firstColumn="1" w:firstRow="1" w:lastColumn="0" w:lastRow="0" w:noHBand="0" w:noVBand="1" w:val="04A0"/>
      </w:tblPr>
      <w:tblGrid>
        <w:gridCol w:w="1928"/>
        <w:gridCol w:w="7257"/>
      </w:tblGrid>
      <w:tr>
        <w:tc>
          <w:tcPr>
            <w:tcW w:type="dxa" w:w="1928"/>
            <w:shd w:val="clear" w:color="auto" w:fill="0B4F8F"/>
          </w:tcPr>
          <w:p>
            <w:pPr>
              <w:spacing w:before="60" w:after="60"/>
            </w:pPr>
            <w:r>
              <w:rPr>
                <w:b/>
                <w:color w:val="FFFFFF"/>
                <w:sz w:val="19"/>
              </w:rPr>
              <w:t>Item</w:t>
            </w:r>
          </w:p>
        </w:tc>
        <w:tc>
          <w:tcPr>
            <w:tcW w:type="dxa" w:w="7257"/>
            <w:shd w:val="clear" w:color="auto" w:fill="0B4F8F"/>
          </w:tcPr>
          <w:p>
            <w:pPr>
              <w:spacing w:before="60" w:after="60"/>
            </w:pPr>
            <w:r>
              <w:rPr>
                <w:b/>
                <w:color w:val="FFFFFF"/>
                <w:sz w:val="19"/>
              </w:rPr>
              <w:t>O que se sabe</w:t>
            </w:r>
          </w:p>
        </w:tc>
      </w:tr>
      <w:tr>
        <w:tc>
          <w:tcPr>
            <w:tcW w:type="dxa" w:w="1928"/>
          </w:tcPr>
          <w:p>
            <w:pPr>
              <w:spacing w:before="50" w:after="50" w:line="252" w:lineRule="auto"/>
            </w:pPr>
            <w:r>
              <w:rPr>
                <w:b w:val="0"/>
                <w:i w:val="0"/>
                <w:sz w:val="19"/>
              </w:rPr>
              <w:t>Quando e onde</w:t>
            </w:r>
          </w:p>
        </w:tc>
        <w:tc>
          <w:tcPr>
            <w:tcW w:type="dxa" w:w="7257"/>
          </w:tcPr>
          <w:p>
            <w:pPr>
              <w:spacing w:before="50" w:after="50" w:line="252" w:lineRule="auto"/>
            </w:pPr>
            <w:r>
              <w:rPr>
                <w:b w:val="0"/>
                <w:i w:val="0"/>
                <w:sz w:val="19"/>
              </w:rPr>
              <w:t>15 e 16 de agosto de 2026, presencial, na sede da Vitru Educação em São Paulo</w:t>
            </w:r>
            <w:r>
              <w:rPr>
                <w:b/>
                <w:i w:val="0"/>
                <w:color w:val="0B4F8F"/>
                <w:sz w:val="16"/>
              </w:rPr>
              <w:t xml:space="preserve"> [16, 17]</w:t>
            </w:r>
          </w:p>
        </w:tc>
      </w:tr>
      <w:tr>
        <w:tc>
          <w:tcPr>
            <w:tcW w:type="dxa" w:w="1928"/>
            <w:shd w:val="clear" w:color="auto" w:fill="EEF3F8"/>
          </w:tcPr>
          <w:p>
            <w:pPr>
              <w:spacing w:before="50" w:after="50" w:line="252" w:lineRule="auto"/>
            </w:pPr>
            <w:r>
              <w:rPr>
                <w:b w:val="0"/>
                <w:i w:val="0"/>
                <w:sz w:val="19"/>
              </w:rPr>
              <w:t>Formato</w:t>
            </w:r>
          </w:p>
        </w:tc>
        <w:tc>
          <w:tcPr>
            <w:tcW w:type="dxa" w:w="7257"/>
            <w:shd w:val="clear" w:color="auto" w:fill="EEF3F8"/>
          </w:tcPr>
          <w:p>
            <w:pPr>
              <w:spacing w:before="50" w:after="50" w:line="252" w:lineRule="auto"/>
            </w:pPr>
            <w:r>
              <w:rPr>
                <w:b w:val="0"/>
                <w:i w:val="0"/>
                <w:sz w:val="19"/>
              </w:rPr>
              <w:t>Maratona de dois dias, com mentoria e apresentação final para banca avaliadora</w:t>
            </w:r>
            <w:r>
              <w:rPr>
                <w:b/>
                <w:i w:val="0"/>
                <w:color w:val="0B4F8F"/>
                <w:sz w:val="16"/>
              </w:rPr>
              <w:t xml:space="preserve"> [17, 19]</w:t>
            </w:r>
          </w:p>
        </w:tc>
      </w:tr>
      <w:tr>
        <w:tc>
          <w:tcPr>
            <w:tcW w:type="dxa" w:w="1928"/>
          </w:tcPr>
          <w:p>
            <w:pPr>
              <w:spacing w:before="50" w:after="50" w:line="252" w:lineRule="auto"/>
            </w:pPr>
            <w:r>
              <w:rPr>
                <w:b w:val="0"/>
                <w:i w:val="0"/>
                <w:sz w:val="19"/>
              </w:rPr>
              <w:t>Escala</w:t>
            </w:r>
          </w:p>
        </w:tc>
        <w:tc>
          <w:tcPr>
            <w:tcW w:type="dxa" w:w="7257"/>
          </w:tcPr>
          <w:p>
            <w:pPr>
              <w:spacing w:before="50" w:after="50" w:line="252" w:lineRule="auto"/>
            </w:pPr>
            <w:r>
              <w:rPr>
                <w:b w:val="0"/>
                <w:i w:val="0"/>
                <w:sz w:val="19"/>
              </w:rPr>
              <w:t>32 participantes divididos em 8 times, ou seja, disputamos com 7 grupos</w:t>
            </w:r>
            <w:r>
              <w:rPr>
                <w:b/>
                <w:i w:val="0"/>
                <w:color w:val="0B4F8F"/>
                <w:sz w:val="16"/>
              </w:rPr>
              <w:t xml:space="preserve"> [17]</w:t>
            </w:r>
          </w:p>
        </w:tc>
      </w:tr>
      <w:tr>
        <w:tc>
          <w:tcPr>
            <w:tcW w:type="dxa" w:w="1928"/>
            <w:shd w:val="clear" w:color="auto" w:fill="EEF3F8"/>
          </w:tcPr>
          <w:p>
            <w:pPr>
              <w:spacing w:before="50" w:after="50" w:line="252" w:lineRule="auto"/>
            </w:pPr>
            <w:r>
              <w:rPr>
                <w:b w:val="0"/>
                <w:i w:val="0"/>
                <w:sz w:val="19"/>
              </w:rPr>
              <w:t>Tema</w:t>
            </w:r>
          </w:p>
        </w:tc>
        <w:tc>
          <w:tcPr>
            <w:tcW w:type="dxa" w:w="7257"/>
            <w:shd w:val="clear" w:color="auto" w:fill="EEF3F8"/>
          </w:tcPr>
          <w:p>
            <w:pPr>
              <w:spacing w:before="50" w:after="50" w:line="252" w:lineRule="auto"/>
            </w:pPr>
            <w:r>
              <w:rPr>
                <w:b w:val="0"/>
                <w:i w:val="0"/>
                <w:sz w:val="19"/>
              </w:rPr>
              <w:t>Permanência do estudante na graduação. O texto oficial fala em transformar dados e tecnologia em estratégias capazes de reduzir a evasão acadêmica</w:t>
            </w:r>
            <w:r>
              <w:rPr>
                <w:b/>
                <w:i w:val="0"/>
                <w:color w:val="0B4F8F"/>
                <w:sz w:val="16"/>
              </w:rPr>
              <w:t xml:space="preserve"> [18]</w:t>
            </w:r>
          </w:p>
        </w:tc>
      </w:tr>
      <w:tr>
        <w:tc>
          <w:tcPr>
            <w:tcW w:type="dxa" w:w="1928"/>
          </w:tcPr>
          <w:p>
            <w:pPr>
              <w:spacing w:before="50" w:after="50" w:line="252" w:lineRule="auto"/>
            </w:pPr>
            <w:r>
              <w:rPr>
                <w:b w:val="0"/>
                <w:i w:val="0"/>
                <w:sz w:val="19"/>
              </w:rPr>
              <w:t>Parceiros e mentores</w:t>
            </w:r>
          </w:p>
        </w:tc>
        <w:tc>
          <w:tcPr>
            <w:tcW w:type="dxa" w:w="7257"/>
          </w:tcPr>
          <w:p>
            <w:pPr>
              <w:spacing w:before="50" w:after="50" w:line="252" w:lineRule="auto"/>
            </w:pPr>
            <w:r>
              <w:rPr>
                <w:b w:val="0"/>
                <w:i w:val="0"/>
                <w:sz w:val="19"/>
              </w:rPr>
              <w:t>AWS, Lovable, Salesforce e InHire</w:t>
            </w:r>
            <w:r>
              <w:rPr>
                <w:b/>
                <w:i w:val="0"/>
                <w:color w:val="0B4F8F"/>
                <w:sz w:val="16"/>
              </w:rPr>
              <w:t xml:space="preserve"> [17]</w:t>
            </w:r>
          </w:p>
        </w:tc>
      </w:tr>
    </w:tbl>
    <w:p>
      <w:pPr>
        <w:spacing w:after="80"/>
      </w:pPr>
    </w:p>
    <w:p>
      <w:pPr>
        <w:pStyle w:val="Heading1"/>
      </w:pPr>
      <w:r>
        <w:t>3. O que a lista de parceiros nos conta</w:t>
      </w:r>
    </w:p>
    <w:p>
      <w:pPr>
        <w:spacing w:line="269" w:lineRule="auto"/>
      </w:pPr>
      <w:r>
        <w:rPr>
          <w:b w:val="0"/>
          <w:i w:val="0"/>
        </w:rPr>
        <w:t>A lista de mentores é o melhor indício disponível sobre o que a banca espera ver. Não é decoração de patrocínio, é a caixa de ferramentas que eles colocaram na sala.</w:t>
      </w:r>
    </w:p>
    <w:p>
      <w:pPr>
        <w:pStyle w:val="ListBullet"/>
        <w:spacing w:after="60" w:line="269" w:lineRule="auto"/>
      </w:pPr>
      <w:r>
        <w:rPr>
          <w:b/>
          <w:i w:val="0"/>
        </w:rPr>
        <w:t xml:space="preserve">Lovable </w:t>
      </w:r>
      <w:r>
        <w:rPr>
          <w:b w:val="0"/>
          <w:i w:val="0"/>
        </w:rPr>
        <w:t>é um construtor de aplicação por IA. A presença dele significa que esperam protótipo clicável, não wireframe em slide. Também significa que dá para ter tela pronta em horas.</w:t>
      </w:r>
    </w:p>
    <w:p>
      <w:pPr>
        <w:pStyle w:val="ListBullet"/>
        <w:spacing w:after="60" w:line="269" w:lineRule="auto"/>
      </w:pPr>
      <w:r>
        <w:rPr>
          <w:b/>
          <w:i w:val="0"/>
        </w:rPr>
        <w:t xml:space="preserve">AWS </w:t>
      </w:r>
      <w:r>
        <w:rPr>
          <w:b w:val="0"/>
          <w:i w:val="0"/>
        </w:rPr>
        <w:t>significa que a camada de inteligência pode rodar em serviço gerenciado. Ninguém espera que a gente treine um modelo do zero em dois dias.</w:t>
      </w:r>
    </w:p>
    <w:p>
      <w:pPr>
        <w:pStyle w:val="ListBullet"/>
        <w:spacing w:after="60" w:line="269" w:lineRule="auto"/>
      </w:pPr>
      <w:r>
        <w:rPr>
          <w:b/>
          <w:i w:val="0"/>
        </w:rPr>
        <w:t xml:space="preserve">Salesforce </w:t>
      </w:r>
      <w:r>
        <w:rPr>
          <w:b w:val="0"/>
          <w:i w:val="0"/>
        </w:rPr>
        <w:t>é o sinal mais informativo dos quatro. Salesforce é CRM. Quem coloca CRM na mesa está pensando em fila de atendimento, em tarefa que cai para alguém executar, em jornada operacional. Não está pensando em relatório.</w:t>
      </w:r>
    </w:p>
    <w:p>
      <w:pPr>
        <w:spacing w:line="269" w:lineRule="auto"/>
      </w:pPr>
      <w:r>
        <w:rPr>
          <w:b/>
          <w:i w:val="0"/>
        </w:rPr>
        <w:t>A conclusão prática: se a nossa solução termina em um gráfico, ela morre. Se ela termina em uma ação atribuída a alguém, com prazo e retorno medido, ela compete.</w:t>
      </w:r>
    </w:p>
    <w:p>
      <w:pPr>
        <w:pStyle w:val="Heading1"/>
      </w:pPr>
      <w:r>
        <w:t>4. A Vitru em números</w:t>
      </w:r>
    </w:p>
    <w:p>
      <w:pPr>
        <w:spacing w:line="269" w:lineRule="auto"/>
      </w:pPr>
      <w:r>
        <w:rPr>
          <w:b w:val="0"/>
          <w:i w:val="0"/>
        </w:rPr>
        <w:t>Estes números vêm dos resultados divulgados pela companhia referentes a 2025. Servem para dar autoridade em poucos segundos de fala e, principalmente, para dimensionar o impacto da nossa proposta em reais.</w:t>
      </w:r>
    </w:p>
    <w:tbl>
      <w:tblPr>
        <w:tblStyle w:val="TableGrid"/>
        <w:tblW w:type="auto" w:w="0"/>
        <w:jc w:val="center"/>
        <w:tblLayout w:type="fixed"/>
        <w:tblLook w:firstColumn="1" w:firstRow="1" w:lastColumn="0" w:lastRow="0" w:noHBand="0" w:noVBand="1" w:val="04A0"/>
      </w:tblPr>
      <w:tblGrid>
        <w:gridCol w:w="2041"/>
        <w:gridCol w:w="2608"/>
        <w:gridCol w:w="4535"/>
      </w:tblGrid>
      <w:tr>
        <w:tc>
          <w:tcPr>
            <w:tcW w:type="dxa" w:w="2041"/>
            <w:shd w:val="clear" w:color="auto" w:fill="0B4F8F"/>
          </w:tcPr>
          <w:p>
            <w:pPr>
              <w:spacing w:before="60" w:after="60"/>
            </w:pPr>
            <w:r>
              <w:rPr>
                <w:b/>
                <w:color w:val="FFFFFF"/>
                <w:sz w:val="19"/>
              </w:rPr>
              <w:t>Indicador</w:t>
            </w:r>
          </w:p>
        </w:tc>
        <w:tc>
          <w:tcPr>
            <w:tcW w:type="dxa" w:w="2608"/>
            <w:shd w:val="clear" w:color="auto" w:fill="0B4F8F"/>
          </w:tcPr>
          <w:p>
            <w:pPr>
              <w:spacing w:before="60" w:after="60"/>
            </w:pPr>
            <w:r>
              <w:rPr>
                <w:b/>
                <w:color w:val="FFFFFF"/>
                <w:sz w:val="19"/>
              </w:rPr>
              <w:t>Valor</w:t>
            </w:r>
          </w:p>
        </w:tc>
        <w:tc>
          <w:tcPr>
            <w:tcW w:type="dxa" w:w="4535"/>
            <w:shd w:val="clear" w:color="auto" w:fill="0B4F8F"/>
          </w:tcPr>
          <w:p>
            <w:pPr>
              <w:spacing w:before="60" w:after="60"/>
            </w:pPr>
            <w:r>
              <w:rPr>
                <w:b/>
                <w:color w:val="FFFFFF"/>
                <w:sz w:val="19"/>
              </w:rPr>
              <w:t>Leitura</w:t>
            </w:r>
          </w:p>
        </w:tc>
      </w:tr>
      <w:tr>
        <w:tc>
          <w:tcPr>
            <w:tcW w:type="dxa" w:w="2041"/>
          </w:tcPr>
          <w:p>
            <w:pPr>
              <w:spacing w:before="50" w:after="50" w:line="252" w:lineRule="auto"/>
            </w:pPr>
            <w:r>
              <w:rPr>
                <w:b/>
                <w:i w:val="0"/>
                <w:sz w:val="19"/>
              </w:rPr>
              <w:t>Base de alunos</w:t>
            </w:r>
          </w:p>
        </w:tc>
        <w:tc>
          <w:tcPr>
            <w:tcW w:type="dxa" w:w="2608"/>
          </w:tcPr>
          <w:p>
            <w:pPr>
              <w:spacing w:before="50" w:after="50" w:line="252" w:lineRule="auto"/>
            </w:pPr>
            <w:r>
              <w:rPr>
                <w:b w:val="0"/>
                <w:i w:val="0"/>
                <w:sz w:val="19"/>
              </w:rPr>
              <w:t>915,4 mil ao fim de 2025, alta de 11%</w:t>
            </w:r>
            <w:r>
              <w:rPr>
                <w:b/>
                <w:i w:val="0"/>
                <w:color w:val="0B4F8F"/>
                <w:sz w:val="16"/>
              </w:rPr>
              <w:t xml:space="preserve"> [20]</w:t>
            </w:r>
          </w:p>
        </w:tc>
        <w:tc>
          <w:tcPr>
            <w:tcW w:type="dxa" w:w="4535"/>
          </w:tcPr>
          <w:p>
            <w:pPr>
              <w:spacing w:before="50" w:after="50" w:line="252" w:lineRule="auto"/>
            </w:pPr>
            <w:r>
              <w:rPr>
                <w:b w:val="0"/>
                <w:i w:val="0"/>
                <w:sz w:val="19"/>
              </w:rPr>
              <w:t>Mais de 1,04 milhão considerando os polos no segundo semestre</w:t>
            </w:r>
          </w:p>
        </w:tc>
      </w:tr>
      <w:tr>
        <w:tc>
          <w:tcPr>
            <w:tcW w:type="dxa" w:w="2041"/>
            <w:shd w:val="clear" w:color="auto" w:fill="EEF3F8"/>
          </w:tcPr>
          <w:p>
            <w:pPr>
              <w:spacing w:before="50" w:after="50" w:line="252" w:lineRule="auto"/>
            </w:pPr>
            <w:r>
              <w:rPr>
                <w:b/>
                <w:i w:val="0"/>
                <w:sz w:val="19"/>
              </w:rPr>
              <w:t>Polos de apoio</w:t>
            </w:r>
          </w:p>
        </w:tc>
        <w:tc>
          <w:tcPr>
            <w:tcW w:type="dxa" w:w="2608"/>
            <w:shd w:val="clear" w:color="auto" w:fill="EEF3F8"/>
          </w:tcPr>
          <w:p>
            <w:pPr>
              <w:spacing w:before="50" w:after="50" w:line="252" w:lineRule="auto"/>
            </w:pPr>
            <w:r>
              <w:rPr>
                <w:b w:val="0"/>
                <w:i w:val="0"/>
                <w:sz w:val="19"/>
              </w:rPr>
              <w:t>Mais de 2.500</w:t>
            </w:r>
            <w:r>
              <w:rPr>
                <w:b/>
                <w:i w:val="0"/>
                <w:color w:val="0B4F8F"/>
                <w:sz w:val="16"/>
              </w:rPr>
              <w:t xml:space="preserve"> [20, 21]</w:t>
            </w:r>
          </w:p>
        </w:tc>
        <w:tc>
          <w:tcPr>
            <w:tcW w:type="dxa" w:w="4535"/>
            <w:shd w:val="clear" w:color="auto" w:fill="EEF3F8"/>
          </w:tcPr>
          <w:p>
            <w:pPr>
              <w:spacing w:before="50" w:after="50" w:line="252" w:lineRule="auto"/>
            </w:pPr>
            <w:r>
              <w:rPr>
                <w:b w:val="0"/>
                <w:i w:val="0"/>
                <w:sz w:val="19"/>
              </w:rPr>
              <w:t>Capilaridade física é ativo, e também canal de intervenção</w:t>
            </w:r>
          </w:p>
        </w:tc>
      </w:tr>
      <w:tr>
        <w:tc>
          <w:tcPr>
            <w:tcW w:type="dxa" w:w="2041"/>
          </w:tcPr>
          <w:p>
            <w:pPr>
              <w:spacing w:before="50" w:after="50" w:line="252" w:lineRule="auto"/>
            </w:pPr>
            <w:r>
              <w:rPr>
                <w:b/>
                <w:i w:val="0"/>
                <w:sz w:val="19"/>
              </w:rPr>
              <w:t>Marcas</w:t>
            </w:r>
          </w:p>
        </w:tc>
        <w:tc>
          <w:tcPr>
            <w:tcW w:type="dxa" w:w="2608"/>
          </w:tcPr>
          <w:p>
            <w:pPr>
              <w:spacing w:before="50" w:after="50" w:line="252" w:lineRule="auto"/>
            </w:pPr>
            <w:r>
              <w:rPr>
                <w:b w:val="0"/>
                <w:i w:val="0"/>
                <w:sz w:val="19"/>
              </w:rPr>
              <w:t>UNIASSELVI e UniCesumar</w:t>
            </w:r>
          </w:p>
        </w:tc>
        <w:tc>
          <w:tcPr>
            <w:tcW w:type="dxa" w:w="4535"/>
          </w:tcPr>
          <w:p>
            <w:pPr>
              <w:spacing w:before="50" w:after="50" w:line="252" w:lineRule="auto"/>
            </w:pPr>
            <w:r>
              <w:rPr>
                <w:b w:val="0"/>
                <w:i w:val="0"/>
                <w:sz w:val="19"/>
              </w:rPr>
              <w:t>Duas bases distintas, com perfis e processos diferentes</w:t>
            </w:r>
          </w:p>
        </w:tc>
      </w:tr>
      <w:tr>
        <w:tc>
          <w:tcPr>
            <w:tcW w:type="dxa" w:w="2041"/>
            <w:shd w:val="clear" w:color="auto" w:fill="EEF3F8"/>
          </w:tcPr>
          <w:p>
            <w:pPr>
              <w:spacing w:before="50" w:after="50" w:line="252" w:lineRule="auto"/>
            </w:pPr>
            <w:r>
              <w:rPr>
                <w:b/>
                <w:i w:val="0"/>
                <w:sz w:val="19"/>
              </w:rPr>
              <w:t>Receita líquida</w:t>
            </w:r>
          </w:p>
        </w:tc>
        <w:tc>
          <w:tcPr>
            <w:tcW w:type="dxa" w:w="2608"/>
            <w:shd w:val="clear" w:color="auto" w:fill="EEF3F8"/>
          </w:tcPr>
          <w:p>
            <w:pPr>
              <w:spacing w:before="50" w:after="50" w:line="252" w:lineRule="auto"/>
            </w:pPr>
            <w:r>
              <w:rPr>
                <w:b w:val="0"/>
                <w:i w:val="0"/>
                <w:sz w:val="19"/>
              </w:rPr>
              <w:t>R$ 2,3 bilhões, alta de 5,5%</w:t>
            </w:r>
            <w:r>
              <w:rPr>
                <w:b/>
                <w:i w:val="0"/>
                <w:color w:val="0B4F8F"/>
                <w:sz w:val="16"/>
              </w:rPr>
              <w:t xml:space="preserve"> [20]</w:t>
            </w:r>
          </w:p>
        </w:tc>
        <w:tc>
          <w:tcPr>
            <w:tcW w:type="dxa" w:w="4535"/>
            <w:shd w:val="clear" w:color="auto" w:fill="EEF3F8"/>
          </w:tcPr>
          <w:p>
            <w:pPr>
              <w:spacing w:before="50" w:after="50" w:line="252" w:lineRule="auto"/>
            </w:pPr>
            <w:r>
              <w:rPr>
                <w:b w:val="0"/>
                <w:i w:val="0"/>
                <w:sz w:val="19"/>
              </w:rPr>
              <w:t>Cresce menos que a base, porque o ticket caiu</w:t>
            </w:r>
          </w:p>
        </w:tc>
      </w:tr>
      <w:tr>
        <w:tc>
          <w:tcPr>
            <w:tcW w:type="dxa" w:w="2041"/>
          </w:tcPr>
          <w:p>
            <w:pPr>
              <w:spacing w:before="50" w:after="50" w:line="252" w:lineRule="auto"/>
            </w:pPr>
            <w:r>
              <w:rPr>
                <w:b/>
                <w:i w:val="0"/>
                <w:sz w:val="19"/>
              </w:rPr>
              <w:t>EBITDA ajustado</w:t>
            </w:r>
          </w:p>
        </w:tc>
        <w:tc>
          <w:tcPr>
            <w:tcW w:type="dxa" w:w="2608"/>
          </w:tcPr>
          <w:p>
            <w:pPr>
              <w:spacing w:before="50" w:after="50" w:line="252" w:lineRule="auto"/>
            </w:pPr>
            <w:r>
              <w:rPr>
                <w:b w:val="0"/>
                <w:i w:val="0"/>
                <w:sz w:val="19"/>
              </w:rPr>
              <w:t>R$ 873,7 milhões, margem de 38,7%</w:t>
            </w:r>
            <w:r>
              <w:rPr>
                <w:b/>
                <w:i w:val="0"/>
                <w:color w:val="0B4F8F"/>
                <w:sz w:val="16"/>
              </w:rPr>
              <w:t xml:space="preserve"> [20]</w:t>
            </w:r>
          </w:p>
        </w:tc>
        <w:tc>
          <w:tcPr>
            <w:tcW w:type="dxa" w:w="4535"/>
          </w:tcPr>
          <w:p>
            <w:pPr>
              <w:spacing w:before="50" w:after="50" w:line="252" w:lineRule="auto"/>
            </w:pPr>
            <w:r>
              <w:rPr>
                <w:b w:val="0"/>
                <w:i w:val="0"/>
                <w:sz w:val="19"/>
              </w:rPr>
              <w:t>Margem alta, então cada aluno retido converte bem em resultado</w:t>
            </w:r>
          </w:p>
        </w:tc>
      </w:tr>
      <w:tr>
        <w:tc>
          <w:tcPr>
            <w:tcW w:type="dxa" w:w="2041"/>
            <w:shd w:val="clear" w:color="auto" w:fill="EEF3F8"/>
          </w:tcPr>
          <w:p>
            <w:pPr>
              <w:spacing w:before="50" w:after="50" w:line="252" w:lineRule="auto"/>
            </w:pPr>
            <w:r>
              <w:rPr>
                <w:b/>
                <w:i w:val="0"/>
                <w:sz w:val="19"/>
              </w:rPr>
              <w:t>Lucro líquido</w:t>
            </w:r>
          </w:p>
        </w:tc>
        <w:tc>
          <w:tcPr>
            <w:tcW w:type="dxa" w:w="2608"/>
            <w:shd w:val="clear" w:color="auto" w:fill="EEF3F8"/>
          </w:tcPr>
          <w:p>
            <w:pPr>
              <w:spacing w:before="50" w:after="50" w:line="252" w:lineRule="auto"/>
            </w:pPr>
            <w:r>
              <w:rPr>
                <w:b w:val="0"/>
                <w:i w:val="0"/>
                <w:sz w:val="19"/>
              </w:rPr>
              <w:t>R$ 483,7 milhões, recorde</w:t>
            </w:r>
            <w:r>
              <w:rPr>
                <w:b/>
                <w:i w:val="0"/>
                <w:color w:val="0B4F8F"/>
                <w:sz w:val="16"/>
              </w:rPr>
              <w:t xml:space="preserve"> [20]</w:t>
            </w:r>
          </w:p>
        </w:tc>
        <w:tc>
          <w:tcPr>
            <w:tcW w:type="dxa" w:w="4535"/>
            <w:shd w:val="clear" w:color="auto" w:fill="EEF3F8"/>
          </w:tcPr>
          <w:p>
            <w:pPr>
              <w:spacing w:before="50" w:after="50" w:line="252" w:lineRule="auto"/>
            </w:pPr>
            <w:r>
              <w:rPr>
                <w:b w:val="0"/>
                <w:i w:val="0"/>
                <w:sz w:val="19"/>
              </w:rPr>
              <w:t>Companhia em bom momento, disposta a investir em retenção</w:t>
            </w:r>
          </w:p>
        </w:tc>
      </w:tr>
      <w:tr>
        <w:tc>
          <w:tcPr>
            <w:tcW w:type="dxa" w:w="2041"/>
          </w:tcPr>
          <w:p>
            <w:pPr>
              <w:spacing w:before="50" w:after="50" w:line="252" w:lineRule="auto"/>
            </w:pPr>
            <w:r>
              <w:rPr>
                <w:b/>
                <w:i w:val="0"/>
                <w:sz w:val="19"/>
              </w:rPr>
              <w:t>Ticket médio mensal EAD</w:t>
            </w:r>
          </w:p>
        </w:tc>
        <w:tc>
          <w:tcPr>
            <w:tcW w:type="dxa" w:w="2608"/>
          </w:tcPr>
          <w:p>
            <w:pPr>
              <w:spacing w:before="50" w:after="50" w:line="252" w:lineRule="auto"/>
            </w:pPr>
            <w:r>
              <w:rPr>
                <w:b w:val="0"/>
                <w:i w:val="0"/>
                <w:sz w:val="19"/>
              </w:rPr>
              <w:t>R$ 285,2, queda de 3,6% no ano</w:t>
            </w:r>
            <w:r>
              <w:rPr>
                <w:b/>
                <w:i w:val="0"/>
                <w:color w:val="0B4F8F"/>
                <w:sz w:val="16"/>
              </w:rPr>
              <w:t xml:space="preserve"> [23]</w:t>
            </w:r>
          </w:p>
        </w:tc>
        <w:tc>
          <w:tcPr>
            <w:tcW w:type="dxa" w:w="4535"/>
          </w:tcPr>
          <w:p>
            <w:pPr>
              <w:spacing w:before="50" w:after="50" w:line="252" w:lineRule="auto"/>
            </w:pPr>
            <w:r>
              <w:rPr>
                <w:b w:val="0"/>
                <w:i w:val="0"/>
                <w:sz w:val="19"/>
              </w:rPr>
              <w:t>Queda deliberada, por estratégia de acessibilidade</w:t>
            </w:r>
          </w:p>
        </w:tc>
      </w:tr>
      <w:tr>
        <w:tc>
          <w:tcPr>
            <w:tcW w:type="dxa" w:w="2041"/>
            <w:shd w:val="clear" w:color="auto" w:fill="EEF3F8"/>
          </w:tcPr>
          <w:p>
            <w:pPr>
              <w:spacing w:before="50" w:after="50" w:line="252" w:lineRule="auto"/>
            </w:pPr>
            <w:r>
              <w:rPr>
                <w:b/>
                <w:i w:val="0"/>
                <w:sz w:val="19"/>
              </w:rPr>
              <w:t>Provisão para inadimplência</w:t>
            </w:r>
          </w:p>
        </w:tc>
        <w:tc>
          <w:tcPr>
            <w:tcW w:type="dxa" w:w="2608"/>
            <w:shd w:val="clear" w:color="auto" w:fill="EEF3F8"/>
          </w:tcPr>
          <w:p>
            <w:pPr>
              <w:spacing w:before="50" w:after="50" w:line="252" w:lineRule="auto"/>
            </w:pPr>
            <w:r>
              <w:rPr>
                <w:b w:val="0"/>
                <w:i w:val="0"/>
                <w:sz w:val="19"/>
              </w:rPr>
              <w:t>10% da receita líquida, contra 10,8% em 2024</w:t>
            </w:r>
            <w:r>
              <w:rPr>
                <w:b/>
                <w:i w:val="0"/>
                <w:color w:val="0B4F8F"/>
                <w:sz w:val="16"/>
              </w:rPr>
              <w:t xml:space="preserve"> [22]</w:t>
            </w:r>
          </w:p>
        </w:tc>
        <w:tc>
          <w:tcPr>
            <w:tcW w:type="dxa" w:w="4535"/>
            <w:shd w:val="clear" w:color="auto" w:fill="EEF3F8"/>
          </w:tcPr>
          <w:p>
            <w:pPr>
              <w:spacing w:before="50" w:after="50" w:line="252" w:lineRule="auto"/>
            </w:pPr>
            <w:r>
              <w:rPr>
                <w:b w:val="0"/>
                <w:i w:val="0"/>
                <w:sz w:val="19"/>
              </w:rPr>
              <w:t>Inadimplência e evasão são vizinhas, e a companhia já mede isso</w:t>
            </w:r>
          </w:p>
        </w:tc>
      </w:tr>
      <w:tr>
        <w:tc>
          <w:tcPr>
            <w:tcW w:type="dxa" w:w="2041"/>
          </w:tcPr>
          <w:p>
            <w:pPr>
              <w:spacing w:before="50" w:after="50" w:line="252" w:lineRule="auto"/>
            </w:pPr>
            <w:r>
              <w:rPr>
                <w:b/>
                <w:i w:val="0"/>
                <w:sz w:val="19"/>
              </w:rPr>
              <w:t>Semipresencial</w:t>
            </w:r>
          </w:p>
        </w:tc>
        <w:tc>
          <w:tcPr>
            <w:tcW w:type="dxa" w:w="2608"/>
          </w:tcPr>
          <w:p>
            <w:pPr>
              <w:spacing w:before="50" w:after="50" w:line="252" w:lineRule="auto"/>
            </w:pPr>
            <w:r>
              <w:rPr>
                <w:b w:val="0"/>
                <w:i w:val="0"/>
                <w:sz w:val="19"/>
              </w:rPr>
              <w:t>Cresceu 55% e já é 55% das novas captações</w:t>
            </w:r>
            <w:r>
              <w:rPr>
                <w:b/>
                <w:i w:val="0"/>
                <w:color w:val="0B4F8F"/>
                <w:sz w:val="16"/>
              </w:rPr>
              <w:t xml:space="preserve"> [22]</w:t>
            </w:r>
          </w:p>
        </w:tc>
        <w:tc>
          <w:tcPr>
            <w:tcW w:type="dxa" w:w="4535"/>
          </w:tcPr>
          <w:p>
            <w:pPr>
              <w:spacing w:before="50" w:after="50" w:line="252" w:lineRule="auto"/>
            </w:pPr>
            <w:r>
              <w:rPr>
                <w:b w:val="0"/>
                <w:i w:val="0"/>
                <w:sz w:val="19"/>
              </w:rPr>
              <w:t>Migração em curso, dor fresca, pouca gente vai falar disso</w:t>
            </w:r>
          </w:p>
        </w:tc>
      </w:tr>
    </w:tbl>
    <w:p>
      <w:pPr>
        <w:spacing w:after="80"/>
      </w:pPr>
    </w:p>
    <w:p>
      <w:pPr>
        <w:spacing w:line="269" w:lineRule="auto"/>
      </w:pPr>
      <w:r>
        <w:rPr>
          <w:b w:val="0"/>
          <w:i w:val="0"/>
        </w:rPr>
        <w:t>Um ponto que muda a conversa: a Vitru já reporta queda consistente de evasão, atribuída a inteligência de dados, gamificação e redesenho da jornada do onboarding à rematrícula</w:t>
      </w:r>
      <w:r>
        <w:rPr>
          <w:b/>
          <w:i w:val="0"/>
          <w:color w:val="0B4F8F"/>
          <w:sz w:val="18"/>
        </w:rPr>
        <w:t xml:space="preserve"> [22]</w:t>
      </w:r>
      <w:r>
        <w:rPr>
          <w:b w:val="0"/>
          <w:i w:val="0"/>
        </w:rPr>
        <w:t>. Eles já têm agentes de IA em produção, chamados Edu e SofIA</w:t>
      </w:r>
      <w:r>
        <w:rPr>
          <w:b/>
          <w:i w:val="0"/>
          <w:color w:val="0B4F8F"/>
          <w:sz w:val="18"/>
        </w:rPr>
        <w:t xml:space="preserve"> [22, 24]</w:t>
      </w:r>
      <w:r>
        <w:rPr>
          <w:b w:val="0"/>
          <w:i w:val="0"/>
        </w:rPr>
        <w:t>. Chegar lá propondo prever quem vai evadir é propor o que eles já rodam.</w:t>
      </w:r>
    </w:p>
    <w:p>
      <w:pPr>
        <w:pStyle w:val="Heading1"/>
      </w:pPr>
      <w:r>
        <w:t>5. Quanto vale um ponto de evasão</w:t>
      </w:r>
    </w:p>
    <w:p>
      <w:pPr>
        <w:spacing w:line="269" w:lineRule="auto"/>
      </w:pPr>
      <w:r>
        <w:rPr>
          <w:b w:val="0"/>
          <w:i w:val="0"/>
        </w:rPr>
        <w:t>Este é o cálculo que quase nenhum time faz, e é o que separa uma ideia bonita de uma proposta que a banca consegue aprovar. Leve pronto e diga as premissas em voz alta, porque um jurado de finanças vai testar exatamente isso.</w:t>
      </w:r>
    </w:p>
    <w:p>
      <w:pPr>
        <w:spacing w:line="269" w:lineRule="auto"/>
      </w:pPr>
      <w:r>
        <w:rPr>
          <w:b w:val="0"/>
          <w:i/>
          <w:color w:val="5A5A5A"/>
          <w:sz w:val="19"/>
        </w:rPr>
        <w:t>Atenção: os números da tabela abaixo são cálculo nosso, não são divulgação da Vitru. As entradas (base, ticket e margem) é que vêm dos resultados da companhia. Deixe isso explícito ao apresentar.</w:t>
      </w:r>
    </w:p>
    <w:tbl>
      <w:tblPr>
        <w:tblStyle w:val="TableGrid"/>
        <w:tblW w:type="auto" w:w="0"/>
        <w:jc w:val="center"/>
        <w:tblLayout w:type="fixed"/>
        <w:tblLook w:firstColumn="1" w:firstRow="1" w:lastColumn="0" w:lastRow="0" w:noHBand="0" w:noVBand="1" w:val="04A0"/>
      </w:tblPr>
      <w:tblGrid>
        <w:gridCol w:w="2041"/>
        <w:gridCol w:w="4195"/>
        <w:gridCol w:w="2948"/>
      </w:tblGrid>
      <w:tr>
        <w:tc>
          <w:tcPr>
            <w:tcW w:type="dxa" w:w="2041"/>
            <w:shd w:val="clear" w:color="auto" w:fill="0B4F8F"/>
          </w:tcPr>
          <w:p>
            <w:pPr>
              <w:spacing w:before="60" w:after="60"/>
            </w:pPr>
            <w:r>
              <w:rPr>
                <w:b/>
                <w:color w:val="FFFFFF"/>
                <w:sz w:val="19"/>
              </w:rPr>
              <w:t>Passo</w:t>
            </w:r>
          </w:p>
        </w:tc>
        <w:tc>
          <w:tcPr>
            <w:tcW w:type="dxa" w:w="4195"/>
            <w:shd w:val="clear" w:color="auto" w:fill="0B4F8F"/>
          </w:tcPr>
          <w:p>
            <w:pPr>
              <w:spacing w:before="60" w:after="60"/>
            </w:pPr>
            <w:r>
              <w:rPr>
                <w:b/>
                <w:color w:val="FFFFFF"/>
                <w:sz w:val="19"/>
              </w:rPr>
              <w:t>Conta</w:t>
            </w:r>
          </w:p>
        </w:tc>
        <w:tc>
          <w:tcPr>
            <w:tcW w:type="dxa" w:w="2948"/>
            <w:shd w:val="clear" w:color="auto" w:fill="0B4F8F"/>
          </w:tcPr>
          <w:p>
            <w:pPr>
              <w:spacing w:before="60" w:after="60"/>
            </w:pPr>
            <w:r>
              <w:rPr>
                <w:b/>
                <w:color w:val="FFFFFF"/>
                <w:sz w:val="19"/>
              </w:rPr>
              <w:t>Resultado</w:t>
            </w:r>
          </w:p>
        </w:tc>
      </w:tr>
      <w:tr>
        <w:tc>
          <w:tcPr>
            <w:tcW w:type="dxa" w:w="2041"/>
          </w:tcPr>
          <w:p>
            <w:pPr>
              <w:spacing w:before="50" w:after="50" w:line="252" w:lineRule="auto"/>
            </w:pPr>
            <w:r>
              <w:rPr>
                <w:b/>
                <w:i w:val="0"/>
                <w:sz w:val="19"/>
              </w:rPr>
              <w:t>Base</w:t>
            </w:r>
          </w:p>
        </w:tc>
        <w:tc>
          <w:tcPr>
            <w:tcW w:type="dxa" w:w="4195"/>
          </w:tcPr>
          <w:p>
            <w:pPr>
              <w:spacing w:before="50" w:after="50" w:line="252" w:lineRule="auto"/>
            </w:pPr>
            <w:r>
              <w:rPr>
                <w:b w:val="0"/>
                <w:i w:val="0"/>
                <w:sz w:val="19"/>
              </w:rPr>
              <w:t>915,4 mil alunos</w:t>
            </w:r>
            <w:r>
              <w:rPr>
                <w:b/>
                <w:i w:val="0"/>
                <w:color w:val="0B4F8F"/>
                <w:sz w:val="16"/>
              </w:rPr>
              <w:t xml:space="preserve"> [20]</w:t>
            </w:r>
          </w:p>
        </w:tc>
        <w:tc>
          <w:tcPr>
            <w:tcW w:type="dxa" w:w="2948"/>
          </w:tcPr>
          <w:p>
            <w:pPr>
              <w:spacing w:before="50" w:after="50" w:line="252" w:lineRule="auto"/>
            </w:pPr>
            <w:r>
              <w:rPr>
                <w:b w:val="0"/>
                <w:i w:val="0"/>
                <w:sz w:val="19"/>
              </w:rPr>
              <w:t>1 ponto percentual equivale a 9.154 alunos</w:t>
            </w:r>
          </w:p>
        </w:tc>
      </w:tr>
      <w:tr>
        <w:tc>
          <w:tcPr>
            <w:tcW w:type="dxa" w:w="2041"/>
            <w:shd w:val="clear" w:color="auto" w:fill="EEF3F8"/>
          </w:tcPr>
          <w:p>
            <w:pPr>
              <w:spacing w:before="50" w:after="50" w:line="252" w:lineRule="auto"/>
            </w:pPr>
            <w:r>
              <w:rPr>
                <w:b/>
                <w:i w:val="0"/>
                <w:sz w:val="19"/>
              </w:rPr>
              <w:t>Cenário conservador</w:t>
            </w:r>
          </w:p>
        </w:tc>
        <w:tc>
          <w:tcPr>
            <w:tcW w:type="dxa" w:w="4195"/>
            <w:shd w:val="clear" w:color="auto" w:fill="EEF3F8"/>
          </w:tcPr>
          <w:p>
            <w:pPr>
              <w:spacing w:before="50" w:after="50" w:line="252" w:lineRule="auto"/>
            </w:pPr>
            <w:r>
              <w:rPr>
                <w:b w:val="0"/>
                <w:i w:val="0"/>
                <w:sz w:val="19"/>
              </w:rPr>
              <w:t>9.154 × R$ 285,2 × 6 meses de permanência adicional</w:t>
            </w:r>
            <w:r>
              <w:rPr>
                <w:b/>
                <w:i w:val="0"/>
                <w:color w:val="0B4F8F"/>
                <w:sz w:val="16"/>
              </w:rPr>
              <w:t xml:space="preserve"> [23]</w:t>
            </w:r>
          </w:p>
        </w:tc>
        <w:tc>
          <w:tcPr>
            <w:tcW w:type="dxa" w:w="2948"/>
            <w:shd w:val="clear" w:color="auto" w:fill="EEF3F8"/>
          </w:tcPr>
          <w:p>
            <w:pPr>
              <w:spacing w:before="50" w:after="50" w:line="252" w:lineRule="auto"/>
            </w:pPr>
            <w:r>
              <w:rPr>
                <w:b w:val="0"/>
                <w:i w:val="0"/>
                <w:sz w:val="19"/>
              </w:rPr>
              <w:t>R$ 15,7 milhões de receita</w:t>
            </w:r>
          </w:p>
        </w:tc>
      </w:tr>
      <w:tr>
        <w:tc>
          <w:tcPr>
            <w:tcW w:type="dxa" w:w="2041"/>
          </w:tcPr>
          <w:p>
            <w:pPr>
              <w:spacing w:before="50" w:after="50" w:line="252" w:lineRule="auto"/>
            </w:pPr>
            <w:r>
              <w:rPr>
                <w:b/>
                <w:i w:val="0"/>
                <w:sz w:val="19"/>
              </w:rPr>
              <w:t>Cenário de um ano</w:t>
            </w:r>
          </w:p>
        </w:tc>
        <w:tc>
          <w:tcPr>
            <w:tcW w:type="dxa" w:w="4195"/>
          </w:tcPr>
          <w:p>
            <w:pPr>
              <w:spacing w:before="50" w:after="50" w:line="252" w:lineRule="auto"/>
            </w:pPr>
            <w:r>
              <w:rPr>
                <w:b w:val="0"/>
                <w:i w:val="0"/>
                <w:sz w:val="19"/>
              </w:rPr>
              <w:t>9.154 × R$ 285,2 × 12 meses</w:t>
            </w:r>
          </w:p>
        </w:tc>
        <w:tc>
          <w:tcPr>
            <w:tcW w:type="dxa" w:w="2948"/>
          </w:tcPr>
          <w:p>
            <w:pPr>
              <w:spacing w:before="50" w:after="50" w:line="252" w:lineRule="auto"/>
            </w:pPr>
            <w:r>
              <w:rPr>
                <w:b w:val="0"/>
                <w:i w:val="0"/>
                <w:sz w:val="19"/>
              </w:rPr>
              <w:t>R$ 31,3 milhões de receita</w:t>
            </w:r>
          </w:p>
        </w:tc>
      </w:tr>
      <w:tr>
        <w:tc>
          <w:tcPr>
            <w:tcW w:type="dxa" w:w="2041"/>
            <w:shd w:val="clear" w:color="auto" w:fill="EEF3F8"/>
          </w:tcPr>
          <w:p>
            <w:pPr>
              <w:spacing w:before="50" w:after="50" w:line="252" w:lineRule="auto"/>
            </w:pPr>
            <w:r>
              <w:rPr>
                <w:b/>
                <w:i w:val="0"/>
                <w:sz w:val="19"/>
              </w:rPr>
              <w:t>Conversão em resultado</w:t>
            </w:r>
          </w:p>
        </w:tc>
        <w:tc>
          <w:tcPr>
            <w:tcW w:type="dxa" w:w="4195"/>
            <w:shd w:val="clear" w:color="auto" w:fill="EEF3F8"/>
          </w:tcPr>
          <w:p>
            <w:pPr>
              <w:spacing w:before="50" w:after="50" w:line="252" w:lineRule="auto"/>
            </w:pPr>
            <w:r>
              <w:rPr>
                <w:b w:val="0"/>
                <w:i w:val="0"/>
                <w:sz w:val="19"/>
              </w:rPr>
              <w:t>Aplicando a margem EBITDA de 38,7% sobre o cenário de um ano</w:t>
            </w:r>
            <w:r>
              <w:rPr>
                <w:b/>
                <w:i w:val="0"/>
                <w:color w:val="0B4F8F"/>
                <w:sz w:val="16"/>
              </w:rPr>
              <w:t xml:space="preserve"> [20]</w:t>
            </w:r>
          </w:p>
        </w:tc>
        <w:tc>
          <w:tcPr>
            <w:tcW w:type="dxa" w:w="2948"/>
            <w:shd w:val="clear" w:color="auto" w:fill="EEF3F8"/>
          </w:tcPr>
          <w:p>
            <w:pPr>
              <w:spacing w:before="50" w:after="50" w:line="252" w:lineRule="auto"/>
            </w:pPr>
            <w:r>
              <w:rPr>
                <w:b w:val="0"/>
                <w:i w:val="0"/>
                <w:sz w:val="19"/>
              </w:rPr>
              <w:t>Cerca de R$ 12 milhões de EBITDA</w:t>
            </w:r>
          </w:p>
        </w:tc>
      </w:tr>
    </w:tbl>
    <w:p>
      <w:pPr>
        <w:spacing w:after="80"/>
      </w:pPr>
    </w:p>
    <w:p>
      <w:pPr>
        <w:spacing w:line="269" w:lineRule="auto"/>
      </w:pPr>
      <w:r>
        <w:rPr>
          <w:b w:val="0"/>
          <w:i w:val="0"/>
        </w:rPr>
        <w:t>Existe um segundo eixo de valor que vale mencionar em uma frase. Retenção compete com captação: cada aluno retido é um aluno que não precisa ser comprado de novo, e que já teve o custo de onboarding pago. É o mesmo raciocínio que sustenta a queda da provisão para inadimplência de 10,8% para 10% da receita</w:t>
      </w:r>
      <w:r>
        <w:rPr>
          <w:b/>
          <w:i w:val="0"/>
          <w:color w:val="0B4F8F"/>
          <w:sz w:val="18"/>
        </w:rPr>
        <w:t xml:space="preserve"> [22]</w:t>
      </w:r>
      <w:r>
        <w:rPr>
          <w:b w:val="0"/>
          <w:i w:val="0"/>
        </w:rPr>
        <w:t>.</w:t>
      </w:r>
    </w:p>
    <w:p>
      <w:pPr>
        <w:spacing w:line="269" w:lineRule="auto"/>
      </w:pPr>
      <w:r>
        <w:rPr>
          <w:b/>
          <w:i w:val="0"/>
        </w:rPr>
        <w:t xml:space="preserve">Cuidado honesto: </w:t>
      </w:r>
      <w:r>
        <w:rPr>
          <w:b w:val="0"/>
          <w:i w:val="0"/>
        </w:rPr>
        <w:t>não afirme que a nossa solução entrega um ponto percentual. Diga que um ponto vale isso, e que o piloto proposto serve justamente para medir quanto entregamos. Prometer número sem teste é o jeito mais rápido de perder credibilidade na banca.</w:t>
      </w:r>
    </w:p>
    <w:p>
      <w:pPr>
        <w:pStyle w:val="Heading1"/>
      </w:pPr>
      <w:r>
        <w:t>6. Quem é o aluno que evade</w:t>
      </w:r>
    </w:p>
    <w:p>
      <w:pPr>
        <w:spacing w:line="269" w:lineRule="auto"/>
      </w:pPr>
      <w:r>
        <w:rPr>
          <w:b w:val="0"/>
          <w:i w:val="0"/>
        </w:rPr>
        <w:t>O erro clássico de time de hackathon é desenhar para o estudante de 19 anos morando perto do campus. O aluno EAD brasileiro tem outro perfil, e vale citar os números em vez do retrato genérico.</w:t>
      </w:r>
    </w:p>
    <w:tbl>
      <w:tblPr>
        <w:tblStyle w:val="TableGrid"/>
        <w:tblW w:type="auto" w:w="0"/>
        <w:jc w:val="center"/>
        <w:tblLayout w:type="fixed"/>
        <w:tblLook w:firstColumn="1" w:firstRow="1" w:lastColumn="0" w:lastRow="0" w:noHBand="0" w:noVBand="1" w:val="04A0"/>
      </w:tblPr>
      <w:tblGrid>
        <w:gridCol w:w="1928"/>
        <w:gridCol w:w="4876"/>
        <w:gridCol w:w="2381"/>
      </w:tblGrid>
      <w:tr>
        <w:tc>
          <w:tcPr>
            <w:tcW w:type="dxa" w:w="1928"/>
            <w:shd w:val="clear" w:color="auto" w:fill="0B4F8F"/>
          </w:tcPr>
          <w:p>
            <w:pPr>
              <w:spacing w:before="60" w:after="60"/>
            </w:pPr>
            <w:r>
              <w:rPr>
                <w:b/>
                <w:color w:val="FFFFFF"/>
                <w:sz w:val="19"/>
              </w:rPr>
              <w:t>Característica</w:t>
            </w:r>
          </w:p>
        </w:tc>
        <w:tc>
          <w:tcPr>
            <w:tcW w:type="dxa" w:w="4876"/>
            <w:shd w:val="clear" w:color="auto" w:fill="0B4F8F"/>
          </w:tcPr>
          <w:p>
            <w:pPr>
              <w:spacing w:before="60" w:after="60"/>
            </w:pPr>
            <w:r>
              <w:rPr>
                <w:b/>
                <w:color w:val="FFFFFF"/>
                <w:sz w:val="19"/>
              </w:rPr>
              <w:t>Número</w:t>
            </w:r>
          </w:p>
        </w:tc>
        <w:tc>
          <w:tcPr>
            <w:tcW w:type="dxa" w:w="2381"/>
            <w:shd w:val="clear" w:color="auto" w:fill="0B4F8F"/>
          </w:tcPr>
          <w:p>
            <w:pPr>
              <w:spacing w:before="60" w:after="60"/>
            </w:pPr>
            <w:r>
              <w:rPr>
                <w:b/>
                <w:color w:val="FFFFFF"/>
                <w:sz w:val="19"/>
              </w:rPr>
              <w:t>Fonte</w:t>
            </w:r>
          </w:p>
        </w:tc>
      </w:tr>
      <w:tr>
        <w:tc>
          <w:tcPr>
            <w:tcW w:type="dxa" w:w="1928"/>
          </w:tcPr>
          <w:p>
            <w:pPr>
              <w:spacing w:before="50" w:after="50" w:line="252" w:lineRule="auto"/>
            </w:pPr>
            <w:r>
              <w:rPr>
                <w:b/>
                <w:i w:val="0"/>
                <w:sz w:val="19"/>
              </w:rPr>
              <w:t>Gênero</w:t>
            </w:r>
          </w:p>
        </w:tc>
        <w:tc>
          <w:tcPr>
            <w:tcW w:type="dxa" w:w="4876"/>
          </w:tcPr>
          <w:p>
            <w:pPr>
              <w:spacing w:before="50" w:after="50" w:line="252" w:lineRule="auto"/>
            </w:pPr>
            <w:r>
              <w:rPr>
                <w:b w:val="0"/>
                <w:i w:val="0"/>
                <w:sz w:val="19"/>
              </w:rPr>
              <w:t>Predominância feminina, em torno de 56% na rede privada EAD</w:t>
            </w:r>
            <w:r>
              <w:rPr>
                <w:b/>
                <w:i w:val="0"/>
                <w:color w:val="0B4F8F"/>
                <w:sz w:val="16"/>
              </w:rPr>
              <w:t xml:space="preserve"> [28]</w:t>
            </w:r>
          </w:p>
        </w:tc>
        <w:tc>
          <w:tcPr>
            <w:tcW w:type="dxa" w:w="2381"/>
          </w:tcPr>
          <w:p>
            <w:pPr>
              <w:spacing w:before="50" w:after="50" w:line="252" w:lineRule="auto"/>
            </w:pPr>
            <w:r>
              <w:rPr>
                <w:b w:val="0"/>
                <w:i w:val="0"/>
                <w:sz w:val="19"/>
              </w:rPr>
              <w:t>Censo EAD.BR (ABED)</w:t>
            </w:r>
          </w:p>
        </w:tc>
      </w:tr>
      <w:tr>
        <w:tc>
          <w:tcPr>
            <w:tcW w:type="dxa" w:w="1928"/>
            <w:shd w:val="clear" w:color="auto" w:fill="EEF3F8"/>
          </w:tcPr>
          <w:p>
            <w:pPr>
              <w:spacing w:before="50" w:after="50" w:line="252" w:lineRule="auto"/>
            </w:pPr>
            <w:r>
              <w:rPr>
                <w:b/>
                <w:i w:val="0"/>
                <w:sz w:val="19"/>
              </w:rPr>
              <w:t>Idade</w:t>
            </w:r>
          </w:p>
        </w:tc>
        <w:tc>
          <w:tcPr>
            <w:tcW w:type="dxa" w:w="4876"/>
            <w:shd w:val="clear" w:color="auto" w:fill="EEF3F8"/>
          </w:tcPr>
          <w:p>
            <w:pPr>
              <w:spacing w:before="50" w:after="50" w:line="252" w:lineRule="auto"/>
            </w:pPr>
            <w:r>
              <w:rPr>
                <w:b w:val="0"/>
                <w:i w:val="0"/>
                <w:sz w:val="19"/>
              </w:rPr>
              <w:t>39,3% entre 26 e 30 anos, e 37% entre 31 e 40. Ou seja, cerca de três em cada quatro têm entre 26 e 40</w:t>
            </w:r>
            <w:r>
              <w:rPr>
                <w:b/>
                <w:i w:val="0"/>
                <w:color w:val="0B4F8F"/>
                <w:sz w:val="16"/>
              </w:rPr>
              <w:t xml:space="preserve"> [28]</w:t>
            </w:r>
          </w:p>
        </w:tc>
        <w:tc>
          <w:tcPr>
            <w:tcW w:type="dxa" w:w="2381"/>
            <w:shd w:val="clear" w:color="auto" w:fill="EEF3F8"/>
          </w:tcPr>
          <w:p>
            <w:pPr>
              <w:spacing w:before="50" w:after="50" w:line="252" w:lineRule="auto"/>
            </w:pPr>
            <w:r>
              <w:rPr>
                <w:b w:val="0"/>
                <w:i w:val="0"/>
                <w:sz w:val="19"/>
              </w:rPr>
              <w:t>Censo EAD.BR (ABED)</w:t>
            </w:r>
          </w:p>
        </w:tc>
      </w:tr>
      <w:tr>
        <w:tc>
          <w:tcPr>
            <w:tcW w:type="dxa" w:w="1928"/>
          </w:tcPr>
          <w:p>
            <w:pPr>
              <w:spacing w:before="50" w:after="50" w:line="252" w:lineRule="auto"/>
            </w:pPr>
            <w:r>
              <w:rPr>
                <w:b/>
                <w:i w:val="0"/>
                <w:sz w:val="19"/>
              </w:rPr>
              <w:t>Classe social</w:t>
            </w:r>
          </w:p>
        </w:tc>
        <w:tc>
          <w:tcPr>
            <w:tcW w:type="dxa" w:w="4876"/>
          </w:tcPr>
          <w:p>
            <w:pPr>
              <w:spacing w:before="50" w:after="50" w:line="252" w:lineRule="auto"/>
            </w:pPr>
            <w:r>
              <w:rPr>
                <w:b w:val="0"/>
                <w:i w:val="0"/>
                <w:sz w:val="19"/>
              </w:rPr>
              <w:t>93,5% dos alunos da EAD privada estão nas classes C, D e E</w:t>
            </w:r>
            <w:r>
              <w:rPr>
                <w:b/>
                <w:i w:val="0"/>
                <w:color w:val="0B4F8F"/>
                <w:sz w:val="16"/>
              </w:rPr>
              <w:t xml:space="preserve"> [28]</w:t>
            </w:r>
          </w:p>
        </w:tc>
        <w:tc>
          <w:tcPr>
            <w:tcW w:type="dxa" w:w="2381"/>
          </w:tcPr>
          <w:p>
            <w:pPr>
              <w:spacing w:before="50" w:after="50" w:line="252" w:lineRule="auto"/>
            </w:pPr>
            <w:r>
              <w:rPr>
                <w:b w:val="0"/>
                <w:i w:val="0"/>
                <w:sz w:val="19"/>
              </w:rPr>
              <w:t>Censo EAD.BR (ABED)</w:t>
            </w:r>
          </w:p>
        </w:tc>
      </w:tr>
      <w:tr>
        <w:tc>
          <w:tcPr>
            <w:tcW w:type="dxa" w:w="1928"/>
            <w:shd w:val="clear" w:color="auto" w:fill="EEF3F8"/>
          </w:tcPr>
          <w:p>
            <w:pPr>
              <w:spacing w:before="50" w:after="50" w:line="252" w:lineRule="auto"/>
            </w:pPr>
            <w:r>
              <w:rPr>
                <w:b/>
                <w:i w:val="0"/>
                <w:sz w:val="19"/>
              </w:rPr>
              <w:t>Trabalha e estuda</w:t>
            </w:r>
          </w:p>
        </w:tc>
        <w:tc>
          <w:tcPr>
            <w:tcW w:type="dxa" w:w="4876"/>
            <w:shd w:val="clear" w:color="auto" w:fill="EEF3F8"/>
          </w:tcPr>
          <w:p>
            <w:pPr>
              <w:spacing w:before="50" w:after="50" w:line="252" w:lineRule="auto"/>
            </w:pPr>
            <w:r>
              <w:rPr>
                <w:b w:val="0"/>
                <w:i w:val="0"/>
                <w:sz w:val="19"/>
              </w:rPr>
              <w:t>70,45% na rede privada, 65,63% na rede pública federal</w:t>
            </w:r>
            <w:r>
              <w:rPr>
                <w:b/>
                <w:i w:val="0"/>
                <w:color w:val="0B4F8F"/>
                <w:sz w:val="16"/>
              </w:rPr>
              <w:t xml:space="preserve"> [28]</w:t>
            </w:r>
          </w:p>
        </w:tc>
        <w:tc>
          <w:tcPr>
            <w:tcW w:type="dxa" w:w="2381"/>
            <w:shd w:val="clear" w:color="auto" w:fill="EEF3F8"/>
          </w:tcPr>
          <w:p>
            <w:pPr>
              <w:spacing w:before="50" w:after="50" w:line="252" w:lineRule="auto"/>
            </w:pPr>
            <w:r>
              <w:rPr>
                <w:b w:val="0"/>
                <w:i w:val="0"/>
                <w:sz w:val="19"/>
              </w:rPr>
              <w:t>Censo EAD.BR (ABED)</w:t>
            </w:r>
          </w:p>
        </w:tc>
      </w:tr>
    </w:tbl>
    <w:p>
      <w:pPr>
        <w:spacing w:after="80"/>
      </w:pPr>
    </w:p>
    <w:p>
      <w:pPr>
        <w:spacing w:line="269" w:lineRule="auto"/>
      </w:pPr>
      <w:r>
        <w:rPr>
          <w:b w:val="0"/>
          <w:i w:val="0"/>
        </w:rPr>
        <w:t>Com 93,5% nas três faixas, a leitura correta é que a sensibilidade a preço e a evento financeiro é ainda maior do que parecia.</w:t>
      </w:r>
    </w:p>
    <w:p>
      <w:pPr>
        <w:spacing w:line="269" w:lineRule="auto"/>
      </w:pPr>
      <w:r>
        <w:rPr>
          <w:b w:val="0"/>
          <w:i w:val="0"/>
        </w:rPr>
        <w:t>Isso tem consequências duras para qualquer proposta. Atividade síncrona em horário comercial está descartada. Solução que depende de computador está descartada. Notificação genérica avisando que a pessoa está em risco é constrangedora e afasta. E o gatilho de saída raramente é acadêmico puro, quase sempre é colisão entre a vida e o curso: mudou o turno no trabalho, apertou o orçamento, alguém adoeceu. A literatura brasileira sobre determinantes da evasão no ensino superior a distância aponta na mesma direção, com peso grande de fatores socioeconômicos e de integração acadêmica</w:t>
      </w:r>
      <w:r>
        <w:rPr>
          <w:b/>
          <w:i w:val="0"/>
          <w:color w:val="0B4F8F"/>
          <w:sz w:val="18"/>
        </w:rPr>
        <w:t xml:space="preserve"> [27]</w:t>
      </w:r>
      <w:r>
        <w:rPr>
          <w:b w:val="0"/>
          <w:i w:val="0"/>
        </w:rPr>
        <w:t>.</w:t>
      </w:r>
    </w:p>
    <w:p>
      <w:pPr>
        <w:pStyle w:val="Heading2"/>
      </w:pPr>
      <w:r>
        <w:t>6.1 A taxa brasileira</w:t>
      </w:r>
    </w:p>
    <w:p>
      <w:pPr>
        <w:spacing w:line="269" w:lineRule="auto"/>
      </w:pPr>
      <w:r>
        <w:rPr>
          <w:b w:val="0"/>
          <w:i w:val="0"/>
        </w:rPr>
        <w:t xml:space="preserve">O número de referência de evasão é o do Mapa do Ensino Superior do Semesp: a evasão total foi de </w:t>
      </w:r>
      <w:r>
        <w:rPr>
          <w:b/>
          <w:i w:val="0"/>
        </w:rPr>
        <w:t>24,8% em 2024</w:t>
      </w:r>
      <w:r>
        <w:rPr>
          <w:b w:val="0"/>
          <w:i w:val="0"/>
        </w:rPr>
        <w:t xml:space="preserve">, sendo </w:t>
      </w:r>
      <w:r>
        <w:rPr>
          <w:b/>
          <w:i w:val="0"/>
        </w:rPr>
        <w:t>26,6% na rede privada</w:t>
      </w:r>
      <w:r>
        <w:rPr>
          <w:b w:val="0"/>
          <w:i w:val="0"/>
        </w:rPr>
        <w:t xml:space="preserve"> e 21,4% na rede pública. Na rede privada houve queda em relação aos 28,2% de 2023</w:t>
      </w:r>
      <w:r>
        <w:rPr>
          <w:b/>
          <w:i w:val="0"/>
          <w:color w:val="0B4F8F"/>
          <w:sz w:val="18"/>
        </w:rPr>
        <w:t xml:space="preserve"> [29]</w:t>
      </w:r>
      <w:r>
        <w:rPr>
          <w:b w:val="0"/>
          <w:i w:val="0"/>
        </w:rPr>
        <w:t>.</w:t>
      </w:r>
    </w:p>
    <w:p>
      <w:pPr>
        <w:spacing w:line="269" w:lineRule="auto"/>
      </w:pPr>
      <w:r>
        <w:rPr>
          <w:b w:val="0"/>
          <w:i w:val="0"/>
        </w:rPr>
        <w:t>Esse é o patamar contra o qual a Vitru se compara, e é o número para citar quando precisarem dizer o tamanho do mercado da dor. Vale mais que qualquer taxa de MOOC.</w:t>
      </w:r>
    </w:p>
    <w:tbl>
      <w:tblPr>
        <w:tblStyle w:val="TableGrid"/>
        <w:tblW w:type="auto" w:w="0"/>
        <w:tblLayout w:type="fixed"/>
        <w:tblLook w:firstColumn="1" w:firstRow="1" w:lastColumn="0" w:lastRow="0" w:noHBand="0" w:noVBand="1" w:val="04A0"/>
      </w:tblPr>
      <w:tblGrid>
        <w:gridCol w:w="9184"/>
      </w:tblGrid>
      <w:tr>
        <w:tc>
          <w:tcPr>
            <w:tcW w:type="dxa" w:w="9184"/>
            <w:shd w:val="clear" w:color="auto" w:fill="FDF2E9"/>
          </w:tcPr>
          <w:p>
            <w:pPr>
              <w:spacing w:before="80" w:after="60"/>
            </w:pPr>
            <w:r>
              <w:rPr>
                <w:b/>
                <w:color w:val="9C2710"/>
                <w:sz w:val="20"/>
              </w:rPr>
              <w:t>Afirmação que precisa de verificação antes de ir ao palco</w:t>
            </w:r>
          </w:p>
          <w:p>
            <w:pPr>
              <w:spacing w:after="100" w:line="264" w:lineRule="auto"/>
            </w:pPr>
            <w:r>
              <w:rPr>
                <w:b w:val="0"/>
                <w:i w:val="0"/>
                <w:sz w:val="19"/>
              </w:rPr>
              <w:t xml:space="preserve">A frase que circula amplamente, de que cerca de metade da evasão se concentra no primeiro semestre, aparece em muitos materiais do setor mas não conseguimos rastrear até um estudo primário com essa medição. O padrão temporal está bem sustentado pelas fontes chinesas (seção 8.2), que medem diretamente. </w:t>
            </w:r>
            <w:r>
              <w:rPr>
                <w:b/>
                <w:i w:val="0"/>
                <w:sz w:val="19"/>
              </w:rPr>
              <w:t>Recomendação: use o dado chinês, que é medido, e trate o número brasileiro como estimativa do setor, não como estatística oficial.</w:t>
            </w:r>
          </w:p>
        </w:tc>
      </w:tr>
    </w:tbl>
    <w:p>
      <w:pPr>
        <w:spacing w:after="80"/>
      </w:pPr>
    </w:p>
    <w:p>
      <w:pPr>
        <w:pStyle w:val="Heading1"/>
      </w:pPr>
      <w:r>
        <w:t>7. O que dizem os três artigos brasileiros</w:t>
      </w:r>
    </w:p>
    <w:p>
      <w:pPr>
        <w:spacing w:line="269" w:lineRule="auto"/>
      </w:pPr>
      <w:r>
        <w:rPr>
          <w:b w:val="0"/>
          <w:i w:val="0"/>
        </w:rPr>
        <w:t>Os três textos que levantamos tratam de contextos diferentes do da Vitru. Nenhum deles é sobre graduação EAD privada em escala. Isso não os invalida, mas define como citá-los: servem para mecanismo e método, não como se fossem retrato do aluno da UNIASSELVI. Citar fora do escopo é o tipo de coisa que um jurado acadêmico derruba na hora.</w:t>
      </w:r>
    </w:p>
    <w:p>
      <w:pPr>
        <w:pStyle w:val="Heading2"/>
      </w:pPr>
      <w:r>
        <w:t>7.1 Ramos et al. (2026), RBIE: duas décadas de evasão na educação básica</w:t>
      </w:r>
    </w:p>
    <w:p>
      <w:pPr>
        <w:spacing w:line="269" w:lineRule="auto"/>
      </w:pPr>
      <w:r>
        <w:rPr>
          <w:b w:val="0"/>
          <w:i w:val="0"/>
        </w:rPr>
        <w:t>Análise exploratória de microdados do INEP entre 1996 e 2022, com cerca de 200 mil registros de escola por ano, cobrindo ensino fundamental e médio</w:t>
      </w:r>
      <w:r>
        <w:rPr>
          <w:b/>
          <w:i w:val="0"/>
          <w:color w:val="0B4F8F"/>
          <w:sz w:val="18"/>
        </w:rPr>
        <w:t xml:space="preserve"> [1]</w:t>
      </w:r>
      <w:r>
        <w:rPr>
          <w:b w:val="0"/>
          <w:i w:val="0"/>
        </w:rPr>
        <w:t>. Os autores cruzam evasão com localização, dependência administrativa, região e ano, além de eventos externos como crises e pandemia.</w:t>
      </w:r>
    </w:p>
    <w:p>
      <w:pPr>
        <w:pStyle w:val="ListBullet"/>
        <w:spacing w:after="60" w:line="269" w:lineRule="auto"/>
      </w:pPr>
      <w:r>
        <w:rPr>
          <w:b/>
          <w:i w:val="0"/>
        </w:rPr>
        <w:t xml:space="preserve">Achado principal: </w:t>
      </w:r>
      <w:r>
        <w:rPr>
          <w:b w:val="0"/>
          <w:i w:val="0"/>
        </w:rPr>
        <w:t>escolas urbanas do Nordeste, das redes municipal e estadual, concentram as maiores taxas na educação básica. Alagoas aparece como caso crítico, com o ensino médio no pior cenário</w:t>
      </w:r>
      <w:r>
        <w:rPr>
          <w:b/>
          <w:i w:val="0"/>
          <w:color w:val="0B4F8F"/>
          <w:sz w:val="18"/>
        </w:rPr>
        <w:t xml:space="preserve"> [1]</w:t>
      </w:r>
    </w:p>
    <w:p>
      <w:pPr>
        <w:pStyle w:val="ListBullet"/>
        <w:spacing w:after="60" w:line="269" w:lineRule="auto"/>
      </w:pPr>
      <w:r>
        <w:rPr>
          <w:b/>
          <w:i w:val="0"/>
        </w:rPr>
        <w:t xml:space="preserve">Achado quantitativo: </w:t>
      </w:r>
      <w:r>
        <w:rPr>
          <w:b w:val="0"/>
          <w:i w:val="0"/>
        </w:rPr>
        <w:t>a correlação entre reprovação e evasão é forte no fundamental (r de 0,86 e 0,89) e moderada no médio (0,71 em número absoluto, apenas 0,31 em percentual)</w:t>
      </w:r>
      <w:r>
        <w:rPr>
          <w:b/>
          <w:i w:val="0"/>
          <w:color w:val="0B4F8F"/>
          <w:sz w:val="18"/>
        </w:rPr>
        <w:t xml:space="preserve"> [1]</w:t>
      </w:r>
    </w:p>
    <w:p>
      <w:pPr>
        <w:pStyle w:val="ListBullet"/>
        <w:spacing w:after="60" w:line="269" w:lineRule="auto"/>
      </w:pPr>
      <w:r>
        <w:rPr>
          <w:b/>
          <w:i w:val="0"/>
        </w:rPr>
        <w:t xml:space="preserve">Ressalva dos autores: </w:t>
      </w:r>
      <w:r>
        <w:rPr>
          <w:b w:val="0"/>
          <w:i w:val="0"/>
        </w:rPr>
        <w:t>os próprios autores afirmam que correlação não estabelece causa, e que o estudo é descritivo, sem modelagem preditiva</w:t>
      </w:r>
      <w:r>
        <w:rPr>
          <w:b/>
          <w:i w:val="0"/>
          <w:color w:val="0B4F8F"/>
          <w:sz w:val="18"/>
        </w:rPr>
        <w:t xml:space="preserve"> [1]</w:t>
      </w:r>
    </w:p>
    <w:p>
      <w:pPr>
        <w:spacing w:line="269" w:lineRule="auto"/>
      </w:pPr>
      <w:r>
        <w:rPr>
          <w:b/>
          <w:i w:val="0"/>
        </w:rPr>
        <w:t xml:space="preserve">Como usar: </w:t>
      </w:r>
      <w:r>
        <w:rPr>
          <w:b w:val="0"/>
          <w:i w:val="0"/>
        </w:rPr>
        <w:t xml:space="preserve">é o artigo do slide de método. Ele sustenta a ideia de que fracasso acadêmico e saída andam juntos, e ao mesmo tempo dá o exemplo de rigor que a gente quer imitar ao dizer que só um teste com grupo de controle prova efeito. </w:t>
      </w:r>
      <w:r>
        <w:rPr>
          <w:b/>
          <w:i w:val="0"/>
        </w:rPr>
        <w:t xml:space="preserve">Onde não serve: </w:t>
      </w:r>
      <w:r>
        <w:rPr>
          <w:b w:val="0"/>
          <w:i w:val="0"/>
        </w:rPr>
        <w:t>é educação básica em rede pública. Não use como se descrevesse o aluno da Vitru.</w:t>
      </w:r>
    </w:p>
    <w:p>
      <w:pPr>
        <w:pStyle w:val="Heading2"/>
      </w:pPr>
      <w:r>
        <w:t>7.2 Bissaro et al. (2021), RSD: estudo de caso em escola municipal na Bahia</w:t>
      </w:r>
    </w:p>
    <w:p>
      <w:pPr>
        <w:spacing w:line="269" w:lineRule="auto"/>
      </w:pPr>
      <w:r>
        <w:rPr>
          <w:b w:val="0"/>
          <w:i w:val="0"/>
        </w:rPr>
        <w:t>Pesquisa qualitativa em uma única escola de Teixeira de Freitas, cobrindo Ensino Fundamental II e Educação de Jovens e Adultos entre 2014 e 2018, com 3.932 matrículas e 584 evasões no período</w:t>
      </w:r>
      <w:r>
        <w:rPr>
          <w:b/>
          <w:i w:val="0"/>
          <w:color w:val="0B4F8F"/>
          <w:sz w:val="18"/>
        </w:rPr>
        <w:t xml:space="preserve"> [2]</w:t>
      </w:r>
      <w:r>
        <w:rPr>
          <w:b w:val="0"/>
          <w:i w:val="0"/>
        </w:rPr>
        <w:t>. Combina dados de frequência com entrevista à direção.</w:t>
      </w:r>
    </w:p>
    <w:p>
      <w:pPr>
        <w:pStyle w:val="ListBullet"/>
        <w:spacing w:after="60" w:line="269" w:lineRule="auto"/>
      </w:pPr>
      <w:r>
        <w:rPr>
          <w:b/>
          <w:i w:val="0"/>
        </w:rPr>
        <w:t xml:space="preserve">Achado principal: </w:t>
      </w:r>
      <w:r>
        <w:rPr>
          <w:b w:val="0"/>
          <w:i w:val="0"/>
        </w:rPr>
        <w:t>a evasão se concentra na EJA, no turno da noite, e piora no segundo semestre. Os motivos relatados são jornada de trabalho, cansaço, desmotivação e necessidade de renda</w:t>
      </w:r>
      <w:r>
        <w:rPr>
          <w:b/>
          <w:i w:val="0"/>
          <w:color w:val="0B4F8F"/>
          <w:sz w:val="18"/>
        </w:rPr>
        <w:t xml:space="preserve"> [2]</w:t>
      </w:r>
    </w:p>
    <w:p>
      <w:pPr>
        <w:pStyle w:val="ListBullet"/>
        <w:spacing w:after="60" w:line="269" w:lineRule="auto"/>
      </w:pPr>
      <w:r>
        <w:rPr>
          <w:b/>
          <w:i w:val="0"/>
        </w:rPr>
        <w:t xml:space="preserve">O detalhe que vale ouro: </w:t>
      </w:r>
      <w:r>
        <w:rPr>
          <w:b w:val="0"/>
          <w:i w:val="0"/>
        </w:rPr>
        <w:t>a direção relata que o fator que mais segurava o aluno do noturno era ter refeição salgada todos os dias, e a escola só conseguia oferecer duas vezes por semana</w:t>
      </w:r>
      <w:r>
        <w:rPr>
          <w:b/>
          <w:i w:val="0"/>
          <w:color w:val="0B4F8F"/>
          <w:sz w:val="18"/>
        </w:rPr>
        <w:t xml:space="preserve"> [2]</w:t>
      </w:r>
    </w:p>
    <w:p>
      <w:pPr>
        <w:pStyle w:val="ListBullet"/>
        <w:spacing w:after="60" w:line="269" w:lineRule="auto"/>
      </w:pPr>
      <w:r>
        <w:rPr>
          <w:b/>
          <w:i w:val="0"/>
        </w:rPr>
        <w:t xml:space="preserve">Referencial teórico útil: </w:t>
      </w:r>
      <w:r>
        <w:rPr>
          <w:b w:val="0"/>
          <w:i w:val="0"/>
        </w:rPr>
        <w:t>o artigo recupera Rumberger, que separa a perspectiva individual da institucional e aponta dois tipos de engajamento que decidem a permanência, o acadêmico e o social</w:t>
      </w:r>
      <w:r>
        <w:rPr>
          <w:b/>
          <w:i w:val="0"/>
          <w:color w:val="0B4F8F"/>
          <w:sz w:val="18"/>
        </w:rPr>
        <w:t xml:space="preserve"> [2]</w:t>
      </w:r>
    </w:p>
    <w:p>
      <w:pPr>
        <w:spacing w:line="269" w:lineRule="auto"/>
      </w:pPr>
      <w:r>
        <w:rPr>
          <w:b/>
          <w:i w:val="0"/>
        </w:rPr>
        <w:t xml:space="preserve">Como usar: </w:t>
      </w:r>
      <w:r>
        <w:rPr>
          <w:b w:val="0"/>
          <w:i w:val="0"/>
        </w:rPr>
        <w:t xml:space="preserve">o aluno da EJA noturno é o análogo mais próximo do aluno EAD, adulto, que trabalha e chega exausto. E a lição narrativa é forte: a alavanca de retenção que funcionou na prática era material e mundana, não pedagógica. Isso ancora o argumento de que intervenção boa remove atrito real da vida, em vez de mandar mensagem motivacional. </w:t>
      </w:r>
      <w:r>
        <w:rPr>
          <w:b/>
          <w:i w:val="0"/>
        </w:rPr>
        <w:t xml:space="preserve">Onde não serve: </w:t>
      </w:r>
      <w:r>
        <w:rPr>
          <w:b w:val="0"/>
          <w:i w:val="0"/>
        </w:rPr>
        <w:t>uma escola, amostra pequena, natureza qualitativa, educação básica. É ilustração, não é evidência estatística.</w:t>
      </w:r>
    </w:p>
    <w:p>
      <w:pPr>
        <w:pStyle w:val="Heading2"/>
      </w:pPr>
      <w:r>
        <w:t>7.3 Von Dentz e Favetti (2025), e-Tech SENAI: o mais útil dos três</w:t>
      </w:r>
    </w:p>
    <w:p>
      <w:pPr>
        <w:spacing w:line="269" w:lineRule="auto"/>
      </w:pPr>
      <w:r>
        <w:rPr>
          <w:b w:val="0"/>
          <w:i w:val="0"/>
        </w:rPr>
        <w:t>Estudo de caso em curso técnico de Desenvolvimento de Sistemas de uma instituição privada em Florianópolis, com dados institucionais de 2022 e entrevistas com gestão, equipe pedagógica e docentes. A taxa de evasão do curso é de 60,41%, ou seja, de cada dez ingressantes ao menos seis interrompem o percurso</w:t>
      </w:r>
      <w:r>
        <w:rPr>
          <w:b/>
          <w:i w:val="0"/>
          <w:color w:val="0B4F8F"/>
          <w:sz w:val="18"/>
        </w:rPr>
        <w:t xml:space="preserve"> [3]</w:t>
      </w:r>
      <w:r>
        <w:rPr>
          <w:b w:val="0"/>
          <w:i w:val="0"/>
        </w:rPr>
        <w:t>.</w:t>
      </w:r>
    </w:p>
    <w:p>
      <w:pPr>
        <w:spacing w:after="60" w:line="269" w:lineRule="auto"/>
      </w:pPr>
      <w:r>
        <w:rPr>
          <w:b w:val="0"/>
          <w:i/>
          <w:color w:val="5A5A5A"/>
          <w:sz w:val="19"/>
        </w:rPr>
        <w:t>Todos os números da tabela abaixo vêm de Von Dentz e Favetti (2025)</w:t>
      </w:r>
      <w:r>
        <w:rPr>
          <w:b/>
          <w:i w:val="0"/>
          <w:color w:val="0B4F8F"/>
          <w:sz w:val="16"/>
        </w:rPr>
        <w:t xml:space="preserve"> [3]</w:t>
      </w:r>
    </w:p>
    <w:tbl>
      <w:tblPr>
        <w:tblStyle w:val="TableGrid"/>
        <w:tblW w:type="auto" w:w="0"/>
        <w:jc w:val="center"/>
        <w:tblLayout w:type="fixed"/>
        <w:tblLook w:firstColumn="1" w:firstRow="1" w:lastColumn="0" w:lastRow="0" w:noHBand="0" w:noVBand="1" w:val="04A0"/>
      </w:tblPr>
      <w:tblGrid>
        <w:gridCol w:w="2494"/>
        <w:gridCol w:w="2268"/>
        <w:gridCol w:w="2154"/>
        <w:gridCol w:w="2268"/>
      </w:tblGrid>
      <w:tr>
        <w:tc>
          <w:tcPr>
            <w:tcW w:type="dxa" w:w="2494"/>
            <w:shd w:val="clear" w:color="auto" w:fill="0B4F8F"/>
          </w:tcPr>
          <w:p>
            <w:pPr>
              <w:spacing w:before="60" w:after="60"/>
            </w:pPr>
            <w:r>
              <w:rPr>
                <w:b/>
                <w:color w:val="FFFFFF"/>
                <w:sz w:val="19"/>
              </w:rPr>
              <w:t>Corte</w:t>
            </w:r>
          </w:p>
        </w:tc>
        <w:tc>
          <w:tcPr>
            <w:tcW w:type="dxa" w:w="2268"/>
            <w:shd w:val="clear" w:color="auto" w:fill="0B4F8F"/>
          </w:tcPr>
          <w:p>
            <w:pPr>
              <w:spacing w:before="60" w:after="60"/>
            </w:pPr>
            <w:r>
              <w:rPr>
                <w:b/>
                <w:color w:val="FFFFFF"/>
                <w:sz w:val="19"/>
              </w:rPr>
              <w:t>Matriculados</w:t>
            </w:r>
          </w:p>
        </w:tc>
        <w:tc>
          <w:tcPr>
            <w:tcW w:type="dxa" w:w="2154"/>
            <w:shd w:val="clear" w:color="auto" w:fill="0B4F8F"/>
          </w:tcPr>
          <w:p>
            <w:pPr>
              <w:spacing w:before="60" w:after="60"/>
            </w:pPr>
            <w:r>
              <w:rPr>
                <w:b/>
                <w:color w:val="FFFFFF"/>
                <w:sz w:val="19"/>
              </w:rPr>
              <w:t>Evadidos</w:t>
            </w:r>
          </w:p>
        </w:tc>
        <w:tc>
          <w:tcPr>
            <w:tcW w:type="dxa" w:w="2268"/>
            <w:shd w:val="clear" w:color="auto" w:fill="0B4F8F"/>
          </w:tcPr>
          <w:p>
            <w:pPr>
              <w:spacing w:before="60" w:after="60"/>
            </w:pPr>
            <w:r>
              <w:rPr>
                <w:b/>
                <w:color w:val="FFFFFF"/>
                <w:sz w:val="19"/>
              </w:rPr>
              <w:t>Taxa</w:t>
            </w:r>
          </w:p>
        </w:tc>
      </w:tr>
      <w:tr>
        <w:tc>
          <w:tcPr>
            <w:tcW w:type="dxa" w:w="2494"/>
          </w:tcPr>
          <w:p>
            <w:pPr>
              <w:spacing w:before="50" w:after="50" w:line="252" w:lineRule="auto"/>
            </w:pPr>
            <w:r>
              <w:rPr>
                <w:b/>
                <w:i w:val="0"/>
                <w:sz w:val="19"/>
              </w:rPr>
              <w:t>18 a 27 anos</w:t>
            </w:r>
          </w:p>
        </w:tc>
        <w:tc>
          <w:tcPr>
            <w:tcW w:type="dxa" w:w="2268"/>
          </w:tcPr>
          <w:p>
            <w:pPr>
              <w:spacing w:before="50" w:after="50" w:line="252" w:lineRule="auto"/>
            </w:pPr>
            <w:r>
              <w:rPr>
                <w:b w:val="0"/>
                <w:i w:val="0"/>
                <w:sz w:val="19"/>
              </w:rPr>
              <w:t>94</w:t>
            </w:r>
          </w:p>
        </w:tc>
        <w:tc>
          <w:tcPr>
            <w:tcW w:type="dxa" w:w="2154"/>
          </w:tcPr>
          <w:p>
            <w:pPr>
              <w:spacing w:before="50" w:after="50" w:line="252" w:lineRule="auto"/>
            </w:pPr>
            <w:r>
              <w:rPr>
                <w:b w:val="0"/>
                <w:i w:val="0"/>
                <w:sz w:val="19"/>
              </w:rPr>
              <w:t>58</w:t>
            </w:r>
          </w:p>
        </w:tc>
        <w:tc>
          <w:tcPr>
            <w:tcW w:type="dxa" w:w="2268"/>
          </w:tcPr>
          <w:p>
            <w:pPr>
              <w:spacing w:before="50" w:after="50" w:line="252" w:lineRule="auto"/>
            </w:pPr>
            <w:r>
              <w:rPr>
                <w:b w:val="0"/>
                <w:i w:val="0"/>
                <w:sz w:val="19"/>
              </w:rPr>
              <w:t>61,7%</w:t>
            </w:r>
          </w:p>
        </w:tc>
      </w:tr>
      <w:tr>
        <w:tc>
          <w:tcPr>
            <w:tcW w:type="dxa" w:w="2494"/>
            <w:shd w:val="clear" w:color="auto" w:fill="EEF3F8"/>
          </w:tcPr>
          <w:p>
            <w:pPr>
              <w:spacing w:before="50" w:after="50" w:line="252" w:lineRule="auto"/>
            </w:pPr>
            <w:r>
              <w:rPr>
                <w:b/>
                <w:i w:val="0"/>
                <w:sz w:val="19"/>
              </w:rPr>
              <w:t>28 a 37 anos</w:t>
            </w:r>
          </w:p>
        </w:tc>
        <w:tc>
          <w:tcPr>
            <w:tcW w:type="dxa" w:w="2268"/>
            <w:shd w:val="clear" w:color="auto" w:fill="EEF3F8"/>
          </w:tcPr>
          <w:p>
            <w:pPr>
              <w:spacing w:before="50" w:after="50" w:line="252" w:lineRule="auto"/>
            </w:pPr>
            <w:r>
              <w:rPr>
                <w:b w:val="0"/>
                <w:i w:val="0"/>
                <w:sz w:val="19"/>
              </w:rPr>
              <w:t>38</w:t>
            </w:r>
          </w:p>
        </w:tc>
        <w:tc>
          <w:tcPr>
            <w:tcW w:type="dxa" w:w="2154"/>
            <w:shd w:val="clear" w:color="auto" w:fill="EEF3F8"/>
          </w:tcPr>
          <w:p>
            <w:pPr>
              <w:spacing w:before="50" w:after="50" w:line="252" w:lineRule="auto"/>
            </w:pPr>
            <w:r>
              <w:rPr>
                <w:b w:val="0"/>
                <w:i w:val="0"/>
                <w:sz w:val="19"/>
              </w:rPr>
              <w:t>21</w:t>
            </w:r>
          </w:p>
        </w:tc>
        <w:tc>
          <w:tcPr>
            <w:tcW w:type="dxa" w:w="2268"/>
            <w:shd w:val="clear" w:color="auto" w:fill="EEF3F8"/>
          </w:tcPr>
          <w:p>
            <w:pPr>
              <w:spacing w:before="50" w:after="50" w:line="252" w:lineRule="auto"/>
            </w:pPr>
            <w:r>
              <w:rPr>
                <w:b w:val="0"/>
                <w:i w:val="0"/>
                <w:sz w:val="19"/>
              </w:rPr>
              <w:t>55,2%</w:t>
            </w:r>
          </w:p>
        </w:tc>
      </w:tr>
      <w:tr>
        <w:tc>
          <w:tcPr>
            <w:tcW w:type="dxa" w:w="2494"/>
          </w:tcPr>
          <w:p>
            <w:pPr>
              <w:spacing w:before="50" w:after="50" w:line="252" w:lineRule="auto"/>
            </w:pPr>
            <w:r>
              <w:rPr>
                <w:b/>
                <w:i w:val="0"/>
                <w:sz w:val="19"/>
              </w:rPr>
              <w:t>38 a 47 anos</w:t>
            </w:r>
          </w:p>
        </w:tc>
        <w:tc>
          <w:tcPr>
            <w:tcW w:type="dxa" w:w="2268"/>
          </w:tcPr>
          <w:p>
            <w:pPr>
              <w:spacing w:before="50" w:after="50" w:line="252" w:lineRule="auto"/>
            </w:pPr>
            <w:r>
              <w:rPr>
                <w:b w:val="0"/>
                <w:i w:val="0"/>
                <w:sz w:val="19"/>
              </w:rPr>
              <w:t>9</w:t>
            </w:r>
          </w:p>
        </w:tc>
        <w:tc>
          <w:tcPr>
            <w:tcW w:type="dxa" w:w="2154"/>
          </w:tcPr>
          <w:p>
            <w:pPr>
              <w:spacing w:before="50" w:after="50" w:line="252" w:lineRule="auto"/>
            </w:pPr>
            <w:r>
              <w:rPr>
                <w:b w:val="0"/>
                <w:i w:val="0"/>
                <w:sz w:val="19"/>
              </w:rPr>
              <w:t>5</w:t>
            </w:r>
          </w:p>
        </w:tc>
        <w:tc>
          <w:tcPr>
            <w:tcW w:type="dxa" w:w="2268"/>
          </w:tcPr>
          <w:p>
            <w:pPr>
              <w:spacing w:before="50" w:after="50" w:line="252" w:lineRule="auto"/>
            </w:pPr>
            <w:r>
              <w:rPr>
                <w:b w:val="0"/>
                <w:i w:val="0"/>
                <w:sz w:val="19"/>
              </w:rPr>
              <w:t>55,5%</w:t>
            </w:r>
          </w:p>
        </w:tc>
      </w:tr>
      <w:tr>
        <w:tc>
          <w:tcPr>
            <w:tcW w:type="dxa" w:w="2494"/>
            <w:shd w:val="clear" w:color="auto" w:fill="EEF3F8"/>
          </w:tcPr>
          <w:p>
            <w:pPr>
              <w:spacing w:before="50" w:after="50" w:line="252" w:lineRule="auto"/>
            </w:pPr>
            <w:r>
              <w:rPr>
                <w:b/>
                <w:i w:val="0"/>
                <w:sz w:val="19"/>
              </w:rPr>
              <w:t>48 a 57 anos</w:t>
            </w:r>
          </w:p>
        </w:tc>
        <w:tc>
          <w:tcPr>
            <w:tcW w:type="dxa" w:w="2268"/>
            <w:shd w:val="clear" w:color="auto" w:fill="EEF3F8"/>
          </w:tcPr>
          <w:p>
            <w:pPr>
              <w:spacing w:before="50" w:after="50" w:line="252" w:lineRule="auto"/>
            </w:pPr>
            <w:r>
              <w:rPr>
                <w:b w:val="0"/>
                <w:i w:val="0"/>
                <w:sz w:val="19"/>
              </w:rPr>
              <w:t>3</w:t>
            </w:r>
          </w:p>
        </w:tc>
        <w:tc>
          <w:tcPr>
            <w:tcW w:type="dxa" w:w="2154"/>
            <w:shd w:val="clear" w:color="auto" w:fill="EEF3F8"/>
          </w:tcPr>
          <w:p>
            <w:pPr>
              <w:spacing w:before="50" w:after="50" w:line="252" w:lineRule="auto"/>
            </w:pPr>
            <w:r>
              <w:rPr>
                <w:b w:val="0"/>
                <w:i w:val="0"/>
                <w:sz w:val="19"/>
              </w:rPr>
              <w:t>3</w:t>
            </w:r>
          </w:p>
        </w:tc>
        <w:tc>
          <w:tcPr>
            <w:tcW w:type="dxa" w:w="2268"/>
            <w:shd w:val="clear" w:color="auto" w:fill="EEF3F8"/>
          </w:tcPr>
          <w:p>
            <w:pPr>
              <w:spacing w:before="50" w:after="50" w:line="252" w:lineRule="auto"/>
            </w:pPr>
            <w:r>
              <w:rPr>
                <w:b w:val="0"/>
                <w:i w:val="0"/>
                <w:sz w:val="19"/>
              </w:rPr>
              <w:t>100%</w:t>
            </w:r>
          </w:p>
        </w:tc>
      </w:tr>
      <w:tr>
        <w:tc>
          <w:tcPr>
            <w:tcW w:type="dxa" w:w="2494"/>
          </w:tcPr>
          <w:p>
            <w:pPr>
              <w:spacing w:before="50" w:after="50" w:line="252" w:lineRule="auto"/>
            </w:pPr>
            <w:r>
              <w:rPr>
                <w:b/>
                <w:i w:val="0"/>
                <w:sz w:val="19"/>
              </w:rPr>
              <w:t>Empregados</w:t>
            </w:r>
          </w:p>
        </w:tc>
        <w:tc>
          <w:tcPr>
            <w:tcW w:type="dxa" w:w="2268"/>
          </w:tcPr>
          <w:p>
            <w:pPr>
              <w:spacing w:before="50" w:after="50" w:line="252" w:lineRule="auto"/>
            </w:pPr>
            <w:r>
              <w:rPr>
                <w:b w:val="0"/>
                <w:i w:val="0"/>
                <w:sz w:val="19"/>
              </w:rPr>
              <w:t>79</w:t>
            </w:r>
          </w:p>
        </w:tc>
        <w:tc>
          <w:tcPr>
            <w:tcW w:type="dxa" w:w="2154"/>
          </w:tcPr>
          <w:p>
            <w:pPr>
              <w:spacing w:before="50" w:after="50" w:line="252" w:lineRule="auto"/>
            </w:pPr>
            <w:r>
              <w:rPr>
                <w:b w:val="0"/>
                <w:i w:val="0"/>
                <w:sz w:val="19"/>
              </w:rPr>
              <w:t>cerca de 47</w:t>
            </w:r>
          </w:p>
        </w:tc>
        <w:tc>
          <w:tcPr>
            <w:tcW w:type="dxa" w:w="2268"/>
          </w:tcPr>
          <w:p>
            <w:pPr>
              <w:spacing w:before="50" w:after="50" w:line="252" w:lineRule="auto"/>
            </w:pPr>
            <w:r>
              <w:rPr>
                <w:b w:val="0"/>
                <w:i w:val="0"/>
                <w:sz w:val="19"/>
              </w:rPr>
              <w:t>59,4%</w:t>
            </w:r>
          </w:p>
        </w:tc>
      </w:tr>
      <w:tr>
        <w:tc>
          <w:tcPr>
            <w:tcW w:type="dxa" w:w="2494"/>
            <w:shd w:val="clear" w:color="auto" w:fill="EEF3F8"/>
          </w:tcPr>
          <w:p>
            <w:pPr>
              <w:spacing w:before="50" w:after="50" w:line="252" w:lineRule="auto"/>
            </w:pPr>
            <w:r>
              <w:rPr>
                <w:b/>
                <w:i w:val="0"/>
                <w:sz w:val="19"/>
              </w:rPr>
              <w:t>Desempregados</w:t>
            </w:r>
          </w:p>
        </w:tc>
        <w:tc>
          <w:tcPr>
            <w:tcW w:type="dxa" w:w="2268"/>
            <w:shd w:val="clear" w:color="auto" w:fill="EEF3F8"/>
          </w:tcPr>
          <w:p>
            <w:pPr>
              <w:spacing w:before="50" w:after="50" w:line="252" w:lineRule="auto"/>
            </w:pPr>
            <w:r>
              <w:rPr>
                <w:b w:val="0"/>
                <w:i w:val="0"/>
                <w:sz w:val="19"/>
              </w:rPr>
              <w:t>65</w:t>
            </w:r>
          </w:p>
        </w:tc>
        <w:tc>
          <w:tcPr>
            <w:tcW w:type="dxa" w:w="2154"/>
            <w:shd w:val="clear" w:color="auto" w:fill="EEF3F8"/>
          </w:tcPr>
          <w:p>
            <w:pPr>
              <w:spacing w:before="50" w:after="50" w:line="252" w:lineRule="auto"/>
            </w:pPr>
            <w:r>
              <w:rPr>
                <w:b w:val="0"/>
                <w:i w:val="0"/>
                <w:sz w:val="19"/>
              </w:rPr>
              <w:t>40</w:t>
            </w:r>
          </w:p>
        </w:tc>
        <w:tc>
          <w:tcPr>
            <w:tcW w:type="dxa" w:w="2268"/>
            <w:shd w:val="clear" w:color="auto" w:fill="EEF3F8"/>
          </w:tcPr>
          <w:p>
            <w:pPr>
              <w:spacing w:before="50" w:after="50" w:line="252" w:lineRule="auto"/>
            </w:pPr>
            <w:r>
              <w:rPr>
                <w:b w:val="0"/>
                <w:i w:val="0"/>
                <w:sz w:val="19"/>
              </w:rPr>
              <w:t>61,5%</w:t>
            </w:r>
          </w:p>
        </w:tc>
      </w:tr>
    </w:tbl>
    <w:p>
      <w:pPr>
        <w:spacing w:after="80"/>
      </w:pPr>
    </w:p>
    <w:p>
      <w:pPr>
        <w:pStyle w:val="ListBullet"/>
        <w:spacing w:after="60" w:line="269" w:lineRule="auto"/>
      </w:pPr>
      <w:r>
        <w:rPr>
          <w:b/>
          <w:i w:val="0"/>
        </w:rPr>
        <w:t xml:space="preserve">A lição metodológica: </w:t>
      </w:r>
      <w:r>
        <w:rPr>
          <w:b w:val="0"/>
          <w:i w:val="0"/>
        </w:rPr>
        <w:t>empregado e desempregado evadem praticamente na mesma proporção, 59,4% contra 61,5%. A variável que qualquer time colocaria como preditora principal simplesmente não separa os grupos</w:t>
      </w:r>
      <w:r>
        <w:rPr>
          <w:b/>
          <w:i w:val="0"/>
          <w:color w:val="0B4F8F"/>
          <w:sz w:val="18"/>
        </w:rPr>
        <w:t xml:space="preserve"> [3]</w:t>
      </w:r>
      <w:r>
        <w:rPr>
          <w:b w:val="0"/>
          <w:i w:val="0"/>
        </w:rPr>
        <w:t>. Vale como lembrete de que a intuição precisa ser testada.</w:t>
      </w:r>
    </w:p>
    <w:p>
      <w:pPr>
        <w:pStyle w:val="ListBullet"/>
        <w:spacing w:after="60" w:line="269" w:lineRule="auto"/>
      </w:pPr>
      <w:r>
        <w:rPr>
          <w:b/>
          <w:i w:val="0"/>
        </w:rPr>
        <w:t xml:space="preserve">Fatores externos: </w:t>
      </w:r>
      <w:r>
        <w:rPr>
          <w:b w:val="0"/>
          <w:i w:val="0"/>
        </w:rPr>
        <w:t>incompatibilidade entre horário de aula e de trabalho é o mais citado, seguido de condição financeira, expectativa frustrada de emprego rápido na área, transporte e mobilidade, saúde e base escolar anterior frágil</w:t>
      </w:r>
      <w:r>
        <w:rPr>
          <w:b/>
          <w:i w:val="0"/>
          <w:color w:val="0B4F8F"/>
          <w:sz w:val="18"/>
        </w:rPr>
        <w:t xml:space="preserve"> [3]</w:t>
      </w:r>
    </w:p>
    <w:p>
      <w:pPr>
        <w:pStyle w:val="ListBullet"/>
        <w:spacing w:after="60" w:line="269" w:lineRule="auto"/>
      </w:pPr>
      <w:r>
        <w:rPr>
          <w:b/>
          <w:i w:val="0"/>
        </w:rPr>
        <w:t xml:space="preserve">A ordem que importa: </w:t>
      </w:r>
      <w:r>
        <w:rPr>
          <w:b w:val="0"/>
          <w:i w:val="0"/>
        </w:rPr>
        <w:t>um dos entrevistados ordena as causas de forma direta, primeiro o financeiro, depois o tempo, e só por último a dificuldade com o conteúdo</w:t>
      </w:r>
      <w:r>
        <w:rPr>
          <w:b/>
          <w:i w:val="0"/>
          <w:color w:val="0B4F8F"/>
          <w:sz w:val="18"/>
        </w:rPr>
        <w:t xml:space="preserve"> [3]</w:t>
      </w:r>
      <w:r>
        <w:rPr>
          <w:b w:val="0"/>
          <w:i w:val="0"/>
        </w:rPr>
        <w:t>. Essa ordem é uma ótima hipótese de partida para desenhar intervenções.</w:t>
      </w:r>
    </w:p>
    <w:p>
      <w:pPr>
        <w:pStyle w:val="ListBullet"/>
        <w:spacing w:after="60" w:line="269" w:lineRule="auto"/>
      </w:pPr>
      <w:r>
        <w:rPr>
          <w:b/>
          <w:i w:val="0"/>
        </w:rPr>
        <w:t xml:space="preserve">O que eles já fazem: </w:t>
      </w:r>
      <w:r>
        <w:rPr>
          <w:b w:val="0"/>
          <w:i w:val="0"/>
        </w:rPr>
        <w:t>a instituição já usa software de predição de evasão, roda uma reunião semanal de acompanhamento apelidada de sala de guerra, e tem um mecanismo de chamado pedagógico em que o docente aciona a equipe ao notar ausência ou mudança de comportamento</w:t>
      </w:r>
      <w:r>
        <w:rPr>
          <w:b/>
          <w:i w:val="0"/>
          <w:color w:val="0B4F8F"/>
          <w:sz w:val="18"/>
        </w:rPr>
        <w:t xml:space="preserve"> [3]</w:t>
      </w:r>
    </w:p>
    <w:p>
      <w:pPr>
        <w:spacing w:line="269" w:lineRule="auto"/>
      </w:pPr>
      <w:r>
        <w:rPr>
          <w:b/>
          <w:i w:val="0"/>
        </w:rPr>
        <w:t xml:space="preserve">O achado decisivo: </w:t>
      </w:r>
      <w:r>
        <w:rPr>
          <w:b w:val="0"/>
          <w:i w:val="0"/>
        </w:rPr>
        <w:t>mesmo com predição rodando, sala de guerra semanal e chamado pedagógico, o curso perde seis de cada dez alunos. Os entrevistados são explícitos ao dizer que falta ação próxima e personalizada, algo que a ferramenta de predição por si só não entrega</w:t>
      </w:r>
      <w:r>
        <w:rPr>
          <w:b/>
          <w:i w:val="0"/>
          <w:color w:val="0B4F8F"/>
          <w:sz w:val="18"/>
        </w:rPr>
        <w:t xml:space="preserve"> [3]</w:t>
      </w:r>
      <w:r>
        <w:rPr>
          <w:b w:val="0"/>
          <w:i w:val="0"/>
        </w:rPr>
        <w:t>. Este é o parágrafo mais valioso das nossas fontes.</w:t>
      </w:r>
    </w:p>
    <w:p>
      <w:pPr>
        <w:spacing w:line="269" w:lineRule="auto"/>
      </w:pPr>
      <w:r>
        <w:rPr>
          <w:b/>
          <w:i w:val="0"/>
        </w:rPr>
        <w:t xml:space="preserve">Onde não serve: </w:t>
      </w:r>
      <w:r>
        <w:rPr>
          <w:b w:val="0"/>
          <w:i w:val="0"/>
        </w:rPr>
        <w:t>curso técnico presencial noturno, instituição única, cerca de 144 alunos no recorte. Amostra pequena demais para generalizar taxa. O valor está no mecanismo descrito, não na taxa.</w:t>
      </w:r>
    </w:p>
    <w:p>
      <w:pPr>
        <w:pStyle w:val="Heading1"/>
      </w:pPr>
      <w:r>
        <w:t>8. O que dizem as fontes internacionais</w:t>
      </w:r>
    </w:p>
    <w:p>
      <w:pPr>
        <w:spacing w:line="269" w:lineRule="auto"/>
      </w:pPr>
      <w:r>
        <w:rPr>
          <w:b w:val="0"/>
          <w:i w:val="0"/>
        </w:rPr>
        <w:t>Fizemos uma segunda rodada de busca em inglês e em chinês, atrás de material que não aparece na literatura brasileira. O resultado é melhor do que o esperado, porque as fontes de fora convergem com as brasileiras por caminhos independentes, e duas delas trazem números que sozinhos sustentam um slide.</w:t>
      </w:r>
    </w:p>
    <w:p>
      <w:pPr>
        <w:pStyle w:val="Heading2"/>
      </w:pPr>
      <w:r>
        <w:t>8.1 Estados Unidos: o caso que funcionou e o que comprovadamente não funciona</w:t>
      </w:r>
    </w:p>
    <w:p>
      <w:pPr>
        <w:spacing w:line="269" w:lineRule="auto"/>
      </w:pPr>
      <w:r>
        <w:rPr>
          <w:b w:val="0"/>
          <w:i w:val="0"/>
        </w:rPr>
        <w:t>A Georgia State University é o caso de sucesso canônico da área. A universidade tem 52 mil alunos, dos quais 60% não brancos, 33% primeira geração da família na universidade e 58% beneficiários de auxílio federal, ou seja, exatamente o perfil que costuma concluir menos</w:t>
      </w:r>
      <w:r>
        <w:rPr>
          <w:b/>
          <w:i w:val="0"/>
          <w:color w:val="0B4F8F"/>
          <w:sz w:val="18"/>
        </w:rPr>
        <w:t xml:space="preserve"> [12]</w:t>
      </w:r>
      <w:r>
        <w:rPr>
          <w:b w:val="0"/>
          <w:i w:val="0"/>
        </w:rPr>
        <w:t>.</w:t>
      </w:r>
    </w:p>
    <w:p>
      <w:pPr>
        <w:spacing w:line="269" w:lineRule="auto"/>
      </w:pPr>
      <w:r>
        <w:rPr>
          <w:b w:val="0"/>
          <w:i w:val="0"/>
        </w:rPr>
        <w:t xml:space="preserve">O que eles fizeram: analisaram dez anos de dados de notas e de formatura para construir uma lista de </w:t>
      </w:r>
      <w:r>
        <w:rPr>
          <w:b/>
          <w:i w:val="0"/>
        </w:rPr>
        <w:t>800 indicadores</w:t>
      </w:r>
      <w:r>
        <w:rPr>
          <w:b w:val="0"/>
          <w:i w:val="0"/>
        </w:rPr>
        <w:t xml:space="preserve"> de risco acadêmico, e a partir deles um sistema de alerta precoce chamado GPS, sigla de Graduation and Progression Success. O sistema atualiza notas e registros </w:t>
      </w:r>
      <w:r>
        <w:rPr>
          <w:b/>
          <w:i w:val="0"/>
        </w:rPr>
        <w:t>toda noite</w:t>
      </w:r>
      <w:r>
        <w:rPr>
          <w:b w:val="0"/>
          <w:i w:val="0"/>
        </w:rPr>
        <w:t xml:space="preserve"> e envia notificação aos orientadores sobre alunos em risco</w:t>
      </w:r>
      <w:r>
        <w:rPr>
          <w:b/>
          <w:i w:val="0"/>
          <w:color w:val="0B4F8F"/>
          <w:sz w:val="18"/>
        </w:rPr>
        <w:t xml:space="preserve"> [12]</w:t>
      </w:r>
      <w:r>
        <w:rPr>
          <w:b w:val="0"/>
          <w:i w:val="0"/>
        </w:rPr>
        <w:t>. O programa está em operação desde 2012</w:t>
      </w:r>
      <w:r>
        <w:rPr>
          <w:b/>
          <w:i w:val="0"/>
          <w:color w:val="0B4F8F"/>
          <w:sz w:val="18"/>
        </w:rPr>
        <w:t xml:space="preserve"> [11]</w:t>
      </w:r>
      <w:r>
        <w:rPr>
          <w:b w:val="0"/>
          <w:i w:val="0"/>
        </w:rPr>
        <w:t>.</w:t>
      </w:r>
    </w:p>
    <w:p>
      <w:pPr>
        <w:spacing w:line="269" w:lineRule="auto"/>
      </w:pPr>
      <w:r>
        <w:rPr>
          <w:b/>
          <w:i w:val="0"/>
        </w:rPr>
        <w:t xml:space="preserve">O número que prova a tese: </w:t>
      </w:r>
      <w:r>
        <w:rPr>
          <w:b w:val="0"/>
          <w:i w:val="0"/>
        </w:rPr>
        <w:t xml:space="preserve">até a publicação do estudo de caso, mais de </w:t>
      </w:r>
      <w:r>
        <w:rPr>
          <w:b/>
          <w:i w:val="0"/>
        </w:rPr>
        <w:t>200 mil intervenções de orientador</w:t>
      </w:r>
      <w:r>
        <w:rPr>
          <w:b w:val="0"/>
          <w:i w:val="0"/>
        </w:rPr>
        <w:t xml:space="preserve"> haviam sido disparadas pelo GPS</w:t>
      </w:r>
      <w:r>
        <w:rPr>
          <w:b/>
          <w:i w:val="0"/>
          <w:color w:val="0B4F8F"/>
          <w:sz w:val="18"/>
        </w:rPr>
        <w:t xml:space="preserve"> [12]</w:t>
      </w:r>
      <w:r>
        <w:rPr>
          <w:b w:val="0"/>
          <w:i w:val="0"/>
        </w:rPr>
        <w:t>. Não é o alerta que importa, é o volume de gente entrando em contato.</w:t>
      </w:r>
    </w:p>
    <w:p>
      <w:pPr>
        <w:spacing w:line="269" w:lineRule="auto"/>
      </w:pPr>
      <w:r>
        <w:rPr>
          <w:b/>
          <w:i w:val="0"/>
        </w:rPr>
        <w:t xml:space="preserve">O resultado: </w:t>
      </w:r>
      <w:r>
        <w:rPr>
          <w:b w:val="0"/>
          <w:i w:val="0"/>
        </w:rPr>
        <w:t xml:space="preserve">a universidade passou a conferir </w:t>
      </w:r>
      <w:r>
        <w:rPr>
          <w:b/>
          <w:i w:val="0"/>
        </w:rPr>
        <w:t>67% mais diplomas</w:t>
      </w:r>
      <w:r>
        <w:rPr>
          <w:b w:val="0"/>
          <w:i w:val="0"/>
        </w:rPr>
        <w:t xml:space="preserve"> de graduação do que seis anos antes, e as diferenças de conclusão entre os grupos de maior risco e o corpo discente total desapareceram</w:t>
      </w:r>
      <w:r>
        <w:rPr>
          <w:b/>
          <w:i w:val="0"/>
          <w:color w:val="0B4F8F"/>
          <w:sz w:val="18"/>
        </w:rPr>
        <w:t xml:space="preserve"> [12]</w:t>
      </w:r>
      <w:r>
        <w:rPr>
          <w:b w:val="0"/>
          <w:i w:val="0"/>
        </w:rPr>
        <w:t>. Fontes secundárias falam em 22 pontos de aumento na taxa de formatura e cerca de 1.800 formandos a mais por ano</w:t>
      </w:r>
      <w:r>
        <w:rPr>
          <w:b/>
          <w:i w:val="0"/>
          <w:color w:val="0B4F8F"/>
          <w:sz w:val="18"/>
        </w:rPr>
        <w:t xml:space="preserve"> [11, verificar]</w:t>
      </w:r>
      <w:r>
        <w:rPr>
          <w:b w:val="0"/>
          <w:i w:val="0"/>
        </w:rPr>
        <w:t>, mas o número que dá para defender com fonte primária é o dos 67%.</w:t>
      </w:r>
    </w:p>
    <w:p>
      <w:pPr>
        <w:spacing w:line="269" w:lineRule="auto"/>
      </w:pPr>
      <w:r>
        <w:rPr>
          <w:b/>
          <w:i w:val="0"/>
        </w:rPr>
        <w:t xml:space="preserve">A parte que quase ninguém cita, e é a melhor para nós: </w:t>
      </w:r>
      <w:r>
        <w:rPr>
          <w:b w:val="0"/>
          <w:i w:val="0"/>
        </w:rPr>
        <w:t xml:space="preserve">a universidade notou que quase mil alunos por semestre abandonavam o curso devendo </w:t>
      </w:r>
      <w:r>
        <w:rPr>
          <w:b/>
          <w:i w:val="0"/>
        </w:rPr>
        <w:t>1.500 dólares ou menos</w:t>
      </w:r>
      <w:r>
        <w:rPr>
          <w:b w:val="0"/>
          <w:i w:val="0"/>
        </w:rPr>
        <w:t>. Criaram um programa de microcrédito, o Panther Retention Grants, para quitar exatamente essas dívidas pequenas</w:t>
      </w:r>
      <w:r>
        <w:rPr>
          <w:b/>
          <w:i w:val="0"/>
          <w:color w:val="0B4F8F"/>
          <w:sz w:val="18"/>
        </w:rPr>
        <w:t xml:space="preserve"> [12]</w:t>
      </w:r>
      <w:r>
        <w:rPr>
          <w:b w:val="0"/>
          <w:i w:val="0"/>
        </w:rPr>
        <w:t>.</w:t>
      </w:r>
    </w:p>
    <w:p>
      <w:pPr>
        <w:spacing w:line="269" w:lineRule="auto"/>
      </w:pPr>
      <w:r>
        <w:rPr>
          <w:b w:val="0"/>
          <w:i w:val="0"/>
        </w:rPr>
        <w:t>Isso é a prova viva do princípio de ação diferenciada por causa. A causa era financeira e pequena, e a resposta foi um instrumento financeiro pequeno, não uma mensagem motivacional. Se vocês precisarem de um exemplo concreto de intervenção certa para a causa certa, é esse.</w:t>
      </w:r>
    </w:p>
    <w:p>
      <w:pPr>
        <w:spacing w:line="269" w:lineRule="auto"/>
      </w:pPr>
      <w:r>
        <w:rPr>
          <w:b w:val="0"/>
          <w:i w:val="0"/>
        </w:rPr>
        <w:t>Do outro lado está o resultado negativo mais importante da área. Bird e coautores conduziram campanhas de mensagem de texto para incentivar alunos a completar o pedido de auxílio financeiro nos Estados Unidos, alcançando mais de 800 mil estudantes, com vários braços de tratamento para testar mecanismos diferentes. Não encontraram efeito nenhum, nem no auxílio obtido nem na matrícula, nem no conjunto nem em qualquer subgrupo. Também não encontraram diferença por formato da mensagem, canal, momento do envio ou oferta de atendimento individual. A amostra é grande o bastante para descartar até efeitos muito pequenos</w:t>
      </w:r>
      <w:r>
        <w:rPr>
          <w:b/>
          <w:i w:val="0"/>
          <w:color w:val="0B4F8F"/>
          <w:sz w:val="18"/>
        </w:rPr>
        <w:t xml:space="preserve"> [4]</w:t>
      </w:r>
      <w:r>
        <w:rPr>
          <w:b w:val="0"/>
          <w:i w:val="0"/>
        </w:rPr>
        <w:t>. Um dos próprios autores escreveu depois um balanço explicando por que os testes pequenos não se sustentaram em escala</w:t>
      </w:r>
      <w:r>
        <w:rPr>
          <w:b/>
          <w:i w:val="0"/>
          <w:color w:val="0B4F8F"/>
          <w:sz w:val="18"/>
        </w:rPr>
        <w:t xml:space="preserve"> [13]</w:t>
      </w:r>
      <w:r>
        <w:rPr>
          <w:b w:val="0"/>
          <w:i w:val="0"/>
        </w:rPr>
        <w:t>.</w:t>
      </w:r>
    </w:p>
    <w:p>
      <w:pPr>
        <w:spacing w:line="269" w:lineRule="auto"/>
      </w:pPr>
      <w:r>
        <w:rPr>
          <w:b/>
          <w:i w:val="0"/>
        </w:rPr>
        <w:t xml:space="preserve">A leitura combinada é o argumento central do nosso pitch: </w:t>
      </w:r>
      <w:r>
        <w:rPr>
          <w:b w:val="0"/>
          <w:i w:val="0"/>
        </w:rPr>
        <w:t>mensagem em massa não move o ponteiro, mesmo bem escrita, mesmo personalizada, mesmo com oferta de ajuda. O que move é alerta que vira atendimento humano dirigido, com alguém responsável pelo desfecho. A diferença entre os dois casos não é a tecnologia, é quem assume o caso depois do alerta.</w:t>
      </w:r>
    </w:p>
    <w:p>
      <w:pPr>
        <w:pStyle w:val="Heading2"/>
      </w:pPr>
      <w:r>
        <w:t>8.2 China: onde ela é forte e onde ela não serve</w:t>
      </w:r>
    </w:p>
    <w:p>
      <w:pPr>
        <w:spacing w:line="269" w:lineRule="auto"/>
      </w:pPr>
      <w:r>
        <w:rPr>
          <w:b w:val="0"/>
          <w:i w:val="0"/>
        </w:rPr>
        <w:t>A China é excelente em predição de evasão em MOOC e em sistemas de alerta acadêmico, e não serve como referência de evasão em graduação, porque lá largar a faculdade é raro. Vale separar as frentes.</w:t>
      </w:r>
    </w:p>
    <w:p>
      <w:pPr>
        <w:spacing w:line="269" w:lineRule="auto"/>
      </w:pPr>
      <w:r>
        <w:rPr>
          <w:b/>
          <w:i w:val="0"/>
        </w:rPr>
        <w:t xml:space="preserve">Predição em MOOC. </w:t>
      </w:r>
      <w:r>
        <w:rPr>
          <w:b w:val="0"/>
          <w:i w:val="0"/>
        </w:rPr>
        <w:t>Feng, Tang e Liu analisaram a XuetangX, uma das maiores plataformas de MOOC da China, no artigo apresentado na AAAI de 2019. A taxa de conclusão de MOOC fica abaixo de 5%, e no levantamento deles sobre mil cursos da plataforma deu 4,5%. O achado que vale ouro é que o abandono é socialmente contagioso: a probabilidade de um aluno largar um curso sobe rapidamente para 65% quando cinco dos amigos dele já largaram. O modelo que eles propõem foi colocado em produção para melhorar retenção</w:t>
      </w:r>
      <w:r>
        <w:rPr>
          <w:b/>
          <w:i w:val="0"/>
          <w:color w:val="0B4F8F"/>
          <w:sz w:val="18"/>
        </w:rPr>
        <w:t xml:space="preserve"> [5]</w:t>
      </w:r>
      <w:r>
        <w:rPr>
          <w:b w:val="0"/>
          <w:i w:val="0"/>
        </w:rPr>
        <w:t>. Os dados da plataforma são públicos, e foram base do KDD Cup de 2015</w:t>
      </w:r>
      <w:r>
        <w:rPr>
          <w:b/>
          <w:i w:val="0"/>
          <w:color w:val="0B4F8F"/>
          <w:sz w:val="18"/>
        </w:rPr>
        <w:t xml:space="preserve"> [14]</w:t>
      </w:r>
      <w:r>
        <w:rPr>
          <w:b w:val="0"/>
          <w:i w:val="0"/>
        </w:rPr>
        <w:t>.</w:t>
      </w:r>
    </w:p>
    <w:p>
      <w:pPr>
        <w:spacing w:line="269" w:lineRule="auto"/>
      </w:pPr>
      <w:r>
        <w:rPr>
          <w:b w:val="0"/>
          <w:i w:val="0"/>
        </w:rPr>
        <w:t>Esse achado de contágio é a ideia mais diferenciada que trouxemos das fontes internacionais. Nenhum dos artigos brasileiros olha para rede de pares. Numa companhia com mais de 2.500 polos e turmas formadas, existe estrutura de grupo real, e propor sinal de rede (colegas de polo, de turma, de grupo de mensagem) é algo que provavelmente nenhum dos outros sete times vai levantar.</w:t>
      </w:r>
    </w:p>
    <w:p>
      <w:pPr>
        <w:spacing w:line="269" w:lineRule="auto"/>
      </w:pPr>
      <w:r>
        <w:rPr>
          <w:b/>
          <w:i w:val="0"/>
        </w:rPr>
        <w:t xml:space="preserve">O efeito precipício, ou onde exatamente a evasão acontece. </w:t>
      </w:r>
      <w:r>
        <w:rPr>
          <w:b w:val="0"/>
          <w:i w:val="0"/>
        </w:rPr>
        <w:t>Tan e Li, da Universidade Renmin, acompanharam 219 turmas de curso on-line de inglês com cerca de 300 mil alunos, em aulas semanais ao vivo ao longo de 15 semanas, e modelaram a evasão semana a semana. A taxa média de abandono por aula foi de 9,04%, subindo 0,51 ponto por semana. O achado central é que a saída não é uniforme: ela dispara nas transições de módulo, onde vai a 11,17%, e o pico chega a 15,70% na última transição. Eles chamam isso de efeito precipício</w:t>
      </w:r>
      <w:r>
        <w:rPr>
          <w:b/>
          <w:i w:val="0"/>
          <w:color w:val="0B4F8F"/>
          <w:sz w:val="18"/>
        </w:rPr>
        <w:t xml:space="preserve"> [6]</w:t>
      </w:r>
      <w:r>
        <w:rPr>
          <w:b w:val="0"/>
          <w:i w:val="0"/>
        </w:rPr>
        <w:t>.</w:t>
      </w:r>
    </w:p>
    <w:p>
      <w:pPr>
        <w:spacing w:line="269" w:lineRule="auto"/>
      </w:pPr>
      <w:r>
        <w:rPr>
          <w:b w:val="0"/>
          <w:i w:val="0"/>
        </w:rPr>
        <w:t>A leitura útil é que existe uma camada abaixo da janela do primeiro ano. Não basta saber que o risco mora no primeiro semestre, dá para saber em qual semana. Na Vitru os equivalentes são óbvios e bem mais acionáveis: semana de prova, entrega de trabalho, fechamento de módulo, vencimento de mensalidade e rematrícula.</w:t>
      </w:r>
    </w:p>
    <w:p>
      <w:pPr>
        <w:spacing w:line="269" w:lineRule="auto"/>
      </w:pPr>
      <w:r>
        <w:rPr>
          <w:b w:val="0"/>
          <w:i w:val="0"/>
        </w:rPr>
        <w:t>O mesmo estudo traz o número que justifica velocidade de resposta: dos alunos que ficaram uma semana ausentes, apenas 36,3% voltaram nas duas semanas seguintes</w:t>
      </w:r>
      <w:r>
        <w:rPr>
          <w:b/>
          <w:i w:val="0"/>
          <w:color w:val="0B4F8F"/>
          <w:sz w:val="18"/>
        </w:rPr>
        <w:t xml:space="preserve"> [6]</w:t>
      </w:r>
      <w:r>
        <w:rPr>
          <w:b w:val="0"/>
          <w:i w:val="0"/>
        </w:rPr>
        <w:t>. A chance de recuperação decai rápido, e alerta que chega no fechamento do mês chega tarde. É o melhor argumento para exigir que a fila de atendimento rode em dias.</w:t>
      </w:r>
    </w:p>
    <w:p>
      <w:pPr>
        <w:spacing w:line="269" w:lineRule="auto"/>
      </w:pPr>
      <w:r>
        <w:rPr>
          <w:b w:val="0"/>
          <w:i w:val="0"/>
        </w:rPr>
        <w:t>Os autores também propõem um mecanismo cumulativo: conforme os alunos saem, a turma encolhe, as tarefas se acumulam e quem fica passa a evitar em vez de se reorganizar</w:t>
      </w:r>
      <w:r>
        <w:rPr>
          <w:b/>
          <w:i w:val="0"/>
          <w:color w:val="0B4F8F"/>
          <w:sz w:val="18"/>
        </w:rPr>
        <w:t xml:space="preserve"> [6]</w:t>
      </w:r>
      <w:r>
        <w:rPr>
          <w:b w:val="0"/>
          <w:i w:val="0"/>
        </w:rPr>
        <w:t>. Isso conversa diretamente com o contágio encontrado na XuetangX. Dois estudos chineses, populações completamente diferentes, mesma conclusão estrutural: evasão não é evento independente entre alunos, ela se alimenta.</w:t>
      </w:r>
    </w:p>
    <w:tbl>
      <w:tblPr>
        <w:tblStyle w:val="TableGrid"/>
        <w:tblW w:type="auto" w:w="0"/>
        <w:tblLayout w:type="fixed"/>
        <w:tblLook w:firstColumn="1" w:firstRow="1" w:lastColumn="0" w:lastRow="0" w:noHBand="0" w:noVBand="1" w:val="04A0"/>
      </w:tblPr>
      <w:tblGrid>
        <w:gridCol w:w="9184"/>
      </w:tblGrid>
      <w:tr>
        <w:tc>
          <w:tcPr>
            <w:tcW w:type="dxa" w:w="9184"/>
            <w:shd w:val="clear" w:color="auto" w:fill="FDF2E9"/>
          </w:tcPr>
          <w:p>
            <w:pPr>
              <w:spacing w:before="80" w:after="60"/>
            </w:pPr>
            <w:r>
              <w:rPr>
                <w:b/>
                <w:color w:val="9C2710"/>
                <w:sz w:val="20"/>
              </w:rPr>
              <w:t>Ressalva séria nesta fonte</w:t>
            </w:r>
          </w:p>
          <w:p>
            <w:pPr>
              <w:spacing w:after="100" w:line="264" w:lineRule="auto"/>
            </w:pPr>
            <w:r>
              <w:rPr>
                <w:b w:val="0"/>
                <w:i w:val="0"/>
                <w:sz w:val="19"/>
              </w:rPr>
              <w:t xml:space="preserve">São crianças do fundamental em curso particular de reforço, e quem decide pagar e manter é o pai ou a mãe, não o aluno. Além disso, os dados são do segundo semestre de 2021 e do primeiro de 2022, exatamente quando a política chinesa de dupla redução desmontou o setor privado de reforço escolar, inclusive de inglês para o fundamental. Conferimos o texto: o artigo não menciona essa política em momento nenhum, nem nas limitações. Então a tendência de alta ao longo do semestre pode ser em parte o setor encolhendo em volta do aluno. </w:t>
            </w:r>
            <w:r>
              <w:rPr>
                <w:b/>
                <w:i w:val="0"/>
                <w:sz w:val="19"/>
              </w:rPr>
              <w:t>Use o efeito precipício e o número de reengajamento, que resistem à crítica, e deixe a tendência linear de lado.</w:t>
            </w:r>
          </w:p>
        </w:tc>
      </w:tr>
    </w:tbl>
    <w:p>
      <w:pPr>
        <w:spacing w:after="80"/>
      </w:pPr>
    </w:p>
    <w:p>
      <w:pPr>
        <w:spacing w:line="269" w:lineRule="auto"/>
      </w:pPr>
      <w:r>
        <w:rPr>
          <w:b/>
          <w:i w:val="0"/>
        </w:rPr>
        <w:t xml:space="preserve">O alerta acadêmico. </w:t>
      </w:r>
      <w:r>
        <w:rPr>
          <w:b w:val="0"/>
          <w:i w:val="0"/>
        </w:rPr>
        <w:t>Essa é a contribuição chinesa mais aplicável. As universidades chinesas operam um sistema formal de alerta graduado por cor, do amarelo ao laranja ao vermelho, conforme a gravidade. O desenho de referência é um ciclo fechado com quatro etapas: coleta de dado, identificação de risco, alerta graduado e retorno da intervenção</w:t>
      </w:r>
      <w:r>
        <w:rPr>
          <w:b/>
          <w:i w:val="0"/>
          <w:color w:val="0B4F8F"/>
          <w:sz w:val="18"/>
        </w:rPr>
        <w:t xml:space="preserve"> [15]</w:t>
      </w:r>
      <w:r>
        <w:rPr>
          <w:b w:val="0"/>
          <w:i w:val="0"/>
        </w:rPr>
        <w:t>. A última etapa é a que quase todo mundo esquece, e é ela que transforma o sistema em algo que aprende. A definição oficial trata o alerta acadêmico como um regime de intervenção em crise, não como relatório.</w:t>
      </w:r>
    </w:p>
    <w:p>
      <w:pPr>
        <w:spacing w:line="269" w:lineRule="auto"/>
      </w:pPr>
      <w:r>
        <w:rPr>
          <w:b w:val="0"/>
          <w:i w:val="0"/>
        </w:rPr>
        <w:t>Vale como referência de arquitetura: se a nossa proposta tiver essas quatro etapas desenhadas, com a quarta explícita, já está mais completa que a média.</w:t>
      </w:r>
    </w:p>
    <w:p>
      <w:pPr>
        <w:spacing w:line="269" w:lineRule="auto"/>
      </w:pPr>
      <w:r>
        <w:rPr>
          <w:b/>
          <w:i w:val="0"/>
        </w:rPr>
        <w:t xml:space="preserve">O análogo estrutural real: a universidade aberta. </w:t>
      </w:r>
      <w:r>
        <w:rPr>
          <w:b w:val="0"/>
          <w:i w:val="0"/>
        </w:rPr>
        <w:t>O trabalho de Li Ying, do instituto de pesquisa em educação a distância da Universidade Aberta Nacional da China, é o que mais se parece com o caso da Vitru. É um projeto financiado pela fundação nacional de ciências, executado entre 2010 e 2012 sobre a prática da antiga universidade de rádio e televisão, que concentrava cerca de dois terços dos alunos de educação aberta a distância do país</w:t>
      </w:r>
      <w:r>
        <w:rPr>
          <w:b/>
          <w:i w:val="0"/>
          <w:color w:val="0B4F8F"/>
          <w:sz w:val="18"/>
        </w:rPr>
        <w:t xml:space="preserve"> [9]</w:t>
      </w:r>
      <w:r>
        <w:rPr>
          <w:b w:val="0"/>
          <w:i w:val="0"/>
        </w:rPr>
        <w:t>.</w:t>
      </w:r>
    </w:p>
    <w:p>
      <w:pPr>
        <w:spacing w:line="269" w:lineRule="auto"/>
      </w:pPr>
      <w:r>
        <w:rPr>
          <w:b w:val="0"/>
          <w:i w:val="0"/>
        </w:rPr>
        <w:t>A base quantitativa tem 238.459 registros de situação acadêmica entre 1999 e 2009. A parte qualitativa acompanhou por três semestres os 2.237 ingressantes de um curso de inglês, dos quais 398 evadiram, com 270 respondendo questionário e 156 entrevistados, além de 72 entrevistas com docentes e 52 com coordenadores de turma</w:t>
      </w:r>
      <w:r>
        <w:rPr>
          <w:b/>
          <w:i w:val="0"/>
          <w:color w:val="0B4F8F"/>
          <w:sz w:val="18"/>
        </w:rPr>
        <w:t xml:space="preserve"> [9]</w:t>
      </w:r>
      <w:r>
        <w:rPr>
          <w:b w:val="0"/>
          <w:i w:val="0"/>
        </w:rPr>
        <w:t>.</w:t>
      </w:r>
    </w:p>
    <w:p>
      <w:pPr>
        <w:pStyle w:val="ListBullet"/>
        <w:spacing w:after="60" w:line="269" w:lineRule="auto"/>
      </w:pPr>
      <w:r>
        <w:rPr>
          <w:b/>
          <w:i w:val="0"/>
        </w:rPr>
        <w:t xml:space="preserve">Taxa de evasão: </w:t>
      </w:r>
      <w:r>
        <w:rPr>
          <w:b w:val="0"/>
          <w:i w:val="0"/>
        </w:rPr>
        <w:t>14,20% no nível tecnólogo, 10,65% no bacharelado, 12,85% no total</w:t>
      </w:r>
      <w:r>
        <w:rPr>
          <w:b/>
          <w:i w:val="0"/>
          <w:color w:val="0B4F8F"/>
          <w:sz w:val="18"/>
        </w:rPr>
        <w:t xml:space="preserve"> [9]</w:t>
      </w:r>
      <w:r>
        <w:rPr>
          <w:b w:val="0"/>
          <w:i w:val="0"/>
        </w:rPr>
        <w:t>. Este é o número certo para calibrar expectativa, e não os 95% do MOOC.</w:t>
      </w:r>
    </w:p>
    <w:p>
      <w:pPr>
        <w:pStyle w:val="ListBullet"/>
        <w:spacing w:after="60" w:line="269" w:lineRule="auto"/>
      </w:pPr>
      <w:r>
        <w:rPr>
          <w:b/>
          <w:i w:val="0"/>
        </w:rPr>
        <w:t xml:space="preserve">Padrão temporal: </w:t>
      </w:r>
      <w:r>
        <w:rPr>
          <w:b w:val="0"/>
          <w:i w:val="0"/>
        </w:rPr>
        <w:t>quatro momentos concentram 87% das saídas, sendo eles o segundo semestre, o primeiro semestre, o ato da matrícula e o terceiro semestre. Os três primeiros sozinhos respondem por quase 70%. No acompanhamento, a evasão foi de 9,1% no primeiro semestre, 8,0% no segundo e apenas 0,6% no terceiro</w:t>
      </w:r>
      <w:r>
        <w:rPr>
          <w:b/>
          <w:i w:val="0"/>
          <w:color w:val="0B4F8F"/>
          <w:sz w:val="18"/>
        </w:rPr>
        <w:t xml:space="preserve"> [9, 10]</w:t>
      </w:r>
    </w:p>
    <w:p>
      <w:pPr>
        <w:pStyle w:val="ListBullet"/>
        <w:spacing w:after="60" w:line="269" w:lineRule="auto"/>
      </w:pPr>
      <w:r>
        <w:rPr>
          <w:b/>
          <w:i w:val="0"/>
        </w:rPr>
        <w:t xml:space="preserve">Causas: </w:t>
      </w:r>
      <w:r>
        <w:rPr>
          <w:b w:val="0"/>
          <w:i w:val="0"/>
        </w:rPr>
        <w:t>a primeira listada é o conflito entre trabalho e estudo, seguida de escolha errada de curso, dificuldade de aprendizagem, falta de método de estudo, evento inesperado na vida ou no trabalho, falta de motivação, vínculo afetivo fraco, dificuldade financeira, transporte e apoio institucional insuficiente</w:t>
      </w:r>
      <w:r>
        <w:rPr>
          <w:b/>
          <w:i w:val="0"/>
          <w:color w:val="0B4F8F"/>
          <w:sz w:val="18"/>
        </w:rPr>
        <w:t xml:space="preserve"> [9]</w:t>
      </w:r>
    </w:p>
    <w:p>
      <w:pPr>
        <w:spacing w:line="269" w:lineRule="auto"/>
      </w:pPr>
      <w:r>
        <w:rPr>
          <w:b w:val="0"/>
          <w:i w:val="0"/>
        </w:rPr>
        <w:t>Repare que conflito entre trabalho e estudo aparece em primeiro lugar na China</w:t>
      </w:r>
      <w:r>
        <w:rPr>
          <w:b/>
          <w:i w:val="0"/>
          <w:color w:val="0B4F8F"/>
          <w:sz w:val="18"/>
        </w:rPr>
        <w:t xml:space="preserve"> [9]</w:t>
      </w:r>
      <w:r>
        <w:rPr>
          <w:b w:val="0"/>
          <w:i w:val="0"/>
        </w:rPr>
        <w:t>, exatamente como apareceu nas entrevistas do estudo do SENAI no Brasil</w:t>
      </w:r>
      <w:r>
        <w:rPr>
          <w:b/>
          <w:i w:val="0"/>
          <w:color w:val="0B4F8F"/>
          <w:sz w:val="18"/>
        </w:rPr>
        <w:t xml:space="preserve"> [3]</w:t>
      </w:r>
      <w:r>
        <w:rPr>
          <w:b w:val="0"/>
          <w:i w:val="0"/>
        </w:rPr>
        <w:t>. São dois sistemas de ensino sem nenhuma relação entre si chegando à mesma causa principal.</w:t>
      </w:r>
    </w:p>
    <w:p>
      <w:pPr>
        <w:pStyle w:val="Heading2"/>
      </w:pPr>
      <w:r>
        <w:t>8.3 Índia: a instituição que mais se parece com a Vitru</w:t>
      </w:r>
    </w:p>
    <w:p>
      <w:pPr>
        <w:spacing w:line="269" w:lineRule="auto"/>
      </w:pPr>
      <w:r>
        <w:rPr>
          <w:b w:val="0"/>
          <w:i w:val="0"/>
        </w:rPr>
        <w:t>A Universidade Aberta Nacional Indira Gandhi, a IGNOU, é a maior universidade aberta do mundo em matrículas, com mais de 3 milhões de alunos ativos, 67 centros regionais, mais de 2.667 centros de estudo e mais de 300 programas</w:t>
      </w:r>
      <w:r>
        <w:rPr>
          <w:b/>
          <w:i w:val="0"/>
          <w:color w:val="0B4F8F"/>
          <w:sz w:val="18"/>
        </w:rPr>
        <w:t xml:space="preserve"> [30]</w:t>
      </w:r>
      <w:r>
        <w:rPr>
          <w:b w:val="0"/>
          <w:i w:val="0"/>
        </w:rPr>
        <w:t>.</w:t>
      </w:r>
    </w:p>
    <w:p>
      <w:pPr>
        <w:spacing w:line="269" w:lineRule="auto"/>
      </w:pPr>
      <w:r>
        <w:rPr>
          <w:b w:val="0"/>
          <w:i w:val="0"/>
        </w:rPr>
        <w:t>Compare com a Vitru: 915 mil alunos e mais de 2.500 polos. A rede física tem praticamente o mesmo tamanho. Nenhuma outra fonte que levantamos chega tão perto do modelo operacional da companhia, porque tem as duas coisas ao mesmo tempo, escala de milhões e capilaridade presencial em centros regionais.</w:t>
      </w:r>
    </w:p>
    <w:p>
      <w:pPr>
        <w:spacing w:line="269" w:lineRule="auto"/>
      </w:pPr>
      <w:r>
        <w:rPr>
          <w:b w:val="0"/>
          <w:i w:val="0"/>
        </w:rPr>
        <w:t>O estudo de referência é de Fozdar, Kumar e Kannan, publicado no IRRODL, que pesquisou alunos que abandonaram o curso de bacharelado em ciências da IGNOU. Foram 250 evadidos consultados, com 68 respostas</w:t>
      </w:r>
      <w:r>
        <w:rPr>
          <w:b/>
          <w:i w:val="0"/>
          <w:color w:val="0B4F8F"/>
          <w:sz w:val="18"/>
        </w:rPr>
        <w:t xml:space="preserve"> [31]</w:t>
      </w:r>
      <w:r>
        <w:rPr>
          <w:b w:val="0"/>
          <w:i w:val="0"/>
        </w:rPr>
        <w:t>. Eles chegaram a nove motivos principais, nesta ordem:</w:t>
      </w:r>
    </w:p>
    <w:tbl>
      <w:tblPr>
        <w:tblStyle w:val="TableGrid"/>
        <w:tblW w:type="auto" w:w="0"/>
        <w:jc w:val="center"/>
        <w:tblLayout w:type="fixed"/>
        <w:tblLook w:firstColumn="1" w:firstRow="1" w:lastColumn="0" w:lastRow="0" w:noHBand="0" w:noVBand="1" w:val="04A0"/>
      </w:tblPr>
      <w:tblGrid>
        <w:gridCol w:w="680"/>
        <w:gridCol w:w="6009"/>
        <w:gridCol w:w="2494"/>
      </w:tblGrid>
      <w:tr>
        <w:tc>
          <w:tcPr>
            <w:tcW w:type="dxa" w:w="680"/>
            <w:shd w:val="clear" w:color="auto" w:fill="0B4F8F"/>
          </w:tcPr>
          <w:p>
            <w:pPr>
              <w:spacing w:before="60" w:after="60"/>
            </w:pPr>
            <w:r>
              <w:rPr>
                <w:b/>
                <w:color w:val="FFFFFF"/>
                <w:sz w:val="19"/>
              </w:rPr>
              <w:t>#</w:t>
            </w:r>
          </w:p>
        </w:tc>
        <w:tc>
          <w:tcPr>
            <w:tcW w:type="dxa" w:w="6009"/>
            <w:shd w:val="clear" w:color="auto" w:fill="0B4F8F"/>
          </w:tcPr>
          <w:p>
            <w:pPr>
              <w:spacing w:before="60" w:after="60"/>
            </w:pPr>
            <w:r>
              <w:rPr>
                <w:b/>
                <w:color w:val="FFFFFF"/>
                <w:sz w:val="19"/>
              </w:rPr>
              <w:t>Motivo apontado pelo aluno</w:t>
            </w:r>
          </w:p>
        </w:tc>
        <w:tc>
          <w:tcPr>
            <w:tcW w:type="dxa" w:w="2494"/>
            <w:shd w:val="clear" w:color="auto" w:fill="0B4F8F"/>
          </w:tcPr>
          <w:p>
            <w:pPr>
              <w:spacing w:before="60" w:after="60"/>
            </w:pPr>
            <w:r>
              <w:rPr>
                <w:b/>
                <w:color w:val="FFFFFF"/>
                <w:sz w:val="19"/>
              </w:rPr>
              <w:t>% dos respondentes</w:t>
            </w:r>
          </w:p>
        </w:tc>
      </w:tr>
      <w:tr>
        <w:tc>
          <w:tcPr>
            <w:tcW w:type="dxa" w:w="680"/>
          </w:tcPr>
          <w:p>
            <w:pPr>
              <w:spacing w:before="50" w:after="50" w:line="252" w:lineRule="auto"/>
            </w:pPr>
            <w:r>
              <w:rPr>
                <w:b/>
                <w:i w:val="0"/>
                <w:sz w:val="19"/>
              </w:rPr>
              <w:t>1</w:t>
            </w:r>
          </w:p>
        </w:tc>
        <w:tc>
          <w:tcPr>
            <w:tcW w:type="dxa" w:w="6009"/>
          </w:tcPr>
          <w:p>
            <w:pPr>
              <w:spacing w:before="50" w:after="50" w:line="252" w:lineRule="auto"/>
            </w:pPr>
            <w:r>
              <w:rPr>
                <w:b w:val="0"/>
                <w:i w:val="0"/>
                <w:sz w:val="19"/>
              </w:rPr>
              <w:t>Centro de estudo longe demais da residência</w:t>
            </w:r>
          </w:p>
        </w:tc>
        <w:tc>
          <w:tcPr>
            <w:tcW w:type="dxa" w:w="2494"/>
          </w:tcPr>
          <w:p>
            <w:pPr>
              <w:spacing w:before="50" w:after="50" w:line="252" w:lineRule="auto"/>
            </w:pPr>
            <w:r>
              <w:rPr>
                <w:b w:val="0"/>
                <w:i w:val="0"/>
                <w:sz w:val="19"/>
              </w:rPr>
              <w:t>64,70%</w:t>
            </w:r>
          </w:p>
        </w:tc>
      </w:tr>
      <w:tr>
        <w:tc>
          <w:tcPr>
            <w:tcW w:type="dxa" w:w="680"/>
            <w:shd w:val="clear" w:color="auto" w:fill="EEF3F8"/>
          </w:tcPr>
          <w:p>
            <w:pPr>
              <w:spacing w:before="50" w:after="50" w:line="252" w:lineRule="auto"/>
            </w:pPr>
            <w:r>
              <w:rPr>
                <w:b/>
                <w:i w:val="0"/>
                <w:sz w:val="19"/>
              </w:rPr>
              <w:t>2</w:t>
            </w:r>
          </w:p>
        </w:tc>
        <w:tc>
          <w:tcPr>
            <w:tcW w:type="dxa" w:w="6009"/>
            <w:shd w:val="clear" w:color="auto" w:fill="EEF3F8"/>
          </w:tcPr>
          <w:p>
            <w:pPr>
              <w:spacing w:before="50" w:after="50" w:line="252" w:lineRule="auto"/>
            </w:pPr>
            <w:r>
              <w:rPr>
                <w:b w:val="0"/>
                <w:i w:val="0"/>
                <w:sz w:val="19"/>
              </w:rPr>
              <w:t>Apoio acadêmico insuficiente do centro de estudo</w:t>
            </w:r>
          </w:p>
        </w:tc>
        <w:tc>
          <w:tcPr>
            <w:tcW w:type="dxa" w:w="2494"/>
            <w:shd w:val="clear" w:color="auto" w:fill="EEF3F8"/>
          </w:tcPr>
          <w:p>
            <w:pPr>
              <w:spacing w:before="50" w:after="50" w:line="252" w:lineRule="auto"/>
            </w:pPr>
            <w:r>
              <w:rPr>
                <w:b w:val="0"/>
                <w:i w:val="0"/>
                <w:sz w:val="19"/>
              </w:rPr>
              <w:t>58,82%</w:t>
            </w:r>
          </w:p>
        </w:tc>
      </w:tr>
      <w:tr>
        <w:tc>
          <w:tcPr>
            <w:tcW w:type="dxa" w:w="680"/>
          </w:tcPr>
          <w:p>
            <w:pPr>
              <w:spacing w:before="50" w:after="50" w:line="252" w:lineRule="auto"/>
            </w:pPr>
            <w:r>
              <w:rPr>
                <w:b/>
                <w:i w:val="0"/>
                <w:sz w:val="19"/>
              </w:rPr>
              <w:t>3</w:t>
            </w:r>
          </w:p>
        </w:tc>
        <w:tc>
          <w:tcPr>
            <w:tcW w:type="dxa" w:w="6009"/>
          </w:tcPr>
          <w:p>
            <w:pPr>
              <w:spacing w:before="50" w:after="50" w:line="252" w:lineRule="auto"/>
            </w:pPr>
            <w:r>
              <w:rPr>
                <w:b w:val="0"/>
                <w:i w:val="0"/>
                <w:sz w:val="19"/>
              </w:rPr>
              <w:t>Curso consumia tempo demais</w:t>
            </w:r>
          </w:p>
        </w:tc>
        <w:tc>
          <w:tcPr>
            <w:tcW w:type="dxa" w:w="2494"/>
          </w:tcPr>
          <w:p>
            <w:pPr>
              <w:spacing w:before="50" w:after="50" w:line="252" w:lineRule="auto"/>
            </w:pPr>
            <w:r>
              <w:rPr>
                <w:b w:val="0"/>
                <w:i w:val="0"/>
                <w:sz w:val="19"/>
              </w:rPr>
              <w:t>55,88%</w:t>
            </w:r>
          </w:p>
        </w:tc>
      </w:tr>
      <w:tr>
        <w:tc>
          <w:tcPr>
            <w:tcW w:type="dxa" w:w="680"/>
            <w:shd w:val="clear" w:color="auto" w:fill="EEF3F8"/>
          </w:tcPr>
          <w:p>
            <w:pPr>
              <w:spacing w:before="50" w:after="50" w:line="252" w:lineRule="auto"/>
            </w:pPr>
            <w:r>
              <w:rPr>
                <w:b/>
                <w:i w:val="0"/>
                <w:sz w:val="19"/>
              </w:rPr>
              <w:t>4</w:t>
            </w:r>
          </w:p>
        </w:tc>
        <w:tc>
          <w:tcPr>
            <w:tcW w:type="dxa" w:w="6009"/>
            <w:shd w:val="clear" w:color="auto" w:fill="EEF3F8"/>
          </w:tcPr>
          <w:p>
            <w:pPr>
              <w:spacing w:before="50" w:after="50" w:line="252" w:lineRule="auto"/>
            </w:pPr>
            <w:r>
              <w:rPr>
                <w:b w:val="0"/>
                <w:i w:val="0"/>
                <w:sz w:val="19"/>
              </w:rPr>
              <w:t>Dificuldade de comparecer às aulas práticas por causa da distância</w:t>
            </w:r>
          </w:p>
        </w:tc>
        <w:tc>
          <w:tcPr>
            <w:tcW w:type="dxa" w:w="2494"/>
            <w:shd w:val="clear" w:color="auto" w:fill="EEF3F8"/>
          </w:tcPr>
          <w:p>
            <w:pPr>
              <w:spacing w:before="50" w:after="50" w:line="252" w:lineRule="auto"/>
            </w:pPr>
            <w:r>
              <w:rPr>
                <w:b w:val="0"/>
                <w:i w:val="0"/>
                <w:sz w:val="19"/>
              </w:rPr>
              <w:t>52,94%</w:t>
            </w:r>
          </w:p>
        </w:tc>
      </w:tr>
      <w:tr>
        <w:tc>
          <w:tcPr>
            <w:tcW w:type="dxa" w:w="680"/>
          </w:tcPr>
          <w:p>
            <w:pPr>
              <w:spacing w:before="50" w:after="50" w:line="252" w:lineRule="auto"/>
            </w:pPr>
            <w:r>
              <w:rPr>
                <w:b/>
                <w:i w:val="0"/>
                <w:sz w:val="19"/>
              </w:rPr>
              <w:t>5</w:t>
            </w:r>
          </w:p>
        </w:tc>
        <w:tc>
          <w:tcPr>
            <w:tcW w:type="dxa" w:w="6009"/>
          </w:tcPr>
          <w:p>
            <w:pPr>
              <w:spacing w:before="50" w:after="50" w:line="252" w:lineRule="auto"/>
            </w:pPr>
            <w:r>
              <w:rPr>
                <w:b w:val="0"/>
                <w:i w:val="0"/>
                <w:sz w:val="19"/>
              </w:rPr>
              <w:t>Ausência de interação com outros alunos</w:t>
            </w:r>
          </w:p>
        </w:tc>
        <w:tc>
          <w:tcPr>
            <w:tcW w:type="dxa" w:w="2494"/>
          </w:tcPr>
          <w:p>
            <w:pPr>
              <w:spacing w:before="50" w:after="50" w:line="252" w:lineRule="auto"/>
            </w:pPr>
            <w:r>
              <w:rPr>
                <w:b w:val="0"/>
                <w:i w:val="0"/>
                <w:sz w:val="19"/>
              </w:rPr>
              <w:t>47,06%</w:t>
            </w:r>
          </w:p>
        </w:tc>
      </w:tr>
      <w:tr>
        <w:tc>
          <w:tcPr>
            <w:tcW w:type="dxa" w:w="680"/>
            <w:shd w:val="clear" w:color="auto" w:fill="EEF3F8"/>
          </w:tcPr>
          <w:p>
            <w:pPr>
              <w:spacing w:before="50" w:after="50" w:line="252" w:lineRule="auto"/>
            </w:pPr>
            <w:r>
              <w:rPr>
                <w:b/>
                <w:i w:val="0"/>
                <w:sz w:val="19"/>
              </w:rPr>
              <w:t>6</w:t>
            </w:r>
          </w:p>
        </w:tc>
        <w:tc>
          <w:tcPr>
            <w:tcW w:type="dxa" w:w="6009"/>
            <w:shd w:val="clear" w:color="auto" w:fill="EEF3F8"/>
          </w:tcPr>
          <w:p>
            <w:pPr>
              <w:spacing w:before="50" w:after="50" w:line="252" w:lineRule="auto"/>
            </w:pPr>
            <w:r>
              <w:rPr>
                <w:b w:val="0"/>
                <w:i w:val="0"/>
                <w:sz w:val="19"/>
              </w:rPr>
              <w:t>Dificuldade de estudar ciências a distância</w:t>
            </w:r>
          </w:p>
        </w:tc>
        <w:tc>
          <w:tcPr>
            <w:tcW w:type="dxa" w:w="2494"/>
            <w:shd w:val="clear" w:color="auto" w:fill="EEF3F8"/>
          </w:tcPr>
          <w:p>
            <w:pPr>
              <w:spacing w:before="50" w:after="50" w:line="252" w:lineRule="auto"/>
            </w:pPr>
            <w:r>
              <w:rPr>
                <w:b w:val="0"/>
                <w:i w:val="0"/>
                <w:sz w:val="19"/>
              </w:rPr>
              <w:t>47,06%</w:t>
            </w:r>
          </w:p>
        </w:tc>
      </w:tr>
      <w:tr>
        <w:tc>
          <w:tcPr>
            <w:tcW w:type="dxa" w:w="680"/>
          </w:tcPr>
          <w:p>
            <w:pPr>
              <w:spacing w:before="50" w:after="50" w:line="252" w:lineRule="auto"/>
            </w:pPr>
            <w:r>
              <w:rPr>
                <w:b/>
                <w:i w:val="0"/>
                <w:sz w:val="19"/>
              </w:rPr>
              <w:t>7</w:t>
            </w:r>
          </w:p>
        </w:tc>
        <w:tc>
          <w:tcPr>
            <w:tcW w:type="dxa" w:w="6009"/>
          </w:tcPr>
          <w:p>
            <w:pPr>
              <w:spacing w:before="50" w:after="50" w:line="252" w:lineRule="auto"/>
            </w:pPr>
            <w:r>
              <w:rPr>
                <w:b w:val="0"/>
                <w:i w:val="0"/>
                <w:sz w:val="19"/>
              </w:rPr>
              <w:t>Dificuldade na prova final</w:t>
            </w:r>
          </w:p>
        </w:tc>
        <w:tc>
          <w:tcPr>
            <w:tcW w:type="dxa" w:w="2494"/>
          </w:tcPr>
          <w:p>
            <w:pPr>
              <w:spacing w:before="50" w:after="50" w:line="252" w:lineRule="auto"/>
            </w:pPr>
            <w:r>
              <w:rPr>
                <w:b w:val="0"/>
                <w:i w:val="0"/>
                <w:sz w:val="19"/>
              </w:rPr>
              <w:t>47,06%</w:t>
            </w:r>
          </w:p>
        </w:tc>
      </w:tr>
      <w:tr>
        <w:tc>
          <w:tcPr>
            <w:tcW w:type="dxa" w:w="680"/>
            <w:shd w:val="clear" w:color="auto" w:fill="EEF3F8"/>
          </w:tcPr>
          <w:p>
            <w:pPr>
              <w:spacing w:before="50" w:after="50" w:line="252" w:lineRule="auto"/>
            </w:pPr>
            <w:r>
              <w:rPr>
                <w:b/>
                <w:i w:val="0"/>
                <w:sz w:val="19"/>
              </w:rPr>
              <w:t>8</w:t>
            </w:r>
          </w:p>
        </w:tc>
        <w:tc>
          <w:tcPr>
            <w:tcW w:type="dxa" w:w="6009"/>
            <w:shd w:val="clear" w:color="auto" w:fill="EEF3F8"/>
          </w:tcPr>
          <w:p>
            <w:pPr>
              <w:spacing w:before="50" w:after="50" w:line="252" w:lineRule="auto"/>
            </w:pPr>
            <w:r>
              <w:rPr>
                <w:b w:val="0"/>
                <w:i w:val="0"/>
                <w:sz w:val="19"/>
              </w:rPr>
              <w:t>Sessões de tutoria insuficientes</w:t>
            </w:r>
          </w:p>
        </w:tc>
        <w:tc>
          <w:tcPr>
            <w:tcW w:type="dxa" w:w="2494"/>
            <w:shd w:val="clear" w:color="auto" w:fill="EEF3F8"/>
          </w:tcPr>
          <w:p>
            <w:pPr>
              <w:spacing w:before="50" w:after="50" w:line="252" w:lineRule="auto"/>
            </w:pPr>
            <w:r>
              <w:rPr>
                <w:b w:val="0"/>
                <w:i w:val="0"/>
                <w:sz w:val="19"/>
              </w:rPr>
              <w:t>47,06%</w:t>
            </w:r>
          </w:p>
        </w:tc>
      </w:tr>
      <w:tr>
        <w:tc>
          <w:tcPr>
            <w:tcW w:type="dxa" w:w="680"/>
          </w:tcPr>
          <w:p>
            <w:pPr>
              <w:spacing w:before="50" w:after="50" w:line="252" w:lineRule="auto"/>
            </w:pPr>
            <w:r>
              <w:rPr>
                <w:b/>
                <w:i w:val="0"/>
                <w:sz w:val="19"/>
              </w:rPr>
              <w:t>9</w:t>
            </w:r>
          </w:p>
        </w:tc>
        <w:tc>
          <w:tcPr>
            <w:tcW w:type="dxa" w:w="6009"/>
          </w:tcPr>
          <w:p>
            <w:pPr>
              <w:spacing w:before="50" w:after="50" w:line="252" w:lineRule="auto"/>
            </w:pPr>
            <w:r>
              <w:rPr>
                <w:b w:val="0"/>
                <w:i w:val="0"/>
                <w:sz w:val="19"/>
              </w:rPr>
              <w:t>Falta de retorno do centro de estudo</w:t>
            </w:r>
          </w:p>
        </w:tc>
        <w:tc>
          <w:tcPr>
            <w:tcW w:type="dxa" w:w="2494"/>
          </w:tcPr>
          <w:p>
            <w:pPr>
              <w:spacing w:before="50" w:after="50" w:line="252" w:lineRule="auto"/>
            </w:pPr>
            <w:r>
              <w:rPr>
                <w:b w:val="0"/>
                <w:i w:val="0"/>
                <w:sz w:val="19"/>
              </w:rPr>
              <w:t>47,06%</w:t>
            </w:r>
          </w:p>
        </w:tc>
      </w:tr>
    </w:tbl>
    <w:p>
      <w:pPr>
        <w:spacing w:after="80"/>
      </w:pPr>
    </w:p>
    <w:p>
      <w:pPr>
        <w:spacing w:line="269" w:lineRule="auto"/>
      </w:pPr>
      <w:r>
        <w:rPr>
          <w:b/>
          <w:i w:val="0"/>
        </w:rPr>
        <w:t xml:space="preserve">A conclusão dos próprios autores é o que interessa: </w:t>
      </w:r>
      <w:r>
        <w:rPr>
          <w:b w:val="0"/>
          <w:i w:val="0"/>
        </w:rPr>
        <w:t xml:space="preserve">três dos nove motivos do topo (o primeiro, o quarto e o quinto) são a mesma coisa, distância até o centro de estudo. A distância média entre a casa do aluno e o centro era de </w:t>
      </w:r>
      <w:r>
        <w:rPr>
          <w:b/>
          <w:i w:val="0"/>
        </w:rPr>
        <w:t>136,5 quilômetros</w:t>
      </w:r>
      <w:r>
        <w:rPr>
          <w:b w:val="0"/>
          <w:i w:val="0"/>
        </w:rPr>
        <w:t>, variando de 3 a 450</w:t>
      </w:r>
      <w:r>
        <w:rPr>
          <w:b/>
          <w:i w:val="0"/>
          <w:color w:val="0B4F8F"/>
          <w:sz w:val="18"/>
        </w:rPr>
        <w:t xml:space="preserve"> [31]</w:t>
      </w:r>
      <w:r>
        <w:rPr>
          <w:b w:val="0"/>
          <w:i w:val="0"/>
        </w:rPr>
        <w:t>. E ela não pesa só pelo deslocamento: é a distância que bloqueia o acesso ao apoio acadêmico e, principalmente, o contato com os colegas.</w:t>
      </w:r>
    </w:p>
    <w:p>
      <w:pPr>
        <w:pStyle w:val="Heading3"/>
      </w:pPr>
      <w:r>
        <w:t>O que isso destrava para a nossa proposta</w:t>
      </w:r>
    </w:p>
    <w:p>
      <w:pPr>
        <w:spacing w:line="269" w:lineRule="auto"/>
      </w:pPr>
      <w:r>
        <w:rPr>
          <w:b/>
          <w:i w:val="0"/>
        </w:rPr>
        <w:t xml:space="preserve">Primeiro, uma variável que ninguém vai propor. </w:t>
      </w:r>
      <w:r>
        <w:rPr>
          <w:b w:val="0"/>
          <w:i w:val="0"/>
        </w:rPr>
        <w:t>A distância entre a residência do aluno e o polo dele é calculável com dado que a Vitru certamente tem, CEP do aluno e endereço do polo. É uma variável de risco fundamentada em evidência, barata de construir, e que nenhum dos outros sete times vai levantar.</w:t>
      </w:r>
    </w:p>
    <w:p>
      <w:pPr>
        <w:spacing w:line="269" w:lineRule="auto"/>
      </w:pPr>
      <w:r>
        <w:rPr>
          <w:b/>
          <w:i w:val="0"/>
        </w:rPr>
        <w:t xml:space="preserve">Segundo, e é o achado mais forte deste documento: </w:t>
      </w:r>
      <w:r>
        <w:rPr>
          <w:b w:val="0"/>
          <w:i w:val="0"/>
        </w:rPr>
        <w:t>o novo marco regulatório empurra cursos de saúde, licenciaturas, engenharias e agrárias para o semipresencial</w:t>
      </w:r>
      <w:r>
        <w:rPr>
          <w:b/>
          <w:i w:val="0"/>
          <w:color w:val="0B4F8F"/>
          <w:sz w:val="18"/>
        </w:rPr>
        <w:t xml:space="preserve"> [25, 26]</w:t>
      </w:r>
      <w:r>
        <w:rPr>
          <w:b w:val="0"/>
          <w:i w:val="0"/>
        </w:rPr>
        <w:t xml:space="preserve">, ou seja, </w:t>
      </w:r>
      <w:r>
        <w:rPr>
          <w:b/>
          <w:i w:val="0"/>
        </w:rPr>
        <w:t>aumenta a exigência de presença física no polo</w:t>
      </w:r>
      <w:r>
        <w:rPr>
          <w:b w:val="0"/>
          <w:i w:val="0"/>
        </w:rPr>
        <w:t>. O curso estudado na IGNOU tinha justamente componente prático obrigatório, com semanas presenciais no centro de estudo, e foi exatamente aí que distância e custo viraram causa de evasão.</w:t>
      </w:r>
    </w:p>
    <w:p>
      <w:pPr>
        <w:spacing w:line="269" w:lineRule="auto"/>
      </w:pPr>
      <w:r>
        <w:rPr>
          <w:b w:val="0"/>
          <w:i w:val="0"/>
        </w:rPr>
        <w:t>Traduzindo: a adequação ao decreto cria um risco de evasão novo, concentrado justamente nos cursos que estão sendo obrigados a migrar, e proporcional à distância entre o aluno e o polo dele. Isso é uma dor futura da Vitru, mensurável com dado que já existe, e praticamente ninguém no evento vai enxergar. Se precisarem de um recorte original para a solução, é este.</w:t>
      </w:r>
    </w:p>
    <w:p>
      <w:pPr>
        <w:spacing w:line="269" w:lineRule="auto"/>
      </w:pPr>
      <w:r>
        <w:rPr>
          <w:b/>
          <w:i w:val="0"/>
        </w:rPr>
        <w:t xml:space="preserve">Terceiro, o vínculo entre pares aparece pela terceira vez. </w:t>
      </w:r>
      <w:r>
        <w:rPr>
          <w:b w:val="0"/>
          <w:i w:val="0"/>
        </w:rPr>
        <w:t>Na Índia, a ausência de interação com outros alunos é o quinto motivo, com 47%</w:t>
      </w:r>
      <w:r>
        <w:rPr>
          <w:b/>
          <w:i w:val="0"/>
          <w:color w:val="0B4F8F"/>
          <w:sz w:val="18"/>
        </w:rPr>
        <w:t xml:space="preserve"> [31]</w:t>
      </w:r>
      <w:r>
        <w:rPr>
          <w:b w:val="0"/>
          <w:i w:val="0"/>
        </w:rPr>
        <w:t>. Na China, ter cinco amigos que largaram sobe a chance de largar para 65%</w:t>
      </w:r>
      <w:r>
        <w:rPr>
          <w:b/>
          <w:i w:val="0"/>
          <w:color w:val="0B4F8F"/>
          <w:sz w:val="18"/>
        </w:rPr>
        <w:t xml:space="preserve"> [5]</w:t>
      </w:r>
      <w:r>
        <w:rPr>
          <w:b w:val="0"/>
          <w:i w:val="0"/>
        </w:rPr>
        <w:t>, e a turma que encolhe gera abandono em cascata</w:t>
      </w:r>
      <w:r>
        <w:rPr>
          <w:b/>
          <w:i w:val="0"/>
          <w:color w:val="0B4F8F"/>
          <w:sz w:val="18"/>
        </w:rPr>
        <w:t xml:space="preserve"> [6]</w:t>
      </w:r>
      <w:r>
        <w:rPr>
          <w:b w:val="0"/>
          <w:i w:val="0"/>
        </w:rPr>
        <w:t>. E o artigo da Bahia já trazia o referencial de Rumberger, que separa engajamento acadêmico de engajamento social</w:t>
      </w:r>
      <w:r>
        <w:rPr>
          <w:b/>
          <w:i w:val="0"/>
          <w:color w:val="0B4F8F"/>
          <w:sz w:val="18"/>
        </w:rPr>
        <w:t xml:space="preserve"> [2]</w:t>
      </w:r>
      <w:r>
        <w:rPr>
          <w:b w:val="0"/>
          <w:i w:val="0"/>
        </w:rPr>
        <w:t>.</w:t>
      </w:r>
    </w:p>
    <w:p>
      <w:pPr>
        <w:spacing w:line="269" w:lineRule="auto"/>
      </w:pPr>
      <w:r>
        <w:rPr>
          <w:b w:val="0"/>
          <w:i w:val="0"/>
        </w:rPr>
        <w:t>Repare na simetria: na China os colegas que saem puxam o aluno para fora, na Índia a ausência de colegas o empurra para fora. É a mesma variável vista dos dois lados. Quatro fontes, três países, apontando que vínculo social é alavanca de retenção comparável à acadêmica e à financeira. E é a mais barata de operar, porque a Vitru já tem turma, polo e grupo formados.</w:t>
      </w:r>
    </w:p>
    <w:tbl>
      <w:tblPr>
        <w:tblStyle w:val="TableGrid"/>
        <w:tblW w:type="auto" w:w="0"/>
        <w:tblLayout w:type="fixed"/>
        <w:tblLook w:firstColumn="1" w:firstRow="1" w:lastColumn="0" w:lastRow="0" w:noHBand="0" w:noVBand="1" w:val="04A0"/>
      </w:tblPr>
      <w:tblGrid>
        <w:gridCol w:w="9184"/>
      </w:tblGrid>
      <w:tr>
        <w:tc>
          <w:tcPr>
            <w:tcW w:type="dxa" w:w="9184"/>
            <w:shd w:val="clear" w:color="auto" w:fill="FDF2E9"/>
          </w:tcPr>
          <w:p>
            <w:pPr>
              <w:spacing w:before="80" w:after="60"/>
            </w:pPr>
            <w:r>
              <w:rPr>
                <w:b/>
                <w:color w:val="9C2710"/>
                <w:sz w:val="20"/>
              </w:rPr>
              <w:t>Como citar esta fonte sem levar rasteira</w:t>
            </w:r>
          </w:p>
          <w:p>
            <w:pPr>
              <w:spacing w:after="100" w:line="264" w:lineRule="auto"/>
            </w:pPr>
            <w:r>
              <w:rPr>
                <w:b w:val="0"/>
                <w:i w:val="0"/>
                <w:sz w:val="19"/>
              </w:rPr>
              <w:t xml:space="preserve">O estudo é antigo e pequeno: as turmas são de 1991 e 1992, o questionário foi enviado em 2001, e responderam 68 pessoas de 250, ou seja, 25,6%. São motivos autorrelatados, não comportamento medido, e a amostra tem 85% de homens. Os próprios autores dizem que, na época, o curso funcionava em 32 centros de estudo, e que a expansão da rede deveria reduzir o efeito da distância. </w:t>
            </w:r>
            <w:r>
              <w:rPr>
                <w:b/>
                <w:i w:val="0"/>
                <w:sz w:val="19"/>
              </w:rPr>
              <w:t>Use o mecanismo, que é sólido e se repete em outras fontes, e não os percentuais, que são de amostra pequena e antiga.</w:t>
            </w:r>
          </w:p>
        </w:tc>
      </w:tr>
    </w:tbl>
    <w:p>
      <w:pPr>
        <w:spacing w:after="80"/>
      </w:pPr>
    </w:p>
    <w:p>
      <w:pPr>
        <w:spacing w:line="269" w:lineRule="auto"/>
      </w:pPr>
      <w:r>
        <w:rPr>
          <w:b w:val="0"/>
          <w:i w:val="0"/>
        </w:rPr>
        <w:t>Uma última nota de calibragem, agora sobre MOOC indiano: a plataforma nacional SWAYAM tem conclusão média em torno de 4,6%, e o NPTEL registrou 12,4 milhões de inscrições contra cerca de 5% de conclusões</w:t>
      </w:r>
      <w:r>
        <w:rPr>
          <w:b/>
          <w:i w:val="0"/>
          <w:color w:val="0B4F8F"/>
          <w:sz w:val="18"/>
        </w:rPr>
        <w:t xml:space="preserve"> [32]</w:t>
      </w:r>
      <w:r>
        <w:rPr>
          <w:b w:val="0"/>
          <w:i w:val="0"/>
        </w:rPr>
        <w:t>. Confirma o mesmo padrão de China e reforça que a régua de MOOC não serve para curso pago.</w:t>
      </w:r>
    </w:p>
    <w:p>
      <w:pPr>
        <w:pStyle w:val="Heading2"/>
      </w:pPr>
      <w:r>
        <w:t>8.4 Coreia, Malásia e Sri Lanka: o padrão que se repete</w:t>
      </w:r>
    </w:p>
    <w:p>
      <w:pPr>
        <w:spacing w:line="269" w:lineRule="auto"/>
      </w:pPr>
      <w:r>
        <w:rPr>
          <w:b w:val="0"/>
          <w:i w:val="0"/>
        </w:rPr>
        <w:t>Olhamos mais três universidades abertas asiáticas. O valor delas não é novidade, é repetição: quando o mesmo achado aparece em sistemas de ensino sem relação entre si, ele deixa de ser peculiaridade local e vira regularidade. Mas a Coreia trouxe uma coisa nova, e ela reorganiza parte do argumento.</w:t>
      </w:r>
    </w:p>
    <w:p>
      <w:pPr>
        <w:spacing w:line="269" w:lineRule="auto"/>
      </w:pPr>
      <w:r>
        <w:rPr>
          <w:b/>
          <w:i w:val="0"/>
        </w:rPr>
        <w:t xml:space="preserve">Coreia. </w:t>
      </w:r>
      <w:r>
        <w:rPr>
          <w:b w:val="0"/>
          <w:i w:val="0"/>
        </w:rPr>
        <w:t>A Universidade Aberta Nacional da Coreia é a mais antiga da Ásia, de 1972. O estudo de Choi, Lee, Jung e Latchem mede exatamente o evento que interessa à Vitru, a não rematrícula. Os números são duros: a taxa de não rematrícula era de 58% em 2007 e continuava em torno de 55% em 2011, e o levantamento partiu de uma população de 146.374 alunos que não renovaram a matrícula na primavera de 2009</w:t>
      </w:r>
      <w:r>
        <w:rPr>
          <w:b/>
          <w:i w:val="0"/>
          <w:color w:val="0B4F8F"/>
          <w:sz w:val="18"/>
        </w:rPr>
        <w:t xml:space="preserve"> [33]</w:t>
      </w:r>
      <w:r>
        <w:rPr>
          <w:b w:val="0"/>
          <w:i w:val="0"/>
        </w:rPr>
        <w:t>.</w:t>
      </w:r>
    </w:p>
    <w:p>
      <w:pPr>
        <w:spacing w:line="269" w:lineRule="auto"/>
      </w:pPr>
      <w:r>
        <w:rPr>
          <w:b w:val="0"/>
          <w:i w:val="0"/>
        </w:rPr>
        <w:t xml:space="preserve">Os três motivos do topo foram carga de trabalho no emprego (64%), </w:t>
      </w:r>
      <w:r>
        <w:rPr>
          <w:b/>
          <w:i w:val="0"/>
        </w:rPr>
        <w:t>retorno insuficiente do professor (62%)</w:t>
      </w:r>
      <w:r>
        <w:rPr>
          <w:b w:val="0"/>
          <w:i w:val="0"/>
        </w:rPr>
        <w:t xml:space="preserve"> e dificuldade de estudar a distância (57%)</w:t>
      </w:r>
      <w:r>
        <w:rPr>
          <w:b/>
          <w:i w:val="0"/>
          <w:color w:val="0B4F8F"/>
          <w:sz w:val="18"/>
        </w:rPr>
        <w:t xml:space="preserve"> [33]</w:t>
      </w:r>
      <w:r>
        <w:rPr>
          <w:b w:val="0"/>
          <w:i w:val="0"/>
        </w:rPr>
        <w:t>.</w:t>
      </w:r>
    </w:p>
    <w:p>
      <w:pPr>
        <w:spacing w:line="269" w:lineRule="auto"/>
      </w:pPr>
      <w:r>
        <w:rPr>
          <w:b/>
          <w:i w:val="0"/>
        </w:rPr>
        <w:t xml:space="preserve">O achado que muda o argumento. </w:t>
      </w:r>
      <w:r>
        <w:rPr>
          <w:b w:val="0"/>
          <w:i w:val="0"/>
        </w:rPr>
        <w:t>Falta de retorno da instituição aparece em segundo lugar, quase empatada com a causa número um. E ela reaparece na Índia, onde apoio acadêmico insuficiente é o segundo motivo com 58,8% e falta de retorno do centro de estudo aparece com 47%</w:t>
      </w:r>
      <w:r>
        <w:rPr>
          <w:b/>
          <w:i w:val="0"/>
          <w:color w:val="0B4F8F"/>
          <w:sz w:val="18"/>
        </w:rPr>
        <w:t xml:space="preserve"> [31]</w:t>
      </w:r>
      <w:r>
        <w:rPr>
          <w:b w:val="0"/>
          <w:i w:val="0"/>
        </w:rPr>
        <w:t>.</w:t>
      </w:r>
    </w:p>
    <w:p>
      <w:pPr>
        <w:spacing w:line="269" w:lineRule="auto"/>
      </w:pPr>
      <w:r>
        <w:rPr>
          <w:b w:val="0"/>
          <w:i w:val="0"/>
        </w:rPr>
        <w:t>Repare no que isso significa. Emprego, dinheiro e distância são causas que a instituição não controla, apenas contorna. Falta de retorno é a única causa do topo que está inteiramente dentro de casa. É a mais barata de atacar, depende de processo e não de orçamento, e aparece alta em dois sistemas independentes. Se a nossa solução garantir retorno rápido e rastreável a cada aluno tocado, ela ataca a causa mais controlável de todas, e isso é um argumento que fecha sozinho.</w:t>
      </w:r>
    </w:p>
    <w:p>
      <w:pPr>
        <w:spacing w:line="269" w:lineRule="auto"/>
      </w:pPr>
      <w:r>
        <w:rPr>
          <w:b/>
          <w:i w:val="0"/>
        </w:rPr>
        <w:t xml:space="preserve">Malásia. </w:t>
      </w:r>
      <w:r>
        <w:rPr>
          <w:b w:val="0"/>
          <w:i w:val="0"/>
        </w:rPr>
        <w:t>A Open University Malaysia tem cerca de 70 mil alunos, dos quais mais de 90% são adultos que trabalham, e opera num modelo misto com tutoria presencial em centros de aprendizagem</w:t>
      </w:r>
      <w:r>
        <w:rPr>
          <w:b/>
          <w:i w:val="0"/>
          <w:color w:val="0B4F8F"/>
          <w:sz w:val="18"/>
        </w:rPr>
        <w:t xml:space="preserve"> [34]</w:t>
      </w:r>
      <w:r>
        <w:rPr>
          <w:b w:val="0"/>
          <w:i w:val="0"/>
        </w:rPr>
        <w:t>. É o desenho mais próximo do semipresencial para onde a Vitru está migrando, e por isso vale mais como referência de modelo do que como fonte de achado.</w:t>
      </w:r>
    </w:p>
    <w:p>
      <w:pPr>
        <w:spacing w:line="269" w:lineRule="auto"/>
      </w:pPr>
      <w:r>
        <w:rPr>
          <w:b w:val="0"/>
          <w:i w:val="0"/>
        </w:rPr>
        <w:t>Em conteúdo, a Malásia confirma em vez de acrescentar: a evasão é mais alta no início do programa, com o primeiro semestre concentrando a maior saída, e a evasão geral no período de 2007 a 2022 fica em torno de 22%</w:t>
      </w:r>
      <w:r>
        <w:rPr>
          <w:b/>
          <w:i w:val="0"/>
          <w:color w:val="0B4F8F"/>
          <w:sz w:val="18"/>
        </w:rPr>
        <w:t xml:space="preserve"> [34]</w:t>
      </w:r>
      <w:r>
        <w:rPr>
          <w:b w:val="0"/>
          <w:i w:val="0"/>
        </w:rPr>
        <w:t>. As iniciativas de retenção deles passam por unidade de aconselhamento, tutoria eletrônica e perfilamento do aluno.</w:t>
      </w:r>
    </w:p>
    <w:p>
      <w:pPr>
        <w:spacing w:line="269" w:lineRule="auto"/>
      </w:pPr>
      <w:r>
        <w:rPr>
          <w:b/>
          <w:i w:val="0"/>
        </w:rPr>
        <w:t xml:space="preserve">Sri Lanka, que apareceu de brinde. </w:t>
      </w:r>
      <w:r>
        <w:rPr>
          <w:b w:val="0"/>
          <w:i w:val="0"/>
        </w:rPr>
        <w:t>A busca trouxe um estudo de 2025 da Universidade Aberta do Sri Lanka, com 322 respondentes e dados de retenção de 2016 a 2024, e ele tem a melhor estrutura de números que encontramos</w:t>
      </w:r>
      <w:r>
        <w:rPr>
          <w:b/>
          <w:i w:val="0"/>
          <w:color w:val="0B4F8F"/>
          <w:sz w:val="18"/>
        </w:rPr>
        <w:t xml:space="preserve"> [35]</w:t>
      </w:r>
      <w:r>
        <w:rPr>
          <w:b w:val="0"/>
          <w:i w:val="0"/>
        </w:rPr>
        <w:t>.</w:t>
      </w:r>
    </w:p>
    <w:p>
      <w:pPr>
        <w:pStyle w:val="ListBullet"/>
        <w:spacing w:after="60" w:line="269" w:lineRule="auto"/>
      </w:pPr>
      <w:r>
        <w:rPr>
          <w:b/>
          <w:i w:val="0"/>
        </w:rPr>
        <w:t xml:space="preserve">Retenção por nível: </w:t>
      </w:r>
      <w:r>
        <w:rPr>
          <w:b w:val="0"/>
          <w:i w:val="0"/>
        </w:rPr>
        <w:t>de 65% a 75% no primeiro ano, contra 92% a 95% nos anos superiores</w:t>
      </w:r>
      <w:r>
        <w:rPr>
          <w:b/>
          <w:i w:val="0"/>
          <w:color w:val="0B4F8F"/>
          <w:sz w:val="18"/>
        </w:rPr>
        <w:t xml:space="preserve"> [35]</w:t>
      </w:r>
      <w:r>
        <w:rPr>
          <w:b w:val="0"/>
          <w:i w:val="0"/>
        </w:rPr>
        <w:t>. É mais uma confirmação independente de que a janela de risco é o começo do curso.</w:t>
      </w:r>
    </w:p>
    <w:p>
      <w:pPr>
        <w:pStyle w:val="ListBullet"/>
        <w:spacing w:after="60" w:line="269" w:lineRule="auto"/>
      </w:pPr>
      <w:r>
        <w:rPr>
          <w:b/>
          <w:i w:val="0"/>
        </w:rPr>
        <w:t xml:space="preserve">Os que nunca começam: </w:t>
      </w:r>
      <w:r>
        <w:rPr>
          <w:b w:val="0"/>
          <w:i w:val="0"/>
        </w:rPr>
        <w:t>de 25% a 35% dos matriculados no primeiro nível são alunos que se inscrevem e nunca iniciam, caindo para 5% a 10% nos níveis superiores</w:t>
      </w:r>
      <w:r>
        <w:rPr>
          <w:b/>
          <w:i w:val="0"/>
          <w:color w:val="0B4F8F"/>
          <w:sz w:val="18"/>
        </w:rPr>
        <w:t xml:space="preserve"> [35]</w:t>
      </w:r>
      <w:r>
        <w:rPr>
          <w:b w:val="0"/>
          <w:i w:val="0"/>
        </w:rPr>
        <w:t>. Essa categoria não apareceu em nenhuma outra fonte, e é o ponto de intervenção mais precoce que existe. Casa com o achado chinês de que o próprio ato da matrícula é um dos picos de saída</w:t>
      </w:r>
      <w:r>
        <w:rPr>
          <w:b/>
          <w:i w:val="0"/>
          <w:color w:val="0B4F8F"/>
          <w:sz w:val="18"/>
        </w:rPr>
        <w:t xml:space="preserve"> [9]</w:t>
      </w:r>
      <w:r>
        <w:rPr>
          <w:b w:val="0"/>
          <w:i w:val="0"/>
        </w:rPr>
        <w:t>.</w:t>
      </w:r>
    </w:p>
    <w:p>
      <w:pPr>
        <w:pStyle w:val="ListBullet"/>
        <w:spacing w:after="60" w:line="269" w:lineRule="auto"/>
      </w:pPr>
      <w:r>
        <w:rPr>
          <w:b/>
          <w:i w:val="0"/>
        </w:rPr>
        <w:t xml:space="preserve">Os dois maiores desmotivadores: </w:t>
      </w:r>
      <w:r>
        <w:rPr>
          <w:b w:val="0"/>
          <w:i w:val="0"/>
        </w:rPr>
        <w:t>semestre sobrecarregado, com 56%, e baixa flexibilidade do programa, com 53%</w:t>
      </w:r>
      <w:r>
        <w:rPr>
          <w:b/>
          <w:i w:val="0"/>
          <w:color w:val="0B4F8F"/>
          <w:sz w:val="18"/>
        </w:rPr>
        <w:t xml:space="preserve"> [35]</w:t>
      </w:r>
    </w:p>
    <w:p>
      <w:pPr>
        <w:pStyle w:val="Heading3"/>
      </w:pPr>
      <w:r>
        <w:t>A convergência sobre carga, que sugere outra intervenção</w:t>
      </w:r>
    </w:p>
    <w:p>
      <w:pPr>
        <w:spacing w:line="269" w:lineRule="auto"/>
      </w:pPr>
      <w:r>
        <w:rPr>
          <w:b w:val="0"/>
          <w:i w:val="0"/>
        </w:rPr>
        <w:t>Juntando tudo, quatro sistemas de ensino apontam a carga do semestre como causa. A Coreia recomenda explicitamente reduzir os créditos obrigatórios por período</w:t>
      </w:r>
      <w:r>
        <w:rPr>
          <w:b/>
          <w:i w:val="0"/>
          <w:color w:val="0B4F8F"/>
          <w:sz w:val="18"/>
        </w:rPr>
        <w:t xml:space="preserve"> [33]</w:t>
      </w:r>
      <w:r>
        <w:rPr>
          <w:b w:val="0"/>
          <w:i w:val="0"/>
        </w:rPr>
        <w:t>. No Sri Lanka o semestre sobrecarregado é o desmotivador número um</w:t>
      </w:r>
      <w:r>
        <w:rPr>
          <w:b/>
          <w:i w:val="0"/>
          <w:color w:val="0B4F8F"/>
          <w:sz w:val="18"/>
        </w:rPr>
        <w:t xml:space="preserve"> [35]</w:t>
      </w:r>
      <w:r>
        <w:rPr>
          <w:b w:val="0"/>
          <w:i w:val="0"/>
        </w:rPr>
        <w:t>. Na Índia, o curso consumir tempo demais é o terceiro motivo, com 55,88%</w:t>
      </w:r>
      <w:r>
        <w:rPr>
          <w:b/>
          <w:i w:val="0"/>
          <w:color w:val="0B4F8F"/>
          <w:sz w:val="18"/>
        </w:rPr>
        <w:t xml:space="preserve"> [31]</w:t>
      </w:r>
      <w:r>
        <w:rPr>
          <w:b w:val="0"/>
          <w:i w:val="0"/>
        </w:rPr>
        <w:t>. E no Brasil os entrevistados do SENAI falam da carga extra que o curso impõe na vida da pessoa</w:t>
      </w:r>
      <w:r>
        <w:rPr>
          <w:b/>
          <w:i w:val="0"/>
          <w:color w:val="0B4F8F"/>
          <w:sz w:val="18"/>
        </w:rPr>
        <w:t xml:space="preserve"> [3]</w:t>
      </w:r>
      <w:r>
        <w:rPr>
          <w:b w:val="0"/>
          <w:i w:val="0"/>
        </w:rPr>
        <w:t>.</w:t>
      </w:r>
    </w:p>
    <w:p>
      <w:pPr>
        <w:spacing w:line="269" w:lineRule="auto"/>
      </w:pPr>
      <w:r>
        <w:rPr>
          <w:b/>
          <w:i w:val="0"/>
        </w:rPr>
        <w:t xml:space="preserve">Isso aponta para uma intervenção que não é atendimento nenhum. </w:t>
      </w:r>
      <w:r>
        <w:rPr>
          <w:b w:val="0"/>
          <w:i w:val="0"/>
        </w:rPr>
        <w:t>A alavanca mais forte pode ser simplesmente deixar o aluno desacelerar sem sair: reduzir a carga do semestre, trancar disciplina, pausar de forma estruturada mantendo o vínculo. É mudança de produto e de regra acadêmica, não é comunicação nem modelo preditivo. E é o tipo de proposta que uma banca de operação reconhece como executável na segunda-feira.</w:t>
      </w:r>
    </w:p>
    <w:p>
      <w:pPr>
        <w:pStyle w:val="Heading2"/>
      </w:pPr>
      <w:r>
        <w:t>8.5 A fórmula de Simpson, que é a nossa tese em forma de equação</w:t>
      </w:r>
    </w:p>
    <w:p>
      <w:pPr>
        <w:spacing w:line="269" w:lineRule="auto"/>
      </w:pPr>
      <w:r>
        <w:rPr>
          <w:b w:val="0"/>
          <w:i w:val="0"/>
        </w:rPr>
        <w:t>A literatura de universidade aberta recupera com frequência a formulação de Ormond Simpson, que dirigiu o serviço de apoio ao estudante da Open University britânica e é a principal referência internacional em retenção na educação a distância</w:t>
      </w:r>
      <w:r>
        <w:rPr>
          <w:b/>
          <w:i w:val="0"/>
          <w:color w:val="0B4F8F"/>
          <w:sz w:val="18"/>
        </w:rPr>
        <w:t xml:space="preserve"> [9]</w:t>
      </w:r>
      <w:r>
        <w:rPr>
          <w:b w:val="0"/>
          <w:i w:val="0"/>
        </w:rPr>
        <w:t>. A fórmula dele para o sucesso do aluno é a seguinte, em tradução direta:</w:t>
      </w:r>
    </w:p>
    <w:p>
      <w:pPr>
        <w:spacing w:before="80" w:after="160"/>
        <w:jc w:val="center"/>
      </w:pPr>
      <w:r>
        <w:rPr>
          <w:b/>
          <w:sz w:val="21"/>
        </w:rPr>
        <w:t>sucesso = escolha adequada de curso + identificação precoce de quem tende a evadir + (contato precoce e contínuo × apoio motivacional proativo)</w:t>
      </w:r>
    </w:p>
    <w:p>
      <w:pPr>
        <w:spacing w:line="269" w:lineRule="auto"/>
      </w:pPr>
      <w:r>
        <w:rPr>
          <w:b w:val="0"/>
          <w:i w:val="0"/>
        </w:rPr>
        <w:t>O detalhe que importa é a estrutura da equação. Identificar quem vai evadir entra como uma parcela somada, ou seja, contribui mas é limitada. O que multiplica é o contato contínuo vezes o apoio proativo. Se qualquer um dos dois for zero, o produto é zero, e identificar sozinho não salva ninguém. É a nossa tese inteira escrita como equação, por quem dirigia a operação de retenção da maior universidade aberta do Reino Unido.</w:t>
      </w:r>
    </w:p>
    <w:p>
      <w:pPr>
        <w:spacing w:line="269" w:lineRule="auto"/>
      </w:pPr>
      <w:r>
        <w:rPr>
          <w:b w:val="0"/>
          <w:i w:val="0"/>
        </w:rPr>
        <w:t>Simpson também diz algo desconfortável e útil: para parte dos alunos, se o custo e o esforço de recuperação forem altos demais, é aceitável desistir</w:t>
      </w:r>
      <w:r>
        <w:rPr>
          <w:b/>
          <w:i w:val="0"/>
          <w:color w:val="0B4F8F"/>
          <w:sz w:val="18"/>
        </w:rPr>
        <w:t xml:space="preserve"> [9]</w:t>
      </w:r>
      <w:r>
        <w:rPr>
          <w:b w:val="0"/>
          <w:i w:val="0"/>
        </w:rPr>
        <w:t>. Ou seja, triagem por capacidade não é frieza nossa, é recomendação consolidada na literatura da área.</w:t>
      </w:r>
    </w:p>
    <w:p>
      <w:pPr>
        <w:spacing w:line="269" w:lineRule="auto"/>
      </w:pPr>
      <w:r>
        <w:rPr>
          <w:b w:val="0"/>
          <w:i w:val="0"/>
        </w:rPr>
        <w:t>Como calibragem, as taxas de conclusão das grandes universidades abertas do mundo são duras: a britânica formava 59% em 1971 e caiu para 22% em 1994, ficando em 22% de conclusão após onze anos. A Athabasca, no Canadá, tem 5,3% após oito anos, e a holandesa 2,5% no mesmo prazo</w:t>
      </w:r>
      <w:r>
        <w:rPr>
          <w:b/>
          <w:i w:val="0"/>
          <w:color w:val="0B4F8F"/>
          <w:sz w:val="18"/>
        </w:rPr>
        <w:t xml:space="preserve"> [9]</w:t>
      </w:r>
      <w:r>
        <w:rPr>
          <w:b w:val="0"/>
          <w:i w:val="0"/>
        </w:rPr>
        <w:t>. Serve para lembrar que a régua do setor é diferente da régua do ensino presencial.</w:t>
      </w:r>
    </w:p>
    <w:p>
      <w:pPr>
        <w:pStyle w:val="Heading2"/>
      </w:pPr>
      <w:r>
        <w:t>8.6 O que triangulou</w:t>
      </w:r>
    </w:p>
    <w:p>
      <w:pPr>
        <w:spacing w:line="269" w:lineRule="auto"/>
      </w:pPr>
      <w:r>
        <w:rPr>
          <w:b w:val="0"/>
          <w:i w:val="0"/>
        </w:rPr>
        <w:t>Esta é a tabela para levar na cabeça. Cada linha é um achado confirmado por sistemas de ensino independentes, em países diferentes, com métodos diferentes. Achado que aparece em três lugares distintos é muito mais difícil de derrubar numa banca do que achado de fonte única.</w:t>
      </w:r>
    </w:p>
    <w:tbl>
      <w:tblPr>
        <w:tblStyle w:val="TableGrid"/>
        <w:tblW w:type="auto" w:w="0"/>
        <w:jc w:val="center"/>
        <w:tblLayout w:type="fixed"/>
        <w:tblLook w:firstColumn="1" w:firstRow="1" w:lastColumn="0" w:lastRow="0" w:noHBand="0" w:noVBand="1" w:val="04A0"/>
      </w:tblPr>
      <w:tblGrid>
        <w:gridCol w:w="1814"/>
        <w:gridCol w:w="2381"/>
        <w:gridCol w:w="2665"/>
        <w:gridCol w:w="2324"/>
      </w:tblGrid>
      <w:tr>
        <w:tc>
          <w:tcPr>
            <w:tcW w:type="dxa" w:w="1814"/>
            <w:shd w:val="clear" w:color="auto" w:fill="0B4F8F"/>
          </w:tcPr>
          <w:p>
            <w:pPr>
              <w:spacing w:before="60" w:after="60"/>
            </w:pPr>
            <w:r>
              <w:rPr>
                <w:b/>
                <w:color w:val="FFFFFF"/>
                <w:sz w:val="19"/>
              </w:rPr>
              <w:t>Achado</w:t>
            </w:r>
          </w:p>
        </w:tc>
        <w:tc>
          <w:tcPr>
            <w:tcW w:type="dxa" w:w="2381"/>
            <w:shd w:val="clear" w:color="auto" w:fill="0B4F8F"/>
          </w:tcPr>
          <w:p>
            <w:pPr>
              <w:spacing w:before="60" w:after="60"/>
            </w:pPr>
            <w:r>
              <w:rPr>
                <w:b/>
                <w:color w:val="FFFFFF"/>
                <w:sz w:val="19"/>
              </w:rPr>
              <w:t>Brasil</w:t>
            </w:r>
          </w:p>
        </w:tc>
        <w:tc>
          <w:tcPr>
            <w:tcW w:type="dxa" w:w="2665"/>
            <w:shd w:val="clear" w:color="auto" w:fill="0B4F8F"/>
          </w:tcPr>
          <w:p>
            <w:pPr>
              <w:spacing w:before="60" w:after="60"/>
            </w:pPr>
            <w:r>
              <w:rPr>
                <w:b/>
                <w:color w:val="FFFFFF"/>
                <w:sz w:val="19"/>
              </w:rPr>
              <w:t>Ásia (China e Índia)</w:t>
            </w:r>
          </w:p>
        </w:tc>
        <w:tc>
          <w:tcPr>
            <w:tcW w:type="dxa" w:w="2324"/>
            <w:shd w:val="clear" w:color="auto" w:fill="0B4F8F"/>
          </w:tcPr>
          <w:p>
            <w:pPr>
              <w:spacing w:before="60" w:after="60"/>
            </w:pPr>
            <w:r>
              <w:rPr>
                <w:b/>
                <w:color w:val="FFFFFF"/>
                <w:sz w:val="19"/>
              </w:rPr>
              <w:t>Reino Unido e EUA</w:t>
            </w:r>
          </w:p>
        </w:tc>
      </w:tr>
      <w:tr>
        <w:tc>
          <w:tcPr>
            <w:tcW w:type="dxa" w:w="1814"/>
          </w:tcPr>
          <w:p>
            <w:pPr>
              <w:spacing w:before="50" w:after="50" w:line="252" w:lineRule="auto"/>
            </w:pPr>
            <w:r>
              <w:rPr>
                <w:b/>
                <w:i w:val="0"/>
                <w:sz w:val="19"/>
              </w:rPr>
              <w:t>A janela crítica é o primeiro ano, e dentro dela a saída se concentra em eventos</w:t>
            </w:r>
          </w:p>
        </w:tc>
        <w:tc>
          <w:tcPr>
            <w:tcW w:type="dxa" w:w="2381"/>
          </w:tcPr>
          <w:p>
            <w:pPr>
              <w:spacing w:before="50" w:after="50" w:line="252" w:lineRule="auto"/>
            </w:pPr>
            <w:r>
              <w:rPr>
                <w:b w:val="0"/>
                <w:i w:val="0"/>
                <w:sz w:val="19"/>
              </w:rPr>
              <w:t>Evasão total de 24,8% em 2024, 26,6% na rede privada</w:t>
            </w:r>
            <w:r>
              <w:rPr>
                <w:b/>
                <w:i w:val="0"/>
                <w:color w:val="0B4F8F"/>
                <w:sz w:val="16"/>
              </w:rPr>
              <w:t xml:space="preserve"> [29]</w:t>
            </w:r>
          </w:p>
        </w:tc>
        <w:tc>
          <w:tcPr>
            <w:tcW w:type="dxa" w:w="2665"/>
          </w:tcPr>
          <w:p>
            <w:pPr>
              <w:spacing w:before="50" w:after="50" w:line="252" w:lineRule="auto"/>
            </w:pPr>
            <w:r>
              <w:rPr>
                <w:b w:val="0"/>
                <w:i w:val="0"/>
                <w:sz w:val="19"/>
              </w:rPr>
              <w:t>Matrícula mais dois primeiros semestres somam quase 70%; no terceiro cai para 0,6%</w:t>
            </w:r>
            <w:r>
              <w:rPr>
                <w:b/>
                <w:i w:val="0"/>
                <w:color w:val="0B4F8F"/>
                <w:sz w:val="16"/>
              </w:rPr>
              <w:t xml:space="preserve"> [9]</w:t>
            </w:r>
            <w:r>
              <w:rPr>
                <w:b w:val="0"/>
                <w:i w:val="0"/>
                <w:sz w:val="19"/>
              </w:rPr>
              <w:t>. A saída dispara nas transições de módulo</w:t>
            </w:r>
            <w:r>
              <w:rPr>
                <w:b/>
                <w:i w:val="0"/>
                <w:color w:val="0B4F8F"/>
                <w:sz w:val="16"/>
              </w:rPr>
              <w:t xml:space="preserve"> [6]</w:t>
            </w:r>
          </w:p>
        </w:tc>
        <w:tc>
          <w:tcPr>
            <w:tcW w:type="dxa" w:w="2324"/>
          </w:tcPr>
          <w:p>
            <w:pPr>
              <w:spacing w:before="50" w:after="50" w:line="252" w:lineRule="auto"/>
            </w:pPr>
            <w:r>
              <w:rPr>
                <w:b w:val="0"/>
                <w:i w:val="0"/>
                <w:sz w:val="19"/>
              </w:rPr>
              <w:t>Simpson mapeia a saída semana a semana do curso</w:t>
            </w:r>
            <w:r>
              <w:rPr>
                <w:b/>
                <w:i w:val="0"/>
                <w:color w:val="0B4F8F"/>
                <w:sz w:val="16"/>
              </w:rPr>
              <w:t xml:space="preserve"> [9]</w:t>
            </w:r>
          </w:p>
        </w:tc>
      </w:tr>
      <w:tr>
        <w:tc>
          <w:tcPr>
            <w:tcW w:type="dxa" w:w="1814"/>
            <w:shd w:val="clear" w:color="auto" w:fill="EEF3F8"/>
          </w:tcPr>
          <w:p>
            <w:pPr>
              <w:spacing w:before="50" w:after="50" w:line="252" w:lineRule="auto"/>
            </w:pPr>
            <w:r>
              <w:rPr>
                <w:b/>
                <w:i w:val="0"/>
                <w:sz w:val="19"/>
              </w:rPr>
              <w:t>Conflito entre trabalho e estudo é a causa principal</w:t>
            </w:r>
          </w:p>
        </w:tc>
        <w:tc>
          <w:tcPr>
            <w:tcW w:type="dxa" w:w="2381"/>
            <w:shd w:val="clear" w:color="auto" w:fill="EEF3F8"/>
          </w:tcPr>
          <w:p>
            <w:pPr>
              <w:spacing w:before="50" w:after="50" w:line="252" w:lineRule="auto"/>
            </w:pPr>
            <w:r>
              <w:rPr>
                <w:b w:val="0"/>
                <w:i w:val="0"/>
                <w:sz w:val="19"/>
              </w:rPr>
              <w:t>O fator mais citado nas entrevistas do SENAI</w:t>
            </w:r>
            <w:r>
              <w:rPr>
                <w:b/>
                <w:i w:val="0"/>
                <w:color w:val="0B4F8F"/>
                <w:sz w:val="16"/>
              </w:rPr>
              <w:t xml:space="preserve"> [3]</w:t>
            </w:r>
          </w:p>
        </w:tc>
        <w:tc>
          <w:tcPr>
            <w:tcW w:type="dxa" w:w="2665"/>
            <w:shd w:val="clear" w:color="auto" w:fill="EEF3F8"/>
          </w:tcPr>
          <w:p>
            <w:pPr>
              <w:spacing w:before="50" w:after="50" w:line="252" w:lineRule="auto"/>
            </w:pPr>
            <w:r>
              <w:rPr>
                <w:b w:val="0"/>
                <w:i w:val="0"/>
                <w:sz w:val="19"/>
              </w:rPr>
              <w:t>Primeiro lugar na China</w:t>
            </w:r>
            <w:r>
              <w:rPr>
                <w:b/>
                <w:i w:val="0"/>
                <w:color w:val="0B4F8F"/>
                <w:sz w:val="16"/>
              </w:rPr>
              <w:t xml:space="preserve"> [9]</w:t>
            </w:r>
            <w:r>
              <w:rPr>
                <w:b w:val="0"/>
                <w:i w:val="0"/>
                <w:sz w:val="19"/>
              </w:rPr>
              <w:t>. Na Coreia, carga de trabalho no emprego é o motivo nº 1, com 64%</w:t>
            </w:r>
            <w:r>
              <w:rPr>
                <w:b/>
                <w:i w:val="0"/>
                <w:color w:val="0B4F8F"/>
                <w:sz w:val="16"/>
              </w:rPr>
              <w:t xml:space="preserve"> [33]</w:t>
            </w:r>
          </w:p>
        </w:tc>
        <w:tc>
          <w:tcPr>
            <w:tcW w:type="dxa" w:w="2324"/>
            <w:shd w:val="clear" w:color="auto" w:fill="EEF3F8"/>
          </w:tcPr>
          <w:p>
            <w:pPr>
              <w:spacing w:before="50" w:after="50" w:line="252" w:lineRule="auto"/>
            </w:pPr>
            <w:r>
              <w:rPr>
                <w:b w:val="0"/>
                <w:i w:val="0"/>
                <w:sz w:val="19"/>
              </w:rPr>
              <w:t>Modelos de aluno adulto não tradicional partem daí</w:t>
            </w:r>
          </w:p>
        </w:tc>
      </w:tr>
      <w:tr>
        <w:tc>
          <w:tcPr>
            <w:tcW w:type="dxa" w:w="1814"/>
          </w:tcPr>
          <w:p>
            <w:pPr>
              <w:spacing w:before="50" w:after="50" w:line="252" w:lineRule="auto"/>
            </w:pPr>
            <w:r>
              <w:rPr>
                <w:b/>
                <w:i w:val="0"/>
                <w:sz w:val="19"/>
              </w:rPr>
              <w:t>A carga do semestre é causa, e a intervenção é deixar desacelerar</w:t>
            </w:r>
          </w:p>
        </w:tc>
        <w:tc>
          <w:tcPr>
            <w:tcW w:type="dxa" w:w="2381"/>
          </w:tcPr>
          <w:p>
            <w:pPr>
              <w:spacing w:before="50" w:after="50" w:line="252" w:lineRule="auto"/>
            </w:pPr>
            <w:r>
              <w:rPr>
                <w:b w:val="0"/>
                <w:i w:val="0"/>
                <w:sz w:val="19"/>
              </w:rPr>
              <w:t>Carga extra que o curso impõe na vida da pessoa</w:t>
            </w:r>
            <w:r>
              <w:rPr>
                <w:b/>
                <w:i w:val="0"/>
                <w:color w:val="0B4F8F"/>
                <w:sz w:val="16"/>
              </w:rPr>
              <w:t xml:space="preserve"> [3]</w:t>
            </w:r>
          </w:p>
        </w:tc>
        <w:tc>
          <w:tcPr>
            <w:tcW w:type="dxa" w:w="2665"/>
          </w:tcPr>
          <w:p>
            <w:pPr>
              <w:spacing w:before="50" w:after="50" w:line="252" w:lineRule="auto"/>
            </w:pPr>
            <w:r>
              <w:rPr>
                <w:b w:val="0"/>
                <w:i w:val="0"/>
                <w:sz w:val="19"/>
              </w:rPr>
              <w:t>Coreia recomenda reduzir créditos obrigatórios</w:t>
            </w:r>
            <w:r>
              <w:rPr>
                <w:b/>
                <w:i w:val="0"/>
                <w:color w:val="0B4F8F"/>
                <w:sz w:val="16"/>
              </w:rPr>
              <w:t xml:space="preserve"> [33]</w:t>
            </w:r>
            <w:r>
              <w:rPr>
                <w:b w:val="0"/>
                <w:i w:val="0"/>
                <w:sz w:val="19"/>
              </w:rPr>
              <w:t>. Sri Lanka: semestre sobrecarregado é o desmotivador nº 1, 56%</w:t>
            </w:r>
            <w:r>
              <w:rPr>
                <w:b/>
                <w:i w:val="0"/>
                <w:color w:val="0B4F8F"/>
                <w:sz w:val="16"/>
              </w:rPr>
              <w:t xml:space="preserve"> [35]</w:t>
            </w:r>
            <w:r>
              <w:rPr>
                <w:b w:val="0"/>
                <w:i w:val="0"/>
                <w:sz w:val="19"/>
              </w:rPr>
              <w:t>. Índia: curso consome tempo demais, 55,88%</w:t>
            </w:r>
            <w:r>
              <w:rPr>
                <w:b/>
                <w:i w:val="0"/>
                <w:color w:val="0B4F8F"/>
                <w:sz w:val="16"/>
              </w:rPr>
              <w:t xml:space="preserve"> [31]</w:t>
            </w:r>
          </w:p>
        </w:tc>
        <w:tc>
          <w:tcPr>
            <w:tcW w:type="dxa" w:w="2324"/>
          </w:tcPr>
          <w:p>
            <w:pPr>
              <w:spacing w:before="50" w:after="50" w:line="252" w:lineRule="auto"/>
            </w:pPr>
            <w:r>
              <w:rPr>
                <w:b w:val="0"/>
                <w:i w:val="0"/>
                <w:sz w:val="19"/>
              </w:rPr>
              <w:t>Consistente com a recomendação de ajustar carga em vez de só comunicar</w:t>
            </w:r>
          </w:p>
        </w:tc>
      </w:tr>
      <w:tr>
        <w:tc>
          <w:tcPr>
            <w:tcW w:type="dxa" w:w="1814"/>
            <w:shd w:val="clear" w:color="auto" w:fill="EEF3F8"/>
          </w:tcPr>
          <w:p>
            <w:pPr>
              <w:spacing w:before="50" w:after="50" w:line="252" w:lineRule="auto"/>
            </w:pPr>
            <w:r>
              <w:rPr>
                <w:b/>
                <w:i w:val="0"/>
                <w:sz w:val="19"/>
              </w:rPr>
              <w:t>Falta de retorno da instituição é a causa mais controlável</w:t>
            </w:r>
          </w:p>
        </w:tc>
        <w:tc>
          <w:tcPr>
            <w:tcW w:type="dxa" w:w="2381"/>
            <w:shd w:val="clear" w:color="auto" w:fill="EEF3F8"/>
          </w:tcPr>
          <w:p>
            <w:pPr>
              <w:spacing w:before="50" w:after="50" w:line="252" w:lineRule="auto"/>
            </w:pPr>
            <w:r>
              <w:rPr>
                <w:b w:val="0"/>
                <w:i w:val="0"/>
                <w:sz w:val="19"/>
              </w:rPr>
              <w:t>Não medido diretamente nas fontes brasileiras</w:t>
            </w:r>
          </w:p>
        </w:tc>
        <w:tc>
          <w:tcPr>
            <w:tcW w:type="dxa" w:w="2665"/>
            <w:shd w:val="clear" w:color="auto" w:fill="EEF3F8"/>
          </w:tcPr>
          <w:p>
            <w:pPr>
              <w:spacing w:before="50" w:after="50" w:line="252" w:lineRule="auto"/>
            </w:pPr>
            <w:r>
              <w:rPr>
                <w:b w:val="0"/>
                <w:i w:val="0"/>
                <w:sz w:val="19"/>
              </w:rPr>
              <w:t>Coreia: retorno insuficiente do professor é o 2º motivo, 62%</w:t>
            </w:r>
            <w:r>
              <w:rPr>
                <w:b/>
                <w:i w:val="0"/>
                <w:color w:val="0B4F8F"/>
                <w:sz w:val="16"/>
              </w:rPr>
              <w:t xml:space="preserve"> [33]</w:t>
            </w:r>
            <w:r>
              <w:rPr>
                <w:b w:val="0"/>
                <w:i w:val="0"/>
                <w:sz w:val="19"/>
              </w:rPr>
              <w:t>. Índia: apoio acadêmico insuficiente é o 2º, 58,8%</w:t>
            </w:r>
            <w:r>
              <w:rPr>
                <w:b/>
                <w:i w:val="0"/>
                <w:color w:val="0B4F8F"/>
                <w:sz w:val="16"/>
              </w:rPr>
              <w:t xml:space="preserve"> [31]</w:t>
            </w:r>
          </w:p>
        </w:tc>
        <w:tc>
          <w:tcPr>
            <w:tcW w:type="dxa" w:w="2324"/>
            <w:shd w:val="clear" w:color="auto" w:fill="EEF3F8"/>
          </w:tcPr>
          <w:p>
            <w:pPr>
              <w:spacing w:before="50" w:after="50" w:line="252" w:lineRule="auto"/>
            </w:pPr>
            <w:r>
              <w:rPr>
                <w:b w:val="0"/>
                <w:i w:val="0"/>
                <w:sz w:val="19"/>
              </w:rPr>
              <w:t>Georgia State atacou exatamente isso, com 200 mil intervenções de orientador</w:t>
            </w:r>
            <w:r>
              <w:rPr>
                <w:b/>
                <w:i w:val="0"/>
                <w:color w:val="0B4F8F"/>
                <w:sz w:val="16"/>
              </w:rPr>
              <w:t xml:space="preserve"> [12]</w:t>
            </w:r>
          </w:p>
        </w:tc>
      </w:tr>
      <w:tr>
        <w:tc>
          <w:tcPr>
            <w:tcW w:type="dxa" w:w="1814"/>
          </w:tcPr>
          <w:p>
            <w:pPr>
              <w:spacing w:before="50" w:after="50" w:line="252" w:lineRule="auto"/>
            </w:pPr>
            <w:r>
              <w:rPr>
                <w:b/>
                <w:i w:val="0"/>
                <w:sz w:val="19"/>
              </w:rPr>
              <w:t>O vínculo com os pares é alavanca de retenção</w:t>
            </w:r>
          </w:p>
        </w:tc>
        <w:tc>
          <w:tcPr>
            <w:tcW w:type="dxa" w:w="2381"/>
          </w:tcPr>
          <w:p>
            <w:pPr>
              <w:spacing w:before="50" w:after="50" w:line="252" w:lineRule="auto"/>
            </w:pPr>
            <w:r>
              <w:rPr>
                <w:b w:val="0"/>
                <w:i w:val="0"/>
                <w:sz w:val="19"/>
              </w:rPr>
              <w:t>Rumberger separa engajamento acadêmico de social</w:t>
            </w:r>
            <w:r>
              <w:rPr>
                <w:b/>
                <w:i w:val="0"/>
                <w:color w:val="0B4F8F"/>
                <w:sz w:val="16"/>
              </w:rPr>
              <w:t xml:space="preserve"> [2]</w:t>
            </w:r>
          </w:p>
        </w:tc>
        <w:tc>
          <w:tcPr>
            <w:tcW w:type="dxa" w:w="2665"/>
          </w:tcPr>
          <w:p>
            <w:pPr>
              <w:spacing w:before="50" w:after="50" w:line="252" w:lineRule="auto"/>
            </w:pPr>
            <w:r>
              <w:rPr>
                <w:b w:val="0"/>
                <w:i w:val="0"/>
                <w:sz w:val="19"/>
              </w:rPr>
              <w:t>Cinco amigos que saem elevam o risco a 65%</w:t>
            </w:r>
            <w:r>
              <w:rPr>
                <w:b/>
                <w:i w:val="0"/>
                <w:color w:val="0B4F8F"/>
                <w:sz w:val="16"/>
              </w:rPr>
              <w:t xml:space="preserve"> [5]</w:t>
            </w:r>
            <w:r>
              <w:rPr>
                <w:b w:val="0"/>
                <w:i w:val="0"/>
                <w:sz w:val="19"/>
              </w:rPr>
              <w:t>. Ausência de interação com colegas é o quinto motivo na Índia, com 47%</w:t>
            </w:r>
            <w:r>
              <w:rPr>
                <w:b/>
                <w:i w:val="0"/>
                <w:color w:val="0B4F8F"/>
                <w:sz w:val="16"/>
              </w:rPr>
              <w:t xml:space="preserve"> [31]</w:t>
            </w:r>
          </w:p>
        </w:tc>
        <w:tc>
          <w:tcPr>
            <w:tcW w:type="dxa" w:w="2324"/>
          </w:tcPr>
          <w:p>
            <w:pPr>
              <w:spacing w:before="50" w:after="50" w:line="252" w:lineRule="auto"/>
            </w:pPr>
            <w:r>
              <w:rPr>
                <w:b w:val="0"/>
                <w:i w:val="0"/>
                <w:sz w:val="19"/>
              </w:rPr>
              <w:t>Formar grupos locais é recomendação clássica de apoio ao estudante</w:t>
            </w:r>
            <w:r>
              <w:rPr>
                <w:b/>
                <w:i w:val="0"/>
                <w:color w:val="0B4F8F"/>
                <w:sz w:val="16"/>
              </w:rPr>
              <w:t xml:space="preserve"> [31]</w:t>
            </w:r>
          </w:p>
        </w:tc>
      </w:tr>
      <w:tr>
        <w:tc>
          <w:tcPr>
            <w:tcW w:type="dxa" w:w="1814"/>
            <w:shd w:val="clear" w:color="auto" w:fill="EEF3F8"/>
          </w:tcPr>
          <w:p>
            <w:pPr>
              <w:spacing w:before="50" w:after="50" w:line="252" w:lineRule="auto"/>
            </w:pPr>
            <w:r>
              <w:rPr>
                <w:b/>
                <w:i w:val="0"/>
                <w:sz w:val="19"/>
              </w:rPr>
              <w:t>Detectar não basta</w:t>
            </w:r>
          </w:p>
        </w:tc>
        <w:tc>
          <w:tcPr>
            <w:tcW w:type="dxa" w:w="2381"/>
            <w:shd w:val="clear" w:color="auto" w:fill="EEF3F8"/>
          </w:tcPr>
          <w:p>
            <w:pPr>
              <w:spacing w:before="50" w:after="50" w:line="252" w:lineRule="auto"/>
            </w:pPr>
            <w:r>
              <w:rPr>
                <w:b w:val="0"/>
                <w:i w:val="0"/>
                <w:sz w:val="19"/>
              </w:rPr>
              <w:t>Instituição com predição, sala de guerra e chamado pedagógico ainda perde 6 de 10</w:t>
            </w:r>
            <w:r>
              <w:rPr>
                <w:b/>
                <w:i w:val="0"/>
                <w:color w:val="0B4F8F"/>
                <w:sz w:val="16"/>
              </w:rPr>
              <w:t xml:space="preserve"> [3]</w:t>
            </w:r>
          </w:p>
        </w:tc>
        <w:tc>
          <w:tcPr>
            <w:tcW w:type="dxa" w:w="2665"/>
            <w:shd w:val="clear" w:color="auto" w:fill="EEF3F8"/>
          </w:tcPr>
          <w:p>
            <w:pPr>
              <w:spacing w:before="50" w:after="50" w:line="252" w:lineRule="auto"/>
            </w:pPr>
            <w:r>
              <w:rPr>
                <w:b w:val="0"/>
                <w:i w:val="0"/>
                <w:sz w:val="19"/>
              </w:rPr>
              <w:t>Identificar é parcela somada; o que multiplica é contato vezes apoio proativo</w:t>
            </w:r>
            <w:r>
              <w:rPr>
                <w:b/>
                <w:i w:val="0"/>
                <w:color w:val="0B4F8F"/>
                <w:sz w:val="16"/>
              </w:rPr>
              <w:t xml:space="preserve"> [9]</w:t>
            </w:r>
          </w:p>
        </w:tc>
        <w:tc>
          <w:tcPr>
            <w:tcW w:type="dxa" w:w="2324"/>
            <w:shd w:val="clear" w:color="auto" w:fill="EEF3F8"/>
          </w:tcPr>
          <w:p>
            <w:pPr>
              <w:spacing w:before="50" w:after="50" w:line="252" w:lineRule="auto"/>
            </w:pPr>
            <w:r>
              <w:rPr>
                <w:b w:val="0"/>
                <w:i w:val="0"/>
                <w:sz w:val="19"/>
              </w:rPr>
              <w:t>Mensagem para 800 mil alunos deu efeito zero</w:t>
            </w:r>
            <w:r>
              <w:rPr>
                <w:b/>
                <w:i w:val="0"/>
                <w:color w:val="0B4F8F"/>
                <w:sz w:val="16"/>
              </w:rPr>
              <w:t xml:space="preserve"> [4]</w:t>
            </w:r>
            <w:r>
              <w:rPr>
                <w:b w:val="0"/>
                <w:i w:val="0"/>
                <w:sz w:val="19"/>
              </w:rPr>
              <w:t>; alerta com 200 mil intervenções de orientador eliminou a diferença de conclusão</w:t>
            </w:r>
            <w:r>
              <w:rPr>
                <w:b/>
                <w:i w:val="0"/>
                <w:color w:val="0B4F8F"/>
                <w:sz w:val="16"/>
              </w:rPr>
              <w:t xml:space="preserve"> [12]</w:t>
            </w:r>
          </w:p>
        </w:tc>
      </w:tr>
      <w:tr>
        <w:tc>
          <w:tcPr>
            <w:tcW w:type="dxa" w:w="1814"/>
          </w:tcPr>
          <w:p>
            <w:pPr>
              <w:spacing w:before="50" w:after="50" w:line="252" w:lineRule="auto"/>
            </w:pPr>
            <w:r>
              <w:rPr>
                <w:b/>
                <w:i w:val="0"/>
                <w:sz w:val="19"/>
              </w:rPr>
              <w:t>A régua certa não é a do MOOC</w:t>
            </w:r>
          </w:p>
        </w:tc>
        <w:tc>
          <w:tcPr>
            <w:tcW w:type="dxa" w:w="2381"/>
          </w:tcPr>
          <w:p>
            <w:pPr>
              <w:spacing w:before="50" w:after="50" w:line="252" w:lineRule="auto"/>
            </w:pPr>
            <w:r>
              <w:rPr>
                <w:b w:val="0"/>
                <w:i w:val="0"/>
                <w:sz w:val="19"/>
              </w:rPr>
              <w:t>60% em curso técnico presencial noturno</w:t>
            </w:r>
            <w:r>
              <w:rPr>
                <w:b/>
                <w:i w:val="0"/>
                <w:color w:val="0B4F8F"/>
                <w:sz w:val="16"/>
              </w:rPr>
              <w:t xml:space="preserve"> [3]</w:t>
            </w:r>
          </w:p>
        </w:tc>
        <w:tc>
          <w:tcPr>
            <w:tcW w:type="dxa" w:w="2665"/>
          </w:tcPr>
          <w:p>
            <w:pPr>
              <w:spacing w:before="50" w:after="50" w:line="252" w:lineRule="auto"/>
            </w:pPr>
            <w:r>
              <w:rPr>
                <w:b w:val="0"/>
                <w:i w:val="0"/>
                <w:sz w:val="19"/>
              </w:rPr>
              <w:t>12,85% na universidade aberta chinesa, contra 4,5% em MOOC</w:t>
            </w:r>
            <w:r>
              <w:rPr>
                <w:b/>
                <w:i w:val="0"/>
                <w:color w:val="0B4F8F"/>
                <w:sz w:val="16"/>
              </w:rPr>
              <w:t xml:space="preserve"> [9]</w:t>
            </w:r>
            <w:r>
              <w:rPr>
                <w:b/>
                <w:i w:val="0"/>
                <w:color w:val="0B4F8F"/>
                <w:sz w:val="16"/>
              </w:rPr>
              <w:t xml:space="preserve"> [5]</w:t>
            </w:r>
            <w:r>
              <w:rPr>
                <w:b w:val="0"/>
                <w:i w:val="0"/>
                <w:sz w:val="19"/>
              </w:rPr>
              <w:t>. SWAYAM indiano tem 4,6%</w:t>
            </w:r>
            <w:r>
              <w:rPr>
                <w:b/>
                <w:i w:val="0"/>
                <w:color w:val="0B4F8F"/>
                <w:sz w:val="16"/>
              </w:rPr>
              <w:t xml:space="preserve"> [32]</w:t>
            </w:r>
          </w:p>
        </w:tc>
        <w:tc>
          <w:tcPr>
            <w:tcW w:type="dxa" w:w="2324"/>
          </w:tcPr>
          <w:p>
            <w:pPr>
              <w:spacing w:before="50" w:after="50" w:line="252" w:lineRule="auto"/>
            </w:pPr>
            <w:r>
              <w:rPr>
                <w:b w:val="0"/>
                <w:i w:val="0"/>
                <w:sz w:val="19"/>
              </w:rPr>
              <w:t>22% de conclusão em onze anos na Open University</w:t>
            </w:r>
            <w:r>
              <w:rPr>
                <w:b/>
                <w:i w:val="0"/>
                <w:color w:val="0B4F8F"/>
                <w:sz w:val="16"/>
              </w:rPr>
              <w:t xml:space="preserve"> [9]</w:t>
            </w:r>
          </w:p>
        </w:tc>
      </w:tr>
    </w:tbl>
    <w:p>
      <w:pPr>
        <w:spacing w:after="80"/>
      </w:pPr>
    </w:p>
    <w:p>
      <w:pPr>
        <w:pStyle w:val="Heading1"/>
      </w:pPr>
      <w:r>
        <w:t>9. A síntese: onde está a lacuna real</w:t>
      </w:r>
    </w:p>
    <w:p>
      <w:pPr>
        <w:spacing w:line="269" w:lineRule="auto"/>
      </w:pPr>
      <w:r>
        <w:rPr>
          <w:b w:val="0"/>
          <w:i w:val="0"/>
        </w:rPr>
        <w:t>Fontes muito diferentes, em três países, convergem para a mesma conclusão por caminhos independentes, e é nela que a nossa proposta deve se apoiar.</w:t>
      </w:r>
    </w:p>
    <w:p>
      <w:pPr>
        <w:spacing w:line="269" w:lineRule="auto"/>
      </w:pPr>
      <w:r>
        <w:rPr>
          <w:b w:val="0"/>
          <w:i w:val="0"/>
        </w:rPr>
        <w:t>O caso do SENAI mostra uma instituição que já prediz evasão, já se reúne toda semana para olhar os casos, já tem canal para o professor acionar o pedagógico, e ainda assim perde seis em cada dez alunos</w:t>
      </w:r>
      <w:r>
        <w:rPr>
          <w:b/>
          <w:i w:val="0"/>
          <w:color w:val="0B4F8F"/>
          <w:sz w:val="18"/>
        </w:rPr>
        <w:t xml:space="preserve"> [3]</w:t>
      </w:r>
      <w:r>
        <w:rPr>
          <w:b w:val="0"/>
          <w:i w:val="0"/>
        </w:rPr>
        <w:t>. A Vitru, por sua vez, já reporta inteligência de dados, agentes de IA em produção e queda de evasão</w:t>
      </w:r>
      <w:r>
        <w:rPr>
          <w:b/>
          <w:i w:val="0"/>
          <w:color w:val="0B4F8F"/>
          <w:sz w:val="18"/>
        </w:rPr>
        <w:t xml:space="preserve"> [22]</w:t>
      </w:r>
      <w:r>
        <w:rPr>
          <w:b w:val="0"/>
          <w:i w:val="0"/>
        </w:rPr>
        <w:t>. O estudo da Bahia mostra que a alavanca que de fato segurou aluno era material e específica, não um alerta genérico</w:t>
      </w:r>
      <w:r>
        <w:rPr>
          <w:b/>
          <w:i w:val="0"/>
          <w:color w:val="0B4F8F"/>
          <w:sz w:val="18"/>
        </w:rPr>
        <w:t xml:space="preserve"> [2]</w:t>
      </w:r>
      <w:r>
        <w:rPr>
          <w:b w:val="0"/>
          <w:i w:val="0"/>
        </w:rPr>
        <w:t>. E o estudo do INEP mostra que correlacionar não é explicar</w:t>
      </w:r>
      <w:r>
        <w:rPr>
          <w:b/>
          <w:i w:val="0"/>
          <w:color w:val="0B4F8F"/>
          <w:sz w:val="18"/>
        </w:rPr>
        <w:t xml:space="preserve"> [1]</w:t>
      </w:r>
      <w:r>
        <w:rPr>
          <w:b w:val="0"/>
          <w:i w:val="0"/>
        </w:rPr>
        <w:t>.</w:t>
      </w:r>
    </w:p>
    <w:p>
      <w:pPr>
        <w:spacing w:line="269" w:lineRule="auto"/>
      </w:pPr>
      <w:r>
        <w:rPr>
          <w:b w:val="0"/>
          <w:i w:val="0"/>
        </w:rPr>
        <w:t>As fontes internacionais fecham o argumento com número. Campanhas de mensagem para mais de 800 mil estudantes americanos não produziram efeito algum</w:t>
      </w:r>
      <w:r>
        <w:rPr>
          <w:b/>
          <w:i w:val="0"/>
          <w:color w:val="0B4F8F"/>
          <w:sz w:val="18"/>
        </w:rPr>
        <w:t xml:space="preserve"> [4]</w:t>
      </w:r>
      <w:r>
        <w:rPr>
          <w:b w:val="0"/>
          <w:i w:val="0"/>
        </w:rPr>
        <w:t>. A Georgia State, que fez o alerta desaguar em mais de 200 mil intervenções de orientador, eliminou a diferença de conclusão entre grupos</w:t>
      </w:r>
      <w:r>
        <w:rPr>
          <w:b/>
          <w:i w:val="0"/>
          <w:color w:val="0B4F8F"/>
          <w:sz w:val="18"/>
        </w:rPr>
        <w:t xml:space="preserve"> [12]</w:t>
      </w:r>
      <w:r>
        <w:rPr>
          <w:b w:val="0"/>
          <w:i w:val="0"/>
        </w:rPr>
        <w:t>. E a fórmula de Simpson coloca a identificação como parcela somada e o contato contínuo vezes apoio proativo como o termo que multiplica</w:t>
      </w:r>
      <w:r>
        <w:rPr>
          <w:b/>
          <w:i w:val="0"/>
          <w:color w:val="0B4F8F"/>
          <w:sz w:val="18"/>
        </w:rPr>
        <w:t xml:space="preserve"> [9]</w:t>
      </w:r>
      <w:r>
        <w:rPr>
          <w:b w:val="0"/>
          <w:i w:val="0"/>
        </w:rPr>
        <w:t>.</w:t>
      </w:r>
    </w:p>
    <w:p>
      <w:pPr>
        <w:spacing w:before="80" w:line="269" w:lineRule="auto"/>
      </w:pPr>
      <w:r>
        <w:rPr>
          <w:b/>
          <w:i w:val="0"/>
        </w:rPr>
        <w:t>Detecção não é o gargalo. O gargalo é o que acontece depois do alerta.</w:t>
      </w:r>
    </w:p>
    <w:p>
      <w:pPr>
        <w:spacing w:line="269" w:lineRule="auto"/>
      </w:pPr>
      <w:r>
        <w:rPr>
          <w:b w:val="0"/>
          <w:i w:val="0"/>
        </w:rPr>
        <w:t>Isso nos dá três deslocamentos concretos para defender no pitch, e cada um é uma resposta pronta a uma pergunta que a banca vai fazer.</w:t>
      </w:r>
    </w:p>
    <w:p>
      <w:pPr>
        <w:pStyle w:val="ListBullet"/>
        <w:spacing w:after="60" w:line="269" w:lineRule="auto"/>
      </w:pPr>
      <w:r>
        <w:rPr>
          <w:b/>
          <w:i w:val="0"/>
        </w:rPr>
        <w:t xml:space="preserve">De score para capacidade: </w:t>
      </w:r>
      <w:r>
        <w:rPr>
          <w:b w:val="0"/>
          <w:i w:val="0"/>
        </w:rPr>
        <w:t>um modelo que aponta duzentos mil alunos em risco é inútil se o time de retenção consegue tocar cinco mil por semana. A pergunta certa não é quem tem risco alto, é quem tem risco alto, é recuperável, e cabe na fila desta semana. Simpson diz explicitamente que desistir de casos caros é aceitável</w:t>
      </w:r>
      <w:r>
        <w:rPr>
          <w:b/>
          <w:i w:val="0"/>
          <w:color w:val="0B4F8F"/>
          <w:sz w:val="18"/>
        </w:rPr>
        <w:t xml:space="preserve"> [9]</w:t>
      </w:r>
    </w:p>
    <w:p>
      <w:pPr>
        <w:pStyle w:val="ListBullet"/>
        <w:spacing w:after="60" w:line="269" w:lineRule="auto"/>
      </w:pPr>
      <w:r>
        <w:rPr>
          <w:b/>
          <w:i w:val="0"/>
        </w:rPr>
        <w:t xml:space="preserve">De probabilidade para causa: </w:t>
      </w:r>
      <w:r>
        <w:rPr>
          <w:b w:val="0"/>
          <w:i w:val="0"/>
        </w:rPr>
        <w:t>quem some porque perdeu o emprego e quem some porque travou em uma disciplina podem ter o mesmo score e precisam de coisas opostas. O microcrédito da Georgia State é a prova de que casar causa com instrumento funciona</w:t>
      </w:r>
      <w:r>
        <w:rPr>
          <w:b/>
          <w:i w:val="0"/>
          <w:color w:val="0B4F8F"/>
          <w:sz w:val="18"/>
        </w:rPr>
        <w:t xml:space="preserve"> [12]</w:t>
      </w:r>
    </w:p>
    <w:p>
      <w:pPr>
        <w:pStyle w:val="ListBullet"/>
        <w:spacing w:after="60" w:line="269" w:lineRule="auto"/>
      </w:pPr>
      <w:r>
        <w:rPr>
          <w:b/>
          <w:i w:val="0"/>
        </w:rPr>
        <w:t xml:space="preserve">De promessa para prova: </w:t>
      </w:r>
      <w:r>
        <w:rPr>
          <w:b w:val="0"/>
          <w:i w:val="0"/>
        </w:rPr>
        <w:t>o valor não está em reter quem ficaria de qualquer jeito, está em reter quem só fica se agirmos. Existe literatura específica sobre isso aplicada a evasão no ensino superior, com dados de uma universidade chilena, sob o nome de uplift modeling</w:t>
      </w:r>
      <w:r>
        <w:rPr>
          <w:b/>
          <w:i w:val="0"/>
          <w:color w:val="0B4F8F"/>
          <w:sz w:val="18"/>
        </w:rPr>
        <w:t xml:space="preserve"> [8]</w:t>
      </w:r>
    </w:p>
    <w:p>
      <w:pPr>
        <w:pStyle w:val="Heading1"/>
      </w:pPr>
      <w:r>
        <w:t>10. O esqueleto que responde a qualquer enunciado</w:t>
      </w:r>
    </w:p>
    <w:p>
      <w:pPr>
        <w:spacing w:line="269" w:lineRule="auto"/>
      </w:pPr>
      <w:r>
        <w:rPr>
          <w:b w:val="0"/>
          <w:i w:val="0"/>
        </w:rPr>
        <w:t>Não sabemos qual recorte vai cair. Sabemos que qualquer resposta boa tem a mesma espinha. Decorem esta sequência, porque ela funciona tanto como estrutura do trabalho quanto como roteiro dos slides, e permite responder o jurado em qualquer ordem que ele perguntar.</w:t>
      </w:r>
    </w:p>
    <w:tbl>
      <w:tblPr>
        <w:tblStyle w:val="TableGrid"/>
        <w:tblW w:type="auto" w:w="0"/>
        <w:jc w:val="center"/>
        <w:tblLayout w:type="fixed"/>
        <w:tblLook w:firstColumn="1" w:firstRow="1" w:lastColumn="0" w:lastRow="0" w:noHBand="0" w:noVBand="1" w:val="04A0"/>
      </w:tblPr>
      <w:tblGrid>
        <w:gridCol w:w="1474"/>
        <w:gridCol w:w="2948"/>
        <w:gridCol w:w="4762"/>
      </w:tblGrid>
      <w:tr>
        <w:tc>
          <w:tcPr>
            <w:tcW w:type="dxa" w:w="1474"/>
            <w:shd w:val="clear" w:color="auto" w:fill="0B4F8F"/>
          </w:tcPr>
          <w:p>
            <w:pPr>
              <w:spacing w:before="60" w:after="60"/>
            </w:pPr>
            <w:r>
              <w:rPr>
                <w:b/>
                <w:color w:val="FFFFFF"/>
                <w:sz w:val="19"/>
              </w:rPr>
              <w:t>Bloco</w:t>
            </w:r>
          </w:p>
        </w:tc>
        <w:tc>
          <w:tcPr>
            <w:tcW w:type="dxa" w:w="2948"/>
            <w:shd w:val="clear" w:color="auto" w:fill="0B4F8F"/>
          </w:tcPr>
          <w:p>
            <w:pPr>
              <w:spacing w:before="60" w:after="60"/>
            </w:pPr>
            <w:r>
              <w:rPr>
                <w:b/>
                <w:color w:val="FFFFFF"/>
                <w:sz w:val="19"/>
              </w:rPr>
              <w:t>A pergunta que ele responde</w:t>
            </w:r>
          </w:p>
        </w:tc>
        <w:tc>
          <w:tcPr>
            <w:tcW w:type="dxa" w:w="4762"/>
            <w:shd w:val="clear" w:color="auto" w:fill="0B4F8F"/>
          </w:tcPr>
          <w:p>
            <w:pPr>
              <w:spacing w:before="60" w:after="60"/>
            </w:pPr>
            <w:r>
              <w:rPr>
                <w:b/>
                <w:color w:val="FFFFFF"/>
                <w:sz w:val="19"/>
              </w:rPr>
              <w:t>O que precisa estar na mão</w:t>
            </w:r>
          </w:p>
        </w:tc>
      </w:tr>
      <w:tr>
        <w:tc>
          <w:tcPr>
            <w:tcW w:type="dxa" w:w="1474"/>
          </w:tcPr>
          <w:p>
            <w:pPr>
              <w:spacing w:before="50" w:after="50" w:line="252" w:lineRule="auto"/>
            </w:pPr>
            <w:r>
              <w:rPr>
                <w:b/>
                <w:i w:val="0"/>
                <w:sz w:val="19"/>
              </w:rPr>
              <w:t>1. Sinal</w:t>
            </w:r>
          </w:p>
        </w:tc>
        <w:tc>
          <w:tcPr>
            <w:tcW w:type="dxa" w:w="2948"/>
          </w:tcPr>
          <w:p>
            <w:pPr>
              <w:spacing w:before="50" w:after="50" w:line="252" w:lineRule="auto"/>
            </w:pPr>
            <w:r>
              <w:rPr>
                <w:b w:val="0"/>
                <w:i w:val="0"/>
                <w:sz w:val="19"/>
              </w:rPr>
              <w:t>Qual dado detecta, e com quanta antecedência?</w:t>
            </w:r>
          </w:p>
        </w:tc>
        <w:tc>
          <w:tcPr>
            <w:tcW w:type="dxa" w:w="4762"/>
          </w:tcPr>
          <w:p>
            <w:pPr>
              <w:spacing w:before="50" w:after="50" w:line="252" w:lineRule="auto"/>
            </w:pPr>
            <w:r>
              <w:rPr>
                <w:b w:val="0"/>
                <w:i w:val="0"/>
                <w:sz w:val="19"/>
              </w:rPr>
              <w:t>As quatro famílias de sinal: acadêmico, engajamento na plataforma, financeiro e contexto de vida</w:t>
            </w:r>
          </w:p>
        </w:tc>
      </w:tr>
      <w:tr>
        <w:tc>
          <w:tcPr>
            <w:tcW w:type="dxa" w:w="1474"/>
            <w:shd w:val="clear" w:color="auto" w:fill="EEF3F8"/>
          </w:tcPr>
          <w:p>
            <w:pPr>
              <w:spacing w:before="50" w:after="50" w:line="252" w:lineRule="auto"/>
            </w:pPr>
            <w:r>
              <w:rPr>
                <w:b/>
                <w:i w:val="0"/>
                <w:sz w:val="19"/>
              </w:rPr>
              <w:t>2. Priorização</w:t>
            </w:r>
          </w:p>
        </w:tc>
        <w:tc>
          <w:tcPr>
            <w:tcW w:type="dxa" w:w="2948"/>
            <w:shd w:val="clear" w:color="auto" w:fill="EEF3F8"/>
          </w:tcPr>
          <w:p>
            <w:pPr>
              <w:spacing w:before="50" w:after="50" w:line="252" w:lineRule="auto"/>
            </w:pPr>
            <w:r>
              <w:rPr>
                <w:b w:val="0"/>
                <w:i w:val="0"/>
                <w:sz w:val="19"/>
              </w:rPr>
              <w:t>Quem tocar, dado que a capacidade é finita?</w:t>
            </w:r>
          </w:p>
        </w:tc>
        <w:tc>
          <w:tcPr>
            <w:tcW w:type="dxa" w:w="4762"/>
            <w:shd w:val="clear" w:color="auto" w:fill="EEF3F8"/>
          </w:tcPr>
          <w:p>
            <w:pPr>
              <w:spacing w:before="50" w:after="50" w:line="252" w:lineRule="auto"/>
            </w:pPr>
            <w:r>
              <w:rPr>
                <w:b w:val="0"/>
                <w:i w:val="0"/>
                <w:sz w:val="19"/>
              </w:rPr>
              <w:t>Um critério explícito de fila, combinando risco, recuperabilidade e custo de atendimento</w:t>
            </w:r>
          </w:p>
        </w:tc>
      </w:tr>
      <w:tr>
        <w:tc>
          <w:tcPr>
            <w:tcW w:type="dxa" w:w="1474"/>
          </w:tcPr>
          <w:p>
            <w:pPr>
              <w:spacing w:before="50" w:after="50" w:line="252" w:lineRule="auto"/>
            </w:pPr>
            <w:r>
              <w:rPr>
                <w:b/>
                <w:i w:val="0"/>
                <w:sz w:val="19"/>
              </w:rPr>
              <w:t>3. Intervenção</w:t>
            </w:r>
          </w:p>
        </w:tc>
        <w:tc>
          <w:tcPr>
            <w:tcW w:type="dxa" w:w="2948"/>
          </w:tcPr>
          <w:p>
            <w:pPr>
              <w:spacing w:before="50" w:after="50" w:line="252" w:lineRule="auto"/>
            </w:pPr>
            <w:r>
              <w:rPr>
                <w:b w:val="0"/>
                <w:i w:val="0"/>
                <w:sz w:val="19"/>
              </w:rPr>
              <w:t>O que fazer, e por que isso e não outra coisa?</w:t>
            </w:r>
          </w:p>
        </w:tc>
        <w:tc>
          <w:tcPr>
            <w:tcW w:type="dxa" w:w="4762"/>
          </w:tcPr>
          <w:p>
            <w:pPr>
              <w:spacing w:before="50" w:after="50" w:line="252" w:lineRule="auto"/>
            </w:pPr>
            <w:r>
              <w:rPr>
                <w:b w:val="0"/>
                <w:i w:val="0"/>
                <w:sz w:val="19"/>
              </w:rPr>
              <w:t>Ações diferentes por causa, não uma ação única para todo mundo</w:t>
            </w:r>
          </w:p>
        </w:tc>
      </w:tr>
      <w:tr>
        <w:tc>
          <w:tcPr>
            <w:tcW w:type="dxa" w:w="1474"/>
            <w:shd w:val="clear" w:color="auto" w:fill="EEF3F8"/>
          </w:tcPr>
          <w:p>
            <w:pPr>
              <w:spacing w:before="50" w:after="50" w:line="252" w:lineRule="auto"/>
            </w:pPr>
            <w:r>
              <w:rPr>
                <w:b/>
                <w:i w:val="0"/>
                <w:sz w:val="19"/>
              </w:rPr>
              <w:t>4. Prova</w:t>
            </w:r>
          </w:p>
        </w:tc>
        <w:tc>
          <w:tcPr>
            <w:tcW w:type="dxa" w:w="2948"/>
            <w:shd w:val="clear" w:color="auto" w:fill="EEF3F8"/>
          </w:tcPr>
          <w:p>
            <w:pPr>
              <w:spacing w:before="50" w:after="50" w:line="252" w:lineRule="auto"/>
            </w:pPr>
            <w:r>
              <w:rPr>
                <w:b w:val="0"/>
                <w:i w:val="0"/>
                <w:sz w:val="19"/>
              </w:rPr>
              <w:t>Como sabemos que fomos nós que causamos?</w:t>
            </w:r>
          </w:p>
        </w:tc>
        <w:tc>
          <w:tcPr>
            <w:tcW w:type="dxa" w:w="4762"/>
            <w:shd w:val="clear" w:color="auto" w:fill="EEF3F8"/>
          </w:tcPr>
          <w:p>
            <w:pPr>
              <w:spacing w:before="50" w:after="50" w:line="252" w:lineRule="auto"/>
            </w:pPr>
            <w:r>
              <w:rPr>
                <w:b w:val="0"/>
                <w:i w:val="0"/>
                <w:sz w:val="19"/>
              </w:rPr>
              <w:t>Grupo de controle, janela de medição e métrica primária definida antes</w:t>
            </w:r>
          </w:p>
        </w:tc>
      </w:tr>
      <w:tr>
        <w:tc>
          <w:tcPr>
            <w:tcW w:type="dxa" w:w="1474"/>
          </w:tcPr>
          <w:p>
            <w:pPr>
              <w:spacing w:before="50" w:after="50" w:line="252" w:lineRule="auto"/>
            </w:pPr>
            <w:r>
              <w:rPr>
                <w:b/>
                <w:i w:val="0"/>
                <w:sz w:val="19"/>
              </w:rPr>
              <w:t>5. Reais</w:t>
            </w:r>
          </w:p>
        </w:tc>
        <w:tc>
          <w:tcPr>
            <w:tcW w:type="dxa" w:w="2948"/>
          </w:tcPr>
          <w:p>
            <w:pPr>
              <w:spacing w:before="50" w:after="50" w:line="252" w:lineRule="auto"/>
            </w:pPr>
            <w:r>
              <w:rPr>
                <w:b w:val="0"/>
                <w:i w:val="0"/>
                <w:sz w:val="19"/>
              </w:rPr>
              <w:t>Quanto isso vale para a companhia?</w:t>
            </w:r>
          </w:p>
        </w:tc>
        <w:tc>
          <w:tcPr>
            <w:tcW w:type="dxa" w:w="4762"/>
          </w:tcPr>
          <w:p>
            <w:pPr>
              <w:spacing w:before="50" w:after="50" w:line="252" w:lineRule="auto"/>
            </w:pPr>
            <w:r>
              <w:rPr>
                <w:b w:val="0"/>
                <w:i w:val="0"/>
                <w:sz w:val="19"/>
              </w:rPr>
              <w:t>O cálculo da seção 5, com as premissas ditas em voz alta</w:t>
            </w:r>
          </w:p>
        </w:tc>
      </w:tr>
    </w:tbl>
    <w:p>
      <w:pPr>
        <w:spacing w:after="80"/>
      </w:pPr>
    </w:p>
    <w:p>
      <w:pPr>
        <w:spacing w:line="269" w:lineRule="auto"/>
      </w:pPr>
      <w:r>
        <w:rPr>
          <w:b w:val="0"/>
          <w:i w:val="0"/>
        </w:rPr>
        <w:t>Cinco blocos, cinco slides, um dono por bloco. Se conseguirmos sustentar os cinco, estamos à frente da maioria dos sete times concorrentes, que provavelmente vão parar no bloco 1.</w:t>
      </w:r>
    </w:p>
    <w:p>
      <w:pPr>
        <w:pStyle w:val="Heading1"/>
      </w:pPr>
      <w:r>
        <w:t>11. Se vier base de dados</w:t>
      </w:r>
    </w:p>
    <w:p>
      <w:pPr>
        <w:spacing w:line="269" w:lineRule="auto"/>
      </w:pPr>
      <w:r>
        <w:rPr>
          <w:b w:val="0"/>
          <w:i w:val="0"/>
        </w:rPr>
        <w:t>Não sabemos se vão entregar dados no dia. Se vierem, estas são as decisões que costumam separar um trabalho sólido de um trabalho que não sobrevive à primeira pergunta técnica.</w:t>
      </w:r>
    </w:p>
    <w:p>
      <w:pPr>
        <w:pStyle w:val="ListBullet"/>
        <w:spacing w:after="60" w:line="269" w:lineRule="auto"/>
      </w:pPr>
      <w:r>
        <w:rPr>
          <w:b/>
          <w:i w:val="0"/>
        </w:rPr>
        <w:t xml:space="preserve">Métrica: </w:t>
      </w:r>
      <w:r>
        <w:rPr>
          <w:b w:val="0"/>
          <w:i w:val="0"/>
        </w:rPr>
        <w:t>acurácia não serve. Se 20% da base evade, o modelo que chuta que ninguém evade acerta 80% e não vale nada. Use precision e recall no topo da lista, na faixa que a operação conseguiria atender de verdade, e compare com a linha de base.</w:t>
      </w:r>
    </w:p>
    <w:p>
      <w:pPr>
        <w:pStyle w:val="ListBullet"/>
        <w:spacing w:after="60" w:line="269" w:lineRule="auto"/>
      </w:pPr>
      <w:r>
        <w:rPr>
          <w:b/>
          <w:i w:val="0"/>
        </w:rPr>
        <w:t xml:space="preserve">Separação treino e teste: </w:t>
      </w:r>
      <w:r>
        <w:rPr>
          <w:b w:val="0"/>
          <w:i w:val="0"/>
        </w:rPr>
        <w:t>nunca dividir aleatoriamente. Treine em coortes passadas e teste na seguinte, porque divisão aleatória vaza informação do futuro e infla o resultado.</w:t>
      </w:r>
    </w:p>
    <w:p>
      <w:pPr>
        <w:pStyle w:val="ListBullet"/>
        <w:spacing w:after="60" w:line="269" w:lineRule="auto"/>
      </w:pPr>
      <w:r>
        <w:rPr>
          <w:b/>
          <w:i w:val="0"/>
        </w:rPr>
        <w:t xml:space="preserve">Vazamento: </w:t>
      </w:r>
      <w:r>
        <w:rPr>
          <w:b w:val="0"/>
          <w:i w:val="0"/>
        </w:rPr>
        <w:t>qualquer variável que só existe depois que o aluno já saiu (situação de matrícula, data de cancelamento, motivo registrado) destrói o modelo em produção. Vale revisar coluna por coluna antes de treinar.</w:t>
      </w:r>
    </w:p>
    <w:p>
      <w:pPr>
        <w:pStyle w:val="ListBullet"/>
        <w:spacing w:after="60" w:line="269" w:lineRule="auto"/>
      </w:pPr>
      <w:r>
        <w:rPr>
          <w:b/>
          <w:i w:val="0"/>
        </w:rPr>
        <w:t xml:space="preserve">Escolha do modelo: </w:t>
      </w:r>
      <w:r>
        <w:rPr>
          <w:b w:val="0"/>
          <w:i w:val="0"/>
        </w:rPr>
        <w:t>modelo simples e explicável ganha de modelo complexo em hackathon, porque você precisa defender cada variável na banca. Regressão logística ou árvore resolvem.</w:t>
      </w:r>
    </w:p>
    <w:p>
      <w:pPr>
        <w:pStyle w:val="ListBullet"/>
        <w:spacing w:after="60" w:line="269" w:lineRule="auto"/>
      </w:pPr>
      <w:r>
        <w:rPr>
          <w:b/>
          <w:i w:val="0"/>
        </w:rPr>
        <w:t xml:space="preserve">Ceticismo com a variável óbvia: </w:t>
      </w:r>
      <w:r>
        <w:rPr>
          <w:b w:val="0"/>
          <w:i w:val="0"/>
        </w:rPr>
        <w:t>lembre do caso SENAI, em que situação ocupacional praticamente não separou os grupos</w:t>
      </w:r>
      <w:r>
        <w:rPr>
          <w:b/>
          <w:i w:val="0"/>
          <w:color w:val="0B4F8F"/>
          <w:sz w:val="18"/>
        </w:rPr>
        <w:t xml:space="preserve"> [3]</w:t>
      </w:r>
      <w:r>
        <w:rPr>
          <w:b w:val="0"/>
          <w:i w:val="0"/>
        </w:rPr>
        <w:t>. Antes de afirmar que uma variável é preditora, olhe a taxa por grupo.</w:t>
      </w:r>
    </w:p>
    <w:p>
      <w:pPr>
        <w:pStyle w:val="ListBullet"/>
        <w:spacing w:after="60" w:line="269" w:lineRule="auto"/>
      </w:pPr>
      <w:r>
        <w:rPr>
          <w:b/>
          <w:i w:val="0"/>
        </w:rPr>
        <w:t xml:space="preserve">Recorte por coorte: </w:t>
      </w:r>
      <w:r>
        <w:rPr>
          <w:b w:val="0"/>
          <w:i w:val="0"/>
        </w:rPr>
        <w:t>o padrão temporal chinês sugere olhar matrícula, primeiro e segundo semestre separadamente</w:t>
      </w:r>
      <w:r>
        <w:rPr>
          <w:b/>
          <w:i w:val="0"/>
          <w:color w:val="0B4F8F"/>
          <w:sz w:val="18"/>
        </w:rPr>
        <w:t xml:space="preserve"> [9]</w:t>
      </w:r>
      <w:r>
        <w:rPr>
          <w:b w:val="0"/>
          <w:i w:val="0"/>
        </w:rPr>
        <w:t>, em vez de tratar a base inteira como um bloco.</w:t>
      </w:r>
    </w:p>
    <w:p>
      <w:pPr>
        <w:pStyle w:val="ListBullet"/>
        <w:spacing w:after="60" w:line="269" w:lineRule="auto"/>
      </w:pPr>
      <w:r>
        <w:rPr>
          <w:b/>
          <w:i w:val="0"/>
        </w:rPr>
        <w:t xml:space="preserve">Variáveis de evento: </w:t>
      </w:r>
      <w:r>
        <w:rPr>
          <w:b w:val="0"/>
          <w:i w:val="0"/>
        </w:rPr>
        <w:t>marque a distância até o próximo evento do curso, prova, entrega, fechamento de módulo, vencimento e rematrícula. É o efeito precipício</w:t>
      </w:r>
      <w:r>
        <w:rPr>
          <w:b/>
          <w:i w:val="0"/>
          <w:color w:val="0B4F8F"/>
          <w:sz w:val="18"/>
        </w:rPr>
        <w:t xml:space="preserve"> [6]</w:t>
      </w:r>
      <w:r>
        <w:rPr>
          <w:b w:val="0"/>
          <w:i w:val="0"/>
        </w:rPr>
        <w:t>, e transforma o modelo de estático em orientado a evento.</w:t>
      </w:r>
    </w:p>
    <w:p>
      <w:pPr>
        <w:pStyle w:val="ListBullet"/>
        <w:spacing w:after="60" w:line="269" w:lineRule="auto"/>
      </w:pPr>
      <w:r>
        <w:rPr>
          <w:b/>
          <w:i w:val="0"/>
        </w:rPr>
        <w:t xml:space="preserve">Rede de pares: </w:t>
      </w:r>
      <w:r>
        <w:rPr>
          <w:b w:val="0"/>
          <w:i w:val="0"/>
        </w:rPr>
        <w:t>se houver identificador de turma, polo ou grupo, teste a taxa de evasão dos pares como variável. É o achado da XuetangX</w:t>
      </w:r>
      <w:r>
        <w:rPr>
          <w:b/>
          <w:i w:val="0"/>
          <w:color w:val="0B4F8F"/>
          <w:sz w:val="18"/>
        </w:rPr>
        <w:t xml:space="preserve"> [5]</w:t>
      </w:r>
      <w:r>
        <w:rPr>
          <w:b w:val="0"/>
          <w:i w:val="0"/>
        </w:rPr>
        <w:t>, e o espelho dele é a ausência de interação apontada na Índia</w:t>
      </w:r>
      <w:r>
        <w:rPr>
          <w:b/>
          <w:i w:val="0"/>
          <w:color w:val="0B4F8F"/>
          <w:sz w:val="18"/>
        </w:rPr>
        <w:t xml:space="preserve"> [31]</w:t>
      </w:r>
      <w:r>
        <w:rPr>
          <w:b w:val="0"/>
          <w:i w:val="0"/>
        </w:rPr>
        <w:t>.</w:t>
      </w:r>
    </w:p>
    <w:p>
      <w:pPr>
        <w:pStyle w:val="ListBullet"/>
        <w:spacing w:after="60" w:line="269" w:lineRule="auto"/>
      </w:pPr>
      <w:r>
        <w:rPr>
          <w:b/>
          <w:i w:val="0"/>
        </w:rPr>
        <w:t xml:space="preserve">Distância até o polo: </w:t>
      </w:r>
      <w:r>
        <w:rPr>
          <w:b w:val="0"/>
          <w:i w:val="0"/>
        </w:rPr>
        <w:t>se houver CEP do aluno e endereço do polo, calcule a distância. É o primeiro motivo de evasão na maior universidade aberta do mundo</w:t>
      </w:r>
      <w:r>
        <w:rPr>
          <w:b/>
          <w:i w:val="0"/>
          <w:color w:val="0B4F8F"/>
          <w:sz w:val="18"/>
        </w:rPr>
        <w:t xml:space="preserve"> [31]</w:t>
      </w:r>
      <w:r>
        <w:rPr>
          <w:b w:val="0"/>
          <w:i w:val="0"/>
        </w:rPr>
        <w:t>, e provavelmente ninguém mais vai construir essa variável.</w:t>
      </w:r>
    </w:p>
    <w:p>
      <w:pPr>
        <w:spacing w:line="269" w:lineRule="auto"/>
      </w:pPr>
      <w:r>
        <w:rPr>
          <w:b w:val="0"/>
          <w:i w:val="0"/>
        </w:rPr>
        <w:t>Se quiserem ensaiar em dado real antes do evento, existe o OULAD, base aberta da Open University britânica com 22 cursos, 32.593 alunos e mais de 10 milhões de registros diários de clique no ambiente virtual</w:t>
      </w:r>
      <w:r>
        <w:rPr>
          <w:b/>
          <w:i w:val="0"/>
          <w:color w:val="0B4F8F"/>
          <w:sz w:val="18"/>
        </w:rPr>
        <w:t xml:space="preserve"> [7]</w:t>
      </w:r>
      <w:r>
        <w:rPr>
          <w:b w:val="0"/>
          <w:i w:val="0"/>
        </w:rPr>
        <w:t>.</w:t>
      </w:r>
    </w:p>
    <w:p>
      <w:pPr>
        <w:pStyle w:val="Heading1"/>
      </w:pPr>
      <w:r>
        <w:t>12. Divisão do time e roteiro dos dois dias</w:t>
      </w:r>
    </w:p>
    <w:p>
      <w:pPr>
        <w:spacing w:line="269" w:lineRule="auto"/>
      </w:pPr>
      <w:r>
        <w:rPr>
          <w:b w:val="0"/>
          <w:i w:val="0"/>
        </w:rPr>
        <w:t>Somos três. Com dois dias e uma banca no fim, a divisão que funciona separa dado, produto e narrativa, e trata a narrativa como trabalho de tempo integral, não como algo que se faz na última hora.</w:t>
      </w:r>
    </w:p>
    <w:tbl>
      <w:tblPr>
        <w:tblStyle w:val="TableGrid"/>
        <w:tblW w:type="auto" w:w="0"/>
        <w:jc w:val="center"/>
        <w:tblLayout w:type="fixed"/>
        <w:tblLook w:firstColumn="1" w:firstRow="1" w:lastColumn="0" w:lastRow="0" w:noHBand="0" w:noVBand="1" w:val="04A0"/>
      </w:tblPr>
      <w:tblGrid>
        <w:gridCol w:w="1587"/>
        <w:gridCol w:w="3742"/>
        <w:gridCol w:w="3855"/>
      </w:tblGrid>
      <w:tr>
        <w:tc>
          <w:tcPr>
            <w:tcW w:type="dxa" w:w="1587"/>
            <w:shd w:val="clear" w:color="auto" w:fill="0B4F8F"/>
          </w:tcPr>
          <w:p>
            <w:pPr>
              <w:spacing w:before="60" w:after="60"/>
            </w:pPr>
            <w:r>
              <w:rPr>
                <w:b/>
                <w:color w:val="FFFFFF"/>
                <w:sz w:val="19"/>
              </w:rPr>
              <w:t>Papel</w:t>
            </w:r>
          </w:p>
        </w:tc>
        <w:tc>
          <w:tcPr>
            <w:tcW w:type="dxa" w:w="3742"/>
            <w:shd w:val="clear" w:color="auto" w:fill="0B4F8F"/>
          </w:tcPr>
          <w:p>
            <w:pPr>
              <w:spacing w:before="60" w:after="60"/>
            </w:pPr>
            <w:r>
              <w:rPr>
                <w:b/>
                <w:color w:val="FFFFFF"/>
                <w:sz w:val="19"/>
              </w:rPr>
              <w:t>Responsabilidade</w:t>
            </w:r>
          </w:p>
        </w:tc>
        <w:tc>
          <w:tcPr>
            <w:tcW w:type="dxa" w:w="3855"/>
            <w:shd w:val="clear" w:color="auto" w:fill="0B4F8F"/>
          </w:tcPr>
          <w:p>
            <w:pPr>
              <w:spacing w:before="60" w:after="60"/>
            </w:pPr>
            <w:r>
              <w:rPr>
                <w:b/>
                <w:color w:val="FFFFFF"/>
                <w:sz w:val="19"/>
              </w:rPr>
              <w:t>Entrega</w:t>
            </w:r>
          </w:p>
        </w:tc>
      </w:tr>
      <w:tr>
        <w:tc>
          <w:tcPr>
            <w:tcW w:type="dxa" w:w="1587"/>
          </w:tcPr>
          <w:p>
            <w:pPr>
              <w:spacing w:before="50" w:after="50" w:line="252" w:lineRule="auto"/>
            </w:pPr>
            <w:r>
              <w:rPr>
                <w:b/>
                <w:i w:val="0"/>
                <w:sz w:val="19"/>
              </w:rPr>
              <w:t>Dados</w:t>
            </w:r>
          </w:p>
        </w:tc>
        <w:tc>
          <w:tcPr>
            <w:tcW w:type="dxa" w:w="3742"/>
          </w:tcPr>
          <w:p>
            <w:pPr>
              <w:spacing w:before="50" w:after="50" w:line="252" w:lineRule="auto"/>
            </w:pPr>
            <w:r>
              <w:rPr>
                <w:b w:val="0"/>
                <w:i w:val="0"/>
                <w:sz w:val="19"/>
              </w:rPr>
              <w:t>Sinal, priorização e, se houver base, o modelo</w:t>
            </w:r>
          </w:p>
        </w:tc>
        <w:tc>
          <w:tcPr>
            <w:tcW w:type="dxa" w:w="3855"/>
          </w:tcPr>
          <w:p>
            <w:pPr>
              <w:spacing w:before="50" w:after="50" w:line="252" w:lineRule="auto"/>
            </w:pPr>
            <w:r>
              <w:rPr>
                <w:b w:val="0"/>
                <w:i w:val="0"/>
                <w:sz w:val="19"/>
              </w:rPr>
              <w:t>A lista priorizada e a justificativa de cada variável</w:t>
            </w:r>
          </w:p>
        </w:tc>
      </w:tr>
      <w:tr>
        <w:tc>
          <w:tcPr>
            <w:tcW w:type="dxa" w:w="1587"/>
            <w:shd w:val="clear" w:color="auto" w:fill="EEF3F8"/>
          </w:tcPr>
          <w:p>
            <w:pPr>
              <w:spacing w:before="50" w:after="50" w:line="252" w:lineRule="auto"/>
            </w:pPr>
            <w:r>
              <w:rPr>
                <w:b/>
                <w:i w:val="0"/>
                <w:sz w:val="19"/>
              </w:rPr>
              <w:t>Produto</w:t>
            </w:r>
          </w:p>
        </w:tc>
        <w:tc>
          <w:tcPr>
            <w:tcW w:type="dxa" w:w="3742"/>
            <w:shd w:val="clear" w:color="auto" w:fill="EEF3F8"/>
          </w:tcPr>
          <w:p>
            <w:pPr>
              <w:spacing w:before="50" w:after="50" w:line="252" w:lineRule="auto"/>
            </w:pPr>
            <w:r>
              <w:rPr>
                <w:b w:val="0"/>
                <w:i w:val="0"/>
                <w:sz w:val="19"/>
              </w:rPr>
              <w:t>Protótipo no Lovable, fluxo da intervenção</w:t>
            </w:r>
          </w:p>
        </w:tc>
        <w:tc>
          <w:tcPr>
            <w:tcW w:type="dxa" w:w="3855"/>
            <w:shd w:val="clear" w:color="auto" w:fill="EEF3F8"/>
          </w:tcPr>
          <w:p>
            <w:pPr>
              <w:spacing w:before="50" w:after="50" w:line="252" w:lineRule="auto"/>
            </w:pPr>
            <w:r>
              <w:rPr>
                <w:b w:val="0"/>
                <w:i w:val="0"/>
                <w:sz w:val="19"/>
              </w:rPr>
              <w:t>Tela clicável mostrando o alerta virando ação</w:t>
            </w:r>
          </w:p>
        </w:tc>
      </w:tr>
      <w:tr>
        <w:tc>
          <w:tcPr>
            <w:tcW w:type="dxa" w:w="1587"/>
          </w:tcPr>
          <w:p>
            <w:pPr>
              <w:spacing w:before="50" w:after="50" w:line="252" w:lineRule="auto"/>
            </w:pPr>
            <w:r>
              <w:rPr>
                <w:b/>
                <w:i w:val="0"/>
                <w:sz w:val="19"/>
              </w:rPr>
              <w:t>Negócio</w:t>
            </w:r>
          </w:p>
        </w:tc>
        <w:tc>
          <w:tcPr>
            <w:tcW w:type="dxa" w:w="3742"/>
          </w:tcPr>
          <w:p>
            <w:pPr>
              <w:spacing w:before="50" w:after="50" w:line="252" w:lineRule="auto"/>
            </w:pPr>
            <w:r>
              <w:rPr>
                <w:b w:val="0"/>
                <w:i w:val="0"/>
                <w:sz w:val="19"/>
              </w:rPr>
              <w:t>Cálculo em reais, desenho do teste, pitch e relógio</w:t>
            </w:r>
          </w:p>
        </w:tc>
        <w:tc>
          <w:tcPr>
            <w:tcW w:type="dxa" w:w="3855"/>
          </w:tcPr>
          <w:p>
            <w:pPr>
              <w:spacing w:before="50" w:after="50" w:line="252" w:lineRule="auto"/>
            </w:pPr>
            <w:r>
              <w:rPr>
                <w:b w:val="0"/>
                <w:i w:val="0"/>
                <w:sz w:val="19"/>
              </w:rPr>
              <w:t>Deck de cinco blocos e quem corta escopo quando aperta</w:t>
            </w:r>
          </w:p>
        </w:tc>
      </w:tr>
    </w:tbl>
    <w:p>
      <w:pPr>
        <w:spacing w:after="80"/>
      </w:pPr>
    </w:p>
    <w:p>
      <w:pPr>
        <w:spacing w:line="269" w:lineRule="auto"/>
      </w:pPr>
      <w:r>
        <w:rPr>
          <w:b w:val="0"/>
          <w:i w:val="0"/>
        </w:rPr>
        <w:t>Sobre o roteiro: no primeiro dia o objetivo é fechar o recorte e ter uma versão feia de ponta a ponta, mesmo que tosca. Time que passa o dia um refinando o modelo chega no dia dois sem tela e sem história. No segundo dia, congele o escopo cedo, reserve as últimas duas horas só para ensaiar a apresentação, e ensaie em voz alta pelo menos três vezes, cronometrando.</w:t>
      </w:r>
    </w:p>
    <w:p>
      <w:pPr>
        <w:pStyle w:val="Heading1"/>
      </w:pPr>
      <w:r>
        <w:t>13. Armadilhas</w:t>
      </w:r>
    </w:p>
    <w:p>
      <w:pPr>
        <w:pStyle w:val="ListBullet"/>
        <w:spacing w:after="60" w:line="269" w:lineRule="auto"/>
      </w:pPr>
      <w:r>
        <w:rPr>
          <w:b/>
          <w:i w:val="0"/>
        </w:rPr>
        <w:t xml:space="preserve">Achar que o modelo é a solução. </w:t>
      </w:r>
      <w:r>
        <w:rPr>
          <w:b w:val="0"/>
          <w:i w:val="0"/>
        </w:rPr>
        <w:t>A Vitru já tem inteligência de dados e agentes de IA em produção</w:t>
      </w:r>
      <w:r>
        <w:rPr>
          <w:b/>
          <w:i w:val="0"/>
          <w:color w:val="0B4F8F"/>
          <w:sz w:val="18"/>
        </w:rPr>
        <w:t xml:space="preserve"> [22]</w:t>
      </w:r>
      <w:r>
        <w:rPr>
          <w:b w:val="0"/>
          <w:i w:val="0"/>
        </w:rPr>
        <w:t>. Predição pura é ponto de partida, não é entrega.</w:t>
      </w:r>
    </w:p>
    <w:p>
      <w:pPr>
        <w:pStyle w:val="ListBullet"/>
        <w:spacing w:after="60" w:line="269" w:lineRule="auto"/>
      </w:pPr>
      <w:r>
        <w:rPr>
          <w:b/>
          <w:i w:val="0"/>
        </w:rPr>
        <w:t xml:space="preserve">Ignorar a capacidade de atendimento. </w:t>
      </w:r>
      <w:r>
        <w:rPr>
          <w:b w:val="0"/>
          <w:i w:val="0"/>
        </w:rPr>
        <w:t>Lista gigante sem critério de fila é a forma mais comum de parecer sofisticado e ser inútil.</w:t>
      </w:r>
    </w:p>
    <w:p>
      <w:pPr>
        <w:pStyle w:val="ListBullet"/>
        <w:spacing w:after="60" w:line="269" w:lineRule="auto"/>
      </w:pPr>
      <w:r>
        <w:rPr>
          <w:b/>
          <w:i w:val="0"/>
        </w:rPr>
        <w:t xml:space="preserve">Errar o perfil. </w:t>
      </w:r>
      <w:r>
        <w:rPr>
          <w:b w:val="0"/>
          <w:i w:val="0"/>
        </w:rPr>
        <w:t>Desenhar para o jovem de 19 anos no campus quando o público real é uma mulher de 30 anos, das classes C, D ou E, que trabalha o dia inteiro e estuda pelo celular à noite</w:t>
      </w:r>
      <w:r>
        <w:rPr>
          <w:b/>
          <w:i w:val="0"/>
          <w:color w:val="0B4F8F"/>
          <w:sz w:val="18"/>
        </w:rPr>
        <w:t xml:space="preserve"> [28]</w:t>
      </w:r>
      <w:r>
        <w:rPr>
          <w:b w:val="0"/>
          <w:i w:val="0"/>
        </w:rPr>
        <w:t>.</w:t>
      </w:r>
    </w:p>
    <w:p>
      <w:pPr>
        <w:pStyle w:val="ListBullet"/>
        <w:spacing w:after="60" w:line="269" w:lineRule="auto"/>
      </w:pPr>
      <w:r>
        <w:rPr>
          <w:b/>
          <w:i w:val="0"/>
        </w:rPr>
        <w:t xml:space="preserve">Extrapolar as fontes. </w:t>
      </w:r>
      <w:r>
        <w:rPr>
          <w:b w:val="0"/>
          <w:i w:val="0"/>
        </w:rPr>
        <w:t>Citar os artigos brasileiros como se fossem sobre graduação EAD privada. Dois são de educação básica e um é de curso técnico presencial. Diga o escopo ao citar, isso conta a favor.</w:t>
      </w:r>
    </w:p>
    <w:p>
      <w:pPr>
        <w:pStyle w:val="ListBullet"/>
        <w:spacing w:after="60" w:line="269" w:lineRule="auto"/>
      </w:pPr>
      <w:r>
        <w:rPr>
          <w:b/>
          <w:i w:val="0"/>
        </w:rPr>
        <w:t xml:space="preserve">Usar taxa de MOOC como referência. </w:t>
      </w:r>
      <w:r>
        <w:rPr>
          <w:b w:val="0"/>
          <w:i w:val="0"/>
        </w:rPr>
        <w:t>MOOC é matrícula gratuita sem compromisso, com conclusão de 4,5%</w:t>
      </w:r>
      <w:r>
        <w:rPr>
          <w:b/>
          <w:i w:val="0"/>
          <w:color w:val="0B4F8F"/>
          <w:sz w:val="18"/>
        </w:rPr>
        <w:t xml:space="preserve"> [5]</w:t>
      </w:r>
      <w:r>
        <w:rPr>
          <w:b w:val="0"/>
          <w:i w:val="0"/>
        </w:rPr>
        <w:t>. Aluno da Vitru paga mensalidade num curso de anos. A régua certa é a da universidade aberta, na casa dos 10 a 15%</w:t>
      </w:r>
      <w:r>
        <w:rPr>
          <w:b/>
          <w:i w:val="0"/>
          <w:color w:val="0B4F8F"/>
          <w:sz w:val="18"/>
        </w:rPr>
        <w:t xml:space="preserve"> [9]</w:t>
      </w:r>
      <w:r>
        <w:rPr>
          <w:b w:val="0"/>
          <w:i w:val="0"/>
        </w:rPr>
        <w:t>, ou a brasileira de 24,8%</w:t>
      </w:r>
      <w:r>
        <w:rPr>
          <w:b/>
          <w:i w:val="0"/>
          <w:color w:val="0B4F8F"/>
          <w:sz w:val="18"/>
        </w:rPr>
        <w:t xml:space="preserve"> [29]</w:t>
      </w:r>
      <w:r>
        <w:rPr>
          <w:b w:val="0"/>
          <w:i w:val="0"/>
        </w:rPr>
        <w:t>.</w:t>
      </w:r>
    </w:p>
    <w:p>
      <w:pPr>
        <w:pStyle w:val="ListBullet"/>
        <w:spacing w:after="60" w:line="269" w:lineRule="auto"/>
      </w:pPr>
      <w:r>
        <w:rPr>
          <w:b/>
          <w:i w:val="0"/>
        </w:rPr>
        <w:t xml:space="preserve">Prometer número. </w:t>
      </w:r>
      <w:r>
        <w:rPr>
          <w:b w:val="0"/>
          <w:i w:val="0"/>
        </w:rPr>
        <w:t>Dizer que a solução reduz a evasão em X% sem teste. Diga quanto vale um ponto e proponha como medir.</w:t>
      </w:r>
    </w:p>
    <w:p>
      <w:pPr>
        <w:pStyle w:val="ListBullet"/>
        <w:spacing w:after="60" w:line="269" w:lineRule="auto"/>
      </w:pPr>
      <w:r>
        <w:rPr>
          <w:b/>
          <w:i w:val="0"/>
        </w:rPr>
        <w:t xml:space="preserve">Citar número sem saber a fonte. </w:t>
      </w:r>
      <w:r>
        <w:rPr>
          <w:b w:val="0"/>
          <w:i w:val="0"/>
        </w:rPr>
        <w:t>Se alguém da banca perguntar de onde vem um número e o time hesitar, todo o resto do trabalho perde peso. Por isso este documento passou a marcar cada afirmação.</w:t>
      </w:r>
    </w:p>
    <w:p>
      <w:pPr>
        <w:pStyle w:val="ListBullet"/>
        <w:spacing w:after="60" w:line="269" w:lineRule="auto"/>
      </w:pPr>
      <w:r>
        <w:rPr>
          <w:b/>
          <w:i w:val="0"/>
        </w:rPr>
        <w:t xml:space="preserve">Esquecer privacidade. </w:t>
      </w:r>
      <w:r>
        <w:rPr>
          <w:b w:val="0"/>
          <w:i w:val="0"/>
        </w:rPr>
        <w:t>Qualquer coisa que soe como vigilância do aluno ou que exponha dado sensível vai levantar objeção. Tratar isso de forma explícita em uma frase do pitch converte um risco em ponto positivo.</w:t>
      </w:r>
    </w:p>
    <w:p>
      <w:pPr>
        <w:pStyle w:val="Heading1"/>
      </w:pPr>
      <w:r>
        <w:t>Fontes</w:t>
      </w:r>
    </w:p>
    <w:tbl>
      <w:tblPr>
        <w:tblStyle w:val="TableGrid"/>
        <w:tblW w:type="auto" w:w="0"/>
        <w:tblLayout w:type="fixed"/>
        <w:tblLook w:firstColumn="1" w:firstRow="1" w:lastColumn="0" w:lastRow="0" w:noHBand="0" w:noVBand="1" w:val="04A0"/>
      </w:tblPr>
      <w:tblGrid>
        <w:gridCol w:w="9184"/>
      </w:tblGrid>
      <w:tr>
        <w:tc>
          <w:tcPr>
            <w:tcW w:type="dxa" w:w="9184"/>
            <w:shd w:val="clear" w:color="auto" w:fill="FDF2E9"/>
          </w:tcPr>
          <w:p>
            <w:pPr>
              <w:spacing w:before="80" w:after="60"/>
            </w:pPr>
            <w:r>
              <w:rPr>
                <w:b/>
                <w:color w:val="9C2710"/>
                <w:sz w:val="20"/>
              </w:rPr>
              <w:t>Leia antes de citar qualquer número no palco</w:t>
            </w:r>
          </w:p>
          <w:p>
            <w:pPr>
              <w:spacing w:after="100" w:line="264" w:lineRule="auto"/>
            </w:pPr>
            <w:r>
              <w:rPr>
                <w:b w:val="0"/>
                <w:i w:val="0"/>
                <w:sz w:val="19"/>
              </w:rPr>
              <w:t xml:space="preserve">A maior parte das afirmações deste documento vem de fonte primária, ou seja, o artigo, o balanço ou o documento oficial. Três não vêm, e estão marcadas no texto com a palavra </w:t>
            </w:r>
            <w:r>
              <w:rPr>
                <w:b w:val="0"/>
                <w:i/>
                <w:sz w:val="19"/>
              </w:rPr>
              <w:t>verificar</w:t>
            </w:r>
            <w:r>
              <w:rPr>
                <w:b w:val="0"/>
                <w:i w:val="0"/>
                <w:sz w:val="19"/>
              </w:rPr>
              <w:t xml:space="preserve"> junto do número. São elas: a taxa de formatura da Georgia State em 22 pontos e os 1.800 formandos a mais por ano, que aparecem em resumos secundários mas não no estudo de caso original; e a afirmação de que metade da evasão brasileira ocorre no primeiro semestre, que circula no setor sem estudo primário rastreável. </w:t>
            </w:r>
            <w:r>
              <w:rPr>
                <w:b/>
                <w:i w:val="0"/>
                <w:sz w:val="19"/>
              </w:rPr>
              <w:t>Para essas três, use a alternativa indicada no texto em vez do número marcado.</w:t>
            </w:r>
          </w:p>
        </w:tc>
      </w:tr>
    </w:tbl>
    <w:p>
      <w:pPr>
        <w:spacing w:after="80"/>
      </w:pPr>
    </w:p>
    <w:p>
      <w:pPr>
        <w:pStyle w:val="Heading3"/>
      </w:pPr>
      <w:r>
        <w:t>Artigos brasileiros indicados pelo time</w:t>
      </w:r>
    </w:p>
    <w:p>
      <w:pPr>
        <w:spacing w:after="80" w:line="264" w:lineRule="auto"/>
      </w:pPr>
      <w:r>
        <w:rPr>
          <w:b/>
          <w:color w:val="0B4F8F"/>
          <w:sz w:val="19"/>
        </w:rPr>
        <w:t xml:space="preserve">[1] </w:t>
      </w:r>
      <w:r>
        <w:rPr>
          <w:sz w:val="19"/>
        </w:rPr>
        <w:t>Ramos, M., Cordeiro, T., Sobrinho, A., &amp; Pimentel, B. A. (2026). The Challenge of School Dropout in Brazil: An Analysis of Over Two Decades. Revista Brasileira de Informática na Educação, v. 34, p. 110-141. DOI 10.5753/rbie.2026.5491. https://journals-sol.sbc.org.br/index.php/rbie/article/view/5491</w:t>
      </w:r>
    </w:p>
    <w:p>
      <w:pPr>
        <w:spacing w:after="80" w:line="264" w:lineRule="auto"/>
      </w:pPr>
      <w:r>
        <w:rPr>
          <w:b/>
          <w:color w:val="0B4F8F"/>
          <w:sz w:val="19"/>
        </w:rPr>
        <w:t xml:space="preserve">[2] </w:t>
      </w:r>
      <w:r>
        <w:rPr>
          <w:sz w:val="19"/>
        </w:rPr>
        <w:t>Bissaro, D. Z., Elias, E. M. C., Becevelli, S. L., Costa, S. M., &amp; Costa, T. G. F. (2021). Evasão e abandono escolar: os desafios de conter seu avanço, as causas e consequências, estudo de caso na Escola Municipal João Mendonça, em Teixeira de Freitas, Bahia. Research, Society and Development, v. 10, n. 4, e34810412463. DOI 10.33448/rsd-v10i4.12463. https://rsdjournal.org/rsd/article/view/12463</w:t>
      </w:r>
    </w:p>
    <w:p>
      <w:pPr>
        <w:spacing w:after="80" w:line="264" w:lineRule="auto"/>
      </w:pPr>
      <w:r>
        <w:rPr>
          <w:b/>
          <w:color w:val="0B4F8F"/>
          <w:sz w:val="19"/>
        </w:rPr>
        <w:t xml:space="preserve">[3] </w:t>
      </w:r>
      <w:r>
        <w:rPr>
          <w:sz w:val="19"/>
        </w:rPr>
        <w:t>Von Dentz, V., &amp; Favetti, A. R. K. (2025). A evasão escolar na educação profissional e tecnológica: desafios e perspectivas para ações institucionais de permanência e êxito. Revista e-TECH, v. 18, n. 1. DOI 10.18624/etech.v18i1.1410. https://etech.sc.senai.br/revista-cientifica/article/view/1410</w:t>
      </w:r>
    </w:p>
    <w:p>
      <w:pPr>
        <w:pStyle w:val="Heading3"/>
      </w:pPr>
      <w:r>
        <w:t>Fontes internacionais</w:t>
      </w:r>
    </w:p>
    <w:p>
      <w:pPr>
        <w:spacing w:after="80" w:line="264" w:lineRule="auto"/>
      </w:pPr>
      <w:r>
        <w:rPr>
          <w:b/>
          <w:color w:val="0B4F8F"/>
          <w:sz w:val="19"/>
        </w:rPr>
        <w:t xml:space="preserve">[4] </w:t>
      </w:r>
      <w:r>
        <w:rPr>
          <w:sz w:val="19"/>
        </w:rPr>
        <w:t>Bird, K. A., Castleman, B. L., Denning, J. T., Goodman, J., Lamberton, C., &amp; Rosinger, K. O. (2019). Nudging at Scale: Experimental Evidence from FAFSA Completion Campaigns. NBER Working Paper nº 26158. https://www.nber.org/papers/w26158</w:t>
      </w:r>
    </w:p>
    <w:p>
      <w:pPr>
        <w:spacing w:after="80" w:line="264" w:lineRule="auto"/>
      </w:pPr>
      <w:r>
        <w:rPr>
          <w:b/>
          <w:color w:val="0B4F8F"/>
          <w:sz w:val="19"/>
        </w:rPr>
        <w:t xml:space="preserve">[5] </w:t>
      </w:r>
      <w:r>
        <w:rPr>
          <w:sz w:val="19"/>
        </w:rPr>
        <w:t>Feng, W., Tang, J., &amp; Liu, T. X. (2019). Understanding Dropouts in MOOCs. AAAI Conference on Artificial Intelligence. Tsinghua University. https://keg.cs.tsinghua.edu.cn/jietang/publications/AAAI19-Feng-dropout-moocs.pdf</w:t>
      </w:r>
    </w:p>
    <w:p>
      <w:pPr>
        <w:spacing w:after="80" w:line="264" w:lineRule="auto"/>
      </w:pPr>
      <w:r>
        <w:rPr>
          <w:b/>
          <w:color w:val="0B4F8F"/>
          <w:sz w:val="19"/>
        </w:rPr>
        <w:t xml:space="preserve">[6] </w:t>
      </w:r>
      <w:r>
        <w:rPr>
          <w:sz w:val="19"/>
        </w:rPr>
        <w:t>Tan, H., &amp; Li, X. (2025). Dropout in Online Education: A Longitudinal Multilevel Analysis of Elementary Students' Extracurricular English Course Engagement in China. Behavioral Sciences, 15(4), 483. DOI 10.3390/bs15040483. Universidade Renmin da China. Texto completo livre em https://pmc.ncbi.nlm.nih.gov/articles/PMC12024346/</w:t>
      </w:r>
    </w:p>
    <w:p>
      <w:pPr>
        <w:spacing w:after="80" w:line="264" w:lineRule="auto"/>
      </w:pPr>
      <w:r>
        <w:rPr>
          <w:b/>
          <w:color w:val="0B4F8F"/>
          <w:sz w:val="19"/>
        </w:rPr>
        <w:t xml:space="preserve">[7] </w:t>
      </w:r>
      <w:r>
        <w:rPr>
          <w:sz w:val="19"/>
        </w:rPr>
        <w:t>Kuzilek, J., Hlosta, M., &amp; Zdrahal, Z. (2017). Open University Learning Analytics dataset. Scientific Data, 4, 170171. DOI 10.1038/sdata.2017.171. Download: https://analyse.kmi.open.ac.uk/open_dataset</w:t>
      </w:r>
    </w:p>
    <w:p>
      <w:pPr>
        <w:spacing w:after="80" w:line="264" w:lineRule="auto"/>
      </w:pPr>
      <w:r>
        <w:rPr>
          <w:b/>
          <w:color w:val="0B4F8F"/>
          <w:sz w:val="19"/>
        </w:rPr>
        <w:t xml:space="preserve">[8] </w:t>
      </w:r>
      <w:r>
        <w:rPr>
          <w:sz w:val="19"/>
        </w:rPr>
        <w:t>Olaya, D., Vásquez, J., Maldonado, S., Miranda, J., &amp; Verbeke, W. (2020). Uplift Modeling for preventing student dropout in higher education. Decision Support Systems, 134. https://www.sciencedirect.com/science/article/pii/S0167923620300750</w:t>
      </w:r>
    </w:p>
    <w:p>
      <w:pPr>
        <w:spacing w:after="80" w:line="264" w:lineRule="auto"/>
      </w:pPr>
      <w:r>
        <w:rPr>
          <w:b/>
          <w:color w:val="0B4F8F"/>
          <w:sz w:val="19"/>
        </w:rPr>
        <w:t xml:space="preserve">[9] </w:t>
      </w:r>
      <w:r>
        <w:rPr>
          <w:sz w:val="19"/>
        </w:rPr>
        <w:t>李莹 (Li, Y.) (2014). 远程开放教育辍学研究：结论与反思. 开放教育研究 (Open Education Research), 20(3), 79-87. Universidade Aberta Nacional da China. https://openedu.sou.edu.cn/upload/qikanfile/201406061123528083.pdf</w:t>
      </w:r>
    </w:p>
    <w:p>
      <w:pPr>
        <w:spacing w:after="80" w:line="264" w:lineRule="auto"/>
      </w:pPr>
      <w:r>
        <w:rPr>
          <w:b/>
          <w:color w:val="0B4F8F"/>
          <w:sz w:val="19"/>
        </w:rPr>
        <w:t xml:space="preserve">[10] </w:t>
      </w:r>
      <w:r>
        <w:rPr>
          <w:sz w:val="19"/>
        </w:rPr>
        <w:t>李莹, 王晓鸣 (2009). 远程开放教育学习者辍学的时间规律及其影响因素分析. 中国电化教育, nº 3.</w:t>
      </w:r>
    </w:p>
    <w:p>
      <w:pPr>
        <w:spacing w:after="80" w:line="264" w:lineRule="auto"/>
      </w:pPr>
      <w:r>
        <w:rPr>
          <w:b/>
          <w:color w:val="0B4F8F"/>
          <w:sz w:val="19"/>
        </w:rPr>
        <w:t xml:space="preserve">[11] </w:t>
      </w:r>
      <w:r>
        <w:rPr>
          <w:sz w:val="19"/>
        </w:rPr>
        <w:t>Georgia State University. GPS Advising, Student Success Initiatives. https://success.gsu.edu/initiatives/gps-advising/  ·  Fonte do site institucional e de resumos de imprensa. Os números de 22 pontos de formatura e 1.800 formandos a mais por ano vêm daqui e de coberturas secundárias, e não foram confirmados no estudo de caso primário. Verificar antes de citar.</w:t>
      </w:r>
    </w:p>
    <w:p>
      <w:pPr>
        <w:spacing w:after="80" w:line="264" w:lineRule="auto"/>
      </w:pPr>
      <w:r>
        <w:rPr>
          <w:b/>
          <w:color w:val="0B4F8F"/>
          <w:sz w:val="19"/>
        </w:rPr>
        <w:t xml:space="preserve">[12] </w:t>
      </w:r>
      <w:r>
        <w:rPr>
          <w:sz w:val="19"/>
        </w:rPr>
        <w:t>Association of Governing Boards (2019). Case Study: Georgia State University. https://agb.org/wp-content/uploads/2019/01/case_study_innovation_georgia.pdf  ·  Fonte primária dos 800 indicadores, das 200 mil intervenções, dos 67% mais diplomas e do programa Panther Retention Grants.</w:t>
      </w:r>
    </w:p>
    <w:p>
      <w:pPr>
        <w:spacing w:after="80" w:line="264" w:lineRule="auto"/>
      </w:pPr>
      <w:r>
        <w:rPr>
          <w:b/>
          <w:color w:val="0B4F8F"/>
          <w:sz w:val="19"/>
        </w:rPr>
        <w:t xml:space="preserve">[13] </w:t>
      </w:r>
      <w:r>
        <w:rPr>
          <w:sz w:val="19"/>
        </w:rPr>
        <w:t>Castleman, B. Why Aren't Text Message Interventions Designed to Boost College Success Working at Scale? Behavioral Scientist. https://behavioralscientist.org/why-arent-text-message-interventions-designed-to-boost-college-success-working-at-scale/</w:t>
      </w:r>
    </w:p>
    <w:p>
      <w:pPr>
        <w:spacing w:after="80" w:line="264" w:lineRule="auto"/>
      </w:pPr>
      <w:r>
        <w:rPr>
          <w:b/>
          <w:color w:val="0B4F8F"/>
          <w:sz w:val="19"/>
        </w:rPr>
        <w:t xml:space="preserve">[14] </w:t>
      </w:r>
      <w:r>
        <w:rPr>
          <w:sz w:val="19"/>
        </w:rPr>
        <w:t>KDD Cup 2015, dados da XuetangX. http://moocdata.cn/challenges e https://www.biendata.xyz/competition/kddcup2015/</w:t>
      </w:r>
    </w:p>
    <w:p>
      <w:pPr>
        <w:spacing w:after="80" w:line="264" w:lineRule="auto"/>
      </w:pPr>
      <w:r>
        <w:rPr>
          <w:b/>
          <w:color w:val="0B4F8F"/>
          <w:sz w:val="19"/>
        </w:rPr>
        <w:t xml:space="preserve">[15] </w:t>
      </w:r>
      <w:r>
        <w:rPr>
          <w:sz w:val="19"/>
        </w:rPr>
        <w:t>Regulamentos de 学业预警 de universidades chinesas, usados como referência do desenho do ciclo de alerta. Exemplo: Universidade de Wuhan, https://philosophy.whu.edu.cn/info/1394/13615.htm</w:t>
      </w:r>
    </w:p>
    <w:p>
      <w:pPr>
        <w:pStyle w:val="Heading3"/>
      </w:pPr>
      <w:r>
        <w:t>Sobre o evento</w:t>
      </w:r>
    </w:p>
    <w:p>
      <w:pPr>
        <w:spacing w:after="80" w:line="264" w:lineRule="auto"/>
      </w:pPr>
      <w:r>
        <w:rPr>
          <w:b/>
          <w:color w:val="0B4F8F"/>
          <w:sz w:val="19"/>
        </w:rPr>
        <w:t xml:space="preserve">[16] </w:t>
      </w:r>
      <w:r>
        <w:rPr>
          <w:sz w:val="19"/>
        </w:rPr>
        <w:t>Vitru Educação. Vitru lança Hackathon e convida estudantes de todo o Brasil a cocriar o futuro da educação. https://www.vitru.com.br/en_US/noticias/tecnologia/vitru-lanca-hackathon-e-convida-estudantes-de-todo-o-brasil-a-cocriar-o-futuro-da-educacao</w:t>
      </w:r>
    </w:p>
    <w:p>
      <w:pPr>
        <w:spacing w:after="80" w:line="264" w:lineRule="auto"/>
      </w:pPr>
      <w:r>
        <w:rPr>
          <w:b/>
          <w:color w:val="0B4F8F"/>
          <w:sz w:val="19"/>
        </w:rPr>
        <w:t xml:space="preserve">[17] </w:t>
      </w:r>
      <w:r>
        <w:rPr>
          <w:sz w:val="19"/>
        </w:rPr>
        <w:t>UniCesumar. Vitru Educação promove hackathon nacional para criar soluções para desafios reais do mercado de educação. https://www.unicesumar.edu.br/vitru-educacao-promove-hackathon-nacional-para-criar-solucoes-para-desafios-reais-do-mercado-de-educacao/</w:t>
      </w:r>
    </w:p>
    <w:p>
      <w:pPr>
        <w:spacing w:after="80" w:line="264" w:lineRule="auto"/>
      </w:pPr>
      <w:r>
        <w:rPr>
          <w:b/>
          <w:color w:val="0B4F8F"/>
          <w:sz w:val="19"/>
        </w:rPr>
        <w:t xml:space="preserve">[18] </w:t>
      </w:r>
      <w:r>
        <w:rPr>
          <w:sz w:val="19"/>
        </w:rPr>
        <w:t>ESG Inside (3 jul. 2026). Hackathon da Vitru oferece prêmio de até R$ 10 mil para universitários desenvolverem soluções contra a evasão no Ensino Superior. https://esginside.com.br/2026/07/03/hackathon-da-vitru-oferece-premio-de-ate-r-10-mil-para-universitarios-desenvolverem-solucoes-contra-a-evasao-no-ensino-superior/</w:t>
      </w:r>
    </w:p>
    <w:p>
      <w:pPr>
        <w:spacing w:after="80" w:line="264" w:lineRule="auto"/>
      </w:pPr>
      <w:r>
        <w:rPr>
          <w:b/>
          <w:color w:val="0B4F8F"/>
          <w:sz w:val="19"/>
        </w:rPr>
        <w:t xml:space="preserve">[19] </w:t>
      </w:r>
      <w:r>
        <w:rPr>
          <w:sz w:val="19"/>
        </w:rPr>
        <w:t>EESC-USP, Estágios e Oportunidades. Hackathon Vitru 2026. https://eesc.usp.br/estagios-admin/?p=14949</w:t>
      </w:r>
    </w:p>
    <w:p>
      <w:pPr>
        <w:pStyle w:val="Heading3"/>
      </w:pPr>
      <w:r>
        <w:t>Resultados e dados da Vitru</w:t>
      </w:r>
    </w:p>
    <w:p>
      <w:pPr>
        <w:spacing w:after="80" w:line="264" w:lineRule="auto"/>
      </w:pPr>
      <w:r>
        <w:rPr>
          <w:b/>
          <w:color w:val="0B4F8F"/>
          <w:sz w:val="19"/>
        </w:rPr>
        <w:t xml:space="preserve">[20] </w:t>
      </w:r>
      <w:r>
        <w:rPr>
          <w:sz w:val="19"/>
        </w:rPr>
        <w:t>Vitru Educação. Vitru Educação encerra 2025 com lucro líquido recorde de R$ 483,7 milhões. https://vitru.com.br/index.php/pt_BR/noticias/negocios/vitru-educacao-encerra-2025-com-lucro-liquido-recorde-de-4837-milhoes</w:t>
      </w:r>
    </w:p>
    <w:p>
      <w:pPr>
        <w:spacing w:after="80" w:line="264" w:lineRule="auto"/>
      </w:pPr>
      <w:r>
        <w:rPr>
          <w:b/>
          <w:color w:val="0B4F8F"/>
          <w:sz w:val="19"/>
        </w:rPr>
        <w:t xml:space="preserve">[21] </w:t>
      </w:r>
      <w:r>
        <w:rPr>
          <w:sz w:val="19"/>
        </w:rPr>
        <w:t>Vitru Educação. Vitru registra 89% de alta no lucro ajustado e redução de dívida em 10,7% no 3T25. https://www.vitru.com.br/pt_BR/noticias/negocios/vitru-registra-89-de-alta-no-lucro-ajustado-e-reducao-de-divida-em-107-no-3t25</w:t>
      </w:r>
    </w:p>
    <w:p>
      <w:pPr>
        <w:spacing w:after="80" w:line="264" w:lineRule="auto"/>
      </w:pPr>
      <w:r>
        <w:rPr>
          <w:b/>
          <w:color w:val="0B4F8F"/>
          <w:sz w:val="19"/>
        </w:rPr>
        <w:t xml:space="preserve">[22] </w:t>
      </w:r>
      <w:r>
        <w:rPr>
          <w:sz w:val="19"/>
        </w:rPr>
        <w:t>Investing.com. Earnings call transcript: Vitru Brasil Q4 2025. https://www.investing.com/news/transcripts/earnings-call-transcript-vitru-brasils-q4-2025-shows-strong-growth-and-innovation-93CH-4573284</w:t>
      </w:r>
    </w:p>
    <w:p>
      <w:pPr>
        <w:spacing w:after="80" w:line="264" w:lineRule="auto"/>
      </w:pPr>
      <w:r>
        <w:rPr>
          <w:b/>
          <w:color w:val="0B4F8F"/>
          <w:sz w:val="19"/>
        </w:rPr>
        <w:t xml:space="preserve">[23] </w:t>
      </w:r>
      <w:r>
        <w:rPr>
          <w:sz w:val="19"/>
        </w:rPr>
        <w:t>Nord Investimentos. Vitru (VTRU3) tem lucro 61% maior em 2025. Fonte do ticket médio mensal de R$ 285,2. https://www.nordinvestimentos.com.br/blog/vitru-vtru3-resultados-4t25/</w:t>
      </w:r>
    </w:p>
    <w:p>
      <w:pPr>
        <w:spacing w:after="80" w:line="264" w:lineRule="auto"/>
      </w:pPr>
      <w:r>
        <w:rPr>
          <w:b/>
          <w:color w:val="0B4F8F"/>
          <w:sz w:val="19"/>
        </w:rPr>
        <w:t xml:space="preserve">[24] </w:t>
      </w:r>
      <w:r>
        <w:rPr>
          <w:sz w:val="19"/>
        </w:rPr>
        <w:t>Portal UNIASSELVI. IA e humanização andam juntas em projeto inovador da Vitru Educação. https://portal.uniasselvi.com.br/noticias/tecnologia/ia-e-humanizacao-andam-juntas-em-projeto-inovador-da-vitru-educacao</w:t>
      </w:r>
    </w:p>
    <w:p>
      <w:pPr>
        <w:pStyle w:val="Heading3"/>
      </w:pPr>
      <w:r>
        <w:t>Setor, regulação e perfil do aluno</w:t>
      </w:r>
    </w:p>
    <w:p>
      <w:pPr>
        <w:spacing w:after="80" w:line="264" w:lineRule="auto"/>
      </w:pPr>
      <w:r>
        <w:rPr>
          <w:b/>
          <w:color w:val="0B4F8F"/>
          <w:sz w:val="19"/>
        </w:rPr>
        <w:t xml:space="preserve">[25] </w:t>
      </w:r>
      <w:r>
        <w:rPr>
          <w:sz w:val="19"/>
        </w:rPr>
        <w:t>Brasil. Decreto nº 12.456, de 19 de maio de 2025. Marco regulatório da educação a distância. https://abmes.org.br/legislacoes/detalhe/5108/decreto-n-12.456</w:t>
      </w:r>
    </w:p>
    <w:p>
      <w:pPr>
        <w:spacing w:after="80" w:line="264" w:lineRule="auto"/>
      </w:pPr>
      <w:r>
        <w:rPr>
          <w:b/>
          <w:color w:val="0B4F8F"/>
          <w:sz w:val="19"/>
        </w:rPr>
        <w:t xml:space="preserve">[26] </w:t>
      </w:r>
      <w:r>
        <w:rPr>
          <w:sz w:val="19"/>
        </w:rPr>
        <w:t>Semesp. Quadro comparativo: o que mudou com o marco regulatório da educação a distância. https://www.semesp.org.br/publicacoes/marco-regulatorio-da-educacao-a-distancia-graduacao-e-pos-graduacao-lato-sensu/</w:t>
      </w:r>
    </w:p>
    <w:p>
      <w:pPr>
        <w:spacing w:after="80" w:line="264" w:lineRule="auto"/>
      </w:pPr>
      <w:r>
        <w:rPr>
          <w:b/>
          <w:color w:val="0B4F8F"/>
          <w:sz w:val="19"/>
        </w:rPr>
        <w:t xml:space="preserve">[27] </w:t>
      </w:r>
      <w:r>
        <w:rPr>
          <w:sz w:val="19"/>
        </w:rPr>
        <w:t>EaD em Foco. Uma análise quantitativa dos determinantes da evasão no ensino superior EaD. https://eademfoco.cecierj.edu.br/index.php/Revista/article/view/2322</w:t>
      </w:r>
    </w:p>
    <w:p>
      <w:pPr>
        <w:spacing w:after="80" w:line="264" w:lineRule="auto"/>
      </w:pPr>
      <w:r>
        <w:rPr>
          <w:b/>
          <w:color w:val="0B4F8F"/>
          <w:sz w:val="19"/>
        </w:rPr>
        <w:t xml:space="preserve">[28] </w:t>
      </w:r>
      <w:r>
        <w:rPr>
          <w:sz w:val="19"/>
        </w:rPr>
        <w:t>ABED. Censo EAD.BR, relatório analítico da aprendizagem a distância no Brasil. https://www.abed.org.br/site/ead-em-dados/censo-eadbr/  ·  Fonte dos percentuais de gênero, faixa etária, classe social e trabalho da seção 6. Os números foram lidos a partir de compilações do Censo; se forem para o slide, confirmar a edição exata no relatório original.</w:t>
      </w:r>
    </w:p>
    <w:p>
      <w:pPr>
        <w:spacing w:after="80" w:line="264" w:lineRule="auto"/>
      </w:pPr>
      <w:r>
        <w:rPr>
          <w:b/>
          <w:color w:val="0B4F8F"/>
          <w:sz w:val="19"/>
        </w:rPr>
        <w:t xml:space="preserve">[29] </w:t>
      </w:r>
      <w:r>
        <w:rPr>
          <w:sz w:val="19"/>
        </w:rPr>
        <w:t>Instituto Semesp. Mapa do Ensino Superior no Brasil, 16ª edição (2026). Fonte das taxas de evasão de 24,8% total, 26,6% na rede privada e 21,4% na pública em 2024. https://www.semesp.org.br/mapa/edicao-16/brasil/</w:t>
      </w:r>
    </w:p>
    <w:p>
      <w:pPr>
        <w:pStyle w:val="Heading3"/>
      </w:pPr>
      <w:r>
        <w:t>Índia</w:t>
      </w:r>
    </w:p>
    <w:p>
      <w:pPr>
        <w:spacing w:after="80" w:line="264" w:lineRule="auto"/>
      </w:pPr>
      <w:r>
        <w:rPr>
          <w:b/>
          <w:color w:val="0B4F8F"/>
          <w:sz w:val="19"/>
        </w:rPr>
        <w:t xml:space="preserve">[30] </w:t>
      </w:r>
      <w:r>
        <w:rPr>
          <w:sz w:val="19"/>
        </w:rPr>
        <w:t>IGNOU, Indira Gandhi National Open University. Dados institucionais de escala: mais de 3 milhões de alunos ativos, 67 centros regionais e mais de 2.667 centros de estudo. https://www.ignou.ac.in/</w:t>
      </w:r>
    </w:p>
    <w:p>
      <w:pPr>
        <w:spacing w:after="80" w:line="264" w:lineRule="auto"/>
      </w:pPr>
      <w:r>
        <w:rPr>
          <w:b/>
          <w:color w:val="0B4F8F"/>
          <w:sz w:val="19"/>
        </w:rPr>
        <w:t xml:space="preserve">[31] </w:t>
      </w:r>
      <w:r>
        <w:rPr>
          <w:sz w:val="19"/>
        </w:rPr>
        <w:t>Fozdar, B. I., Kumar, L. S., &amp; Kannan, S. (2006). A Survey of a Study on the Reasons Responsible for Student Dropout from the Bachelor of Science Programme at Indira Gandhi National Open University. International Review of Research in Open and Distributed Learning (IRRODL), 7(3). https://www.irrodl.org/index.php/irrodl/article/view/291  ·  Atenção ao escopo: turmas de 1991 e 1992, questionário de 2001, 68 respondentes de 250 (25,6%), amostra com 85% de homens, curso com componente prático obrigatório. Use o mecanismo, não os percentuais.</w:t>
      </w:r>
    </w:p>
    <w:p>
      <w:pPr>
        <w:spacing w:after="80" w:line="264" w:lineRule="auto"/>
      </w:pPr>
      <w:r>
        <w:rPr>
          <w:b/>
          <w:color w:val="0B4F8F"/>
          <w:sz w:val="19"/>
        </w:rPr>
        <w:t xml:space="preserve">[32] </w:t>
      </w:r>
      <w:r>
        <w:rPr>
          <w:sz w:val="19"/>
        </w:rPr>
        <w:t>Dados de conclusão das plataformas nacionais indianas de MOOC, SWAYAM e NPTEL, compilados a partir de avaliações publicadas do programa. https://journals.ncert.gov.in/IJET/article/view/529 e https://nptel.ac.in/aboutus</w:t>
      </w:r>
    </w:p>
    <w:p>
      <w:pPr>
        <w:pStyle w:val="Heading3"/>
      </w:pPr>
      <w:r>
        <w:t>Coreia, Malásia e Sri Lanka</w:t>
      </w:r>
    </w:p>
    <w:p>
      <w:pPr>
        <w:spacing w:after="80" w:line="264" w:lineRule="auto"/>
      </w:pPr>
      <w:r>
        <w:rPr>
          <w:b/>
          <w:color w:val="0B4F8F"/>
          <w:sz w:val="19"/>
        </w:rPr>
        <w:t xml:space="preserve">[33] </w:t>
      </w:r>
      <w:r>
        <w:rPr>
          <w:sz w:val="19"/>
        </w:rPr>
        <w:t>Choi, H., Lee, Y., Jung, I., &amp; Latchem, C. (2013). The extent of and reasons for non re-enrolment: A case of Korea National Open University. International Review of Research in Open and Distributed Learning (IRRODL), 14(4). https://www.irrodl.org/index.php/irrodl/article/view/1314  ·  Atenção ao escopo: 1.353 respondentes numa população de 146.374, ou seja, taxa de resposta de cerca de 0,9%. Risco alto de autosseleção. Use a ordem dos motivos, não os percentuais como estimativa da população.</w:t>
      </w:r>
    </w:p>
    <w:p>
      <w:pPr>
        <w:spacing w:after="80" w:line="264" w:lineRule="auto"/>
      </w:pPr>
      <w:r>
        <w:rPr>
          <w:b/>
          <w:color w:val="0B4F8F"/>
          <w:sz w:val="19"/>
        </w:rPr>
        <w:t xml:space="preserve">[34] </w:t>
      </w:r>
      <w:r>
        <w:rPr>
          <w:sz w:val="19"/>
        </w:rPr>
        <w:t>Open University Malaysia. Dados institucionais e literatura de retenção da instituição, incluindo Latifah Abdol Latif e coautores sobre gestão de retenção em instituições de ensino aberto. https://www.oum.edu.my/ e http://library.oum.edu.my/repository/304/</w:t>
      </w:r>
    </w:p>
    <w:p>
      <w:pPr>
        <w:spacing w:after="80" w:line="264" w:lineRule="auto"/>
      </w:pPr>
      <w:r>
        <w:rPr>
          <w:b/>
          <w:color w:val="0B4F8F"/>
          <w:sz w:val="19"/>
        </w:rPr>
        <w:t xml:space="preserve">[35] </w:t>
      </w:r>
      <w:r>
        <w:rPr>
          <w:sz w:val="19"/>
        </w:rPr>
        <w:t>Ranasinghe, K., Fernando, T. L. D., Vineeshiya, N., &amp; Fernando, G. W. A. R. (2025). Improving Student Persistence in Open and Distance Learning: An Investigation of Demotivational Challenges. Open Praxis. Universidade Aberta do Sri Lanka. DOI 10.55982/openpraxis.17.4.850. https://openpraxis.org/articles/10.55982/openpraxis.17.4.850</w:t>
      </w:r>
    </w:p>
    <w:p>
      <w:pPr>
        <w:spacing w:before="200" w:after="120"/>
        <w:pBdr>
          <w:bottom w:val="single" w:sz="6" w:space="1" w:color="C8D4E0"/>
        </w:pBdr>
      </w:pPr>
    </w:p>
    <w:p>
      <w:pPr>
        <w:spacing w:line="269" w:lineRule="auto"/>
      </w:pPr>
      <w:r>
        <w:rPr>
          <w:b w:val="0"/>
          <w:i w:val="0"/>
          <w:color w:val="5A5A5A"/>
          <w:sz w:val="18"/>
        </w:rPr>
        <w:t>Observação sobre o escopo das fontes: os dados financeiros e de base de alunos da Vitru são de divulgações públicas referentes a 2025. Os três artigos brasileiros tratam de educação básica e de educação profissional, e não de graduação EAD privada. Entre as internacionais, a da XuetangX é sobre MOOC e a da Renmin é sobre crianças do fundamental, ambas com dinâmica diferente de curso pago de adulto. As da Georgia State e do estudo de mensagens são de ensino superior presencial nos Estados Unidos. A fonte com o escopo mais próximo do nosso é a da Universidade Aberta Nacional da China. Ao citar qualquer uma na banca, diga o escopo. Reconhecer o limite da fonte conta a favor.</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eastAsia="Microsoft YaHe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Calibri" w:hAnsi="Calibri"/>
      <w:b/>
      <w:bCs/>
      <w:i w:val="0"/>
      <w:color w:val="0B4F8F"/>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i w:val="0"/>
      <w:color w:val="0B4F8F"/>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i w:val="0"/>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