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B365D"/>
            <w:tcMar>
              <w:top w:w="2800" w:type="dxa"/>
              <w:bottom w:w="2800" w:type="dxa"/>
              <w:left w:w="720" w:type="dxa"/>
              <w:right w:w="720" w:type="dxa"/>
            </w:tcMar>
          </w:tcPr>
          <w:p>
            <w:pPr>
              <w:spacing w:after="240"/>
              <w:jc w:val="center"/>
            </w:pPr>
            <w:r>
              <w:rPr>
                <w:rFonts w:ascii="Helvetica" w:hAnsi="Helvetica"/>
                <w:b/>
                <w:color w:val="90CDF4"/>
                <w:sz w:val="28"/>
              </w:rPr>
              <w:t>VIDA PLENA S.A.</w:t>
              <w:br/>
            </w:r>
            <w:r>
              <w:rPr>
                <w:rFonts w:ascii="Helvetica" w:hAnsi="Helvetica"/>
                <w:b/>
                <w:color w:val="FFFFFF"/>
                <w:sz w:val="48"/>
              </w:rPr>
              <w:t>Manual de Identidade Visual</w:t>
              <w:br/>
            </w:r>
          </w:p>
          <w:p>
            <w:pPr>
              <w:spacing w:after="800"/>
              <w:jc w:val="center"/>
            </w:pPr>
            <w:r>
              <w:rPr>
                <w:rFonts w:ascii="Helvetica" w:hAnsi="Helvetica"/>
                <w:color w:val="E2E8F0"/>
                <w:sz w:val="22"/>
              </w:rPr>
              <w:t>Diretrizes Oficiais de Branding, Padronização e Governança da Marca</w:t>
            </w:r>
          </w:p>
          <w:p>
            <w:pPr>
              <w:spacing w:after="0"/>
              <w:jc w:val="left"/>
            </w:pPr>
            <w:r>
              <w:rPr>
                <w:rFonts w:ascii="Helvetica" w:hAnsi="Helvetica"/>
                <w:color w:val="CBD5E0"/>
                <w:sz w:val="19"/>
              </w:rPr>
              <w:t>Documento: Manual de Identidade Visual</w:t>
              <w:br/>
              <w:t>Versão: 1.0</w:t>
              <w:br/>
              <w:t>Última atualização: Julho de 2026</w:t>
              <w:br/>
              <w:t>Departamento responsável: Comunicação Corporativa &amp; Marketing Institucional</w:t>
              <w:br/>
              <w:t>Classificação: Uso Interno</w:t>
            </w:r>
          </w:p>
        </w:tc>
      </w:tr>
    </w:tbl>
    <w:p>
      <w:r>
        <w:br w:type="page"/>
      </w:r>
    </w:p>
    <w:p>
      <w:pPr>
        <w:keepNext/>
        <w:spacing w:before="360" w:after="120"/>
      </w:pPr>
      <w:r>
        <w:rPr>
          <w:rFonts w:ascii="Helvetica" w:hAnsi="Helvetica"/>
          <w:b/>
          <w:color w:val="1B365D"/>
          <w:sz w:val="32"/>
        </w:rPr>
        <w:t>Sumário</w:t>
      </w:r>
    </w:p>
    <w:p>
      <w:pPr>
        <w:spacing w:before="0" w:after="40"/>
      </w:pPr>
      <w:r>
        <w:rPr>
          <w:rFonts w:ascii="Helvetica" w:hAnsi="Helvetica"/>
          <w:color w:val="2D3748"/>
          <w:sz w:val="20"/>
        </w:rPr>
        <w:t>1. Objetivo</w:t>
      </w:r>
      <w:r>
        <w:rPr>
          <w:rFonts w:ascii="Helvetica" w:hAnsi="Helvetica"/>
          <w:color w:val="718096"/>
          <w:sz w:val="18"/>
        </w:rPr>
        <w:t xml:space="preserve"> .................................................................................................................................................................. 3</w:t>
      </w:r>
    </w:p>
    <w:p>
      <w:pPr>
        <w:spacing w:before="0" w:after="40"/>
      </w:pPr>
      <w:r>
        <w:rPr>
          <w:rFonts w:ascii="Helvetica" w:hAnsi="Helvetica"/>
          <w:color w:val="2D3748"/>
          <w:sz w:val="20"/>
        </w:rPr>
        <w:t>2. Aplicação da Marca</w:t>
      </w:r>
      <w:r>
        <w:rPr>
          <w:rFonts w:ascii="Helvetica" w:hAnsi="Helvetica"/>
          <w:color w:val="718096"/>
          <w:sz w:val="18"/>
        </w:rPr>
        <w:t xml:space="preserve"> .................................................................................................................................................................. 3</w:t>
      </w:r>
    </w:p>
    <w:p>
      <w:pPr>
        <w:spacing w:before="0" w:after="40"/>
      </w:pPr>
      <w:r>
        <w:rPr>
          <w:rFonts w:ascii="Helvetica" w:hAnsi="Helvetica"/>
          <w:color w:val="2D3748"/>
          <w:sz w:val="20"/>
        </w:rPr>
        <w:t>3. Paleta de Cores Institucional</w:t>
      </w:r>
      <w:r>
        <w:rPr>
          <w:rFonts w:ascii="Helvetica" w:hAnsi="Helvetica"/>
          <w:color w:val="718096"/>
          <w:sz w:val="18"/>
        </w:rPr>
        <w:t xml:space="preserve"> .................................................................................................................................................................. 4</w:t>
      </w:r>
    </w:p>
    <w:p>
      <w:pPr>
        <w:spacing w:before="0" w:after="40"/>
      </w:pPr>
      <w:r>
        <w:rPr>
          <w:rFonts w:ascii="Helvetica" w:hAnsi="Helvetica"/>
          <w:color w:val="2D3748"/>
          <w:sz w:val="20"/>
        </w:rPr>
        <w:t>4. Tipografia Institucional</w:t>
      </w:r>
      <w:r>
        <w:rPr>
          <w:rFonts w:ascii="Helvetica" w:hAnsi="Helvetica"/>
          <w:color w:val="718096"/>
          <w:sz w:val="18"/>
        </w:rPr>
        <w:t xml:space="preserve"> .................................................................................................................................................................. 5</w:t>
      </w:r>
    </w:p>
    <w:p>
      <w:pPr>
        <w:spacing w:before="0" w:after="40"/>
      </w:pPr>
      <w:r>
        <w:rPr>
          <w:rFonts w:ascii="Helvetica" w:hAnsi="Helvetica"/>
          <w:color w:val="2D3748"/>
          <w:sz w:val="20"/>
        </w:rPr>
        <w:t>5. Elementos Visuais</w:t>
      </w:r>
      <w:r>
        <w:rPr>
          <w:rFonts w:ascii="Helvetica" w:hAnsi="Helvetica"/>
          <w:color w:val="718096"/>
          <w:sz w:val="18"/>
        </w:rPr>
        <w:t xml:space="preserve"> .................................................................................................................................................................. 5</w:t>
      </w:r>
    </w:p>
    <w:p>
      <w:pPr>
        <w:spacing w:before="0" w:after="40"/>
      </w:pPr>
      <w:r>
        <w:rPr>
          <w:rFonts w:ascii="Helvetica" w:hAnsi="Helvetica"/>
          <w:color w:val="2D3748"/>
          <w:sz w:val="20"/>
        </w:rPr>
        <w:t>6. Materiais Institucionais</w:t>
      </w:r>
      <w:r>
        <w:rPr>
          <w:rFonts w:ascii="Helvetica" w:hAnsi="Helvetica"/>
          <w:color w:val="718096"/>
          <w:sz w:val="18"/>
        </w:rPr>
        <w:t xml:space="preserve"> .................................................................................................................................................................. 6</w:t>
      </w:r>
    </w:p>
    <w:p>
      <w:pPr>
        <w:spacing w:before="0" w:after="40"/>
      </w:pPr>
      <w:r>
        <w:rPr>
          <w:rFonts w:ascii="Helvetica" w:hAnsi="Helvetica"/>
          <w:color w:val="2D3748"/>
          <w:sz w:val="20"/>
        </w:rPr>
        <w:t>7. Situações Não Permitidas</w:t>
      </w:r>
      <w:r>
        <w:rPr>
          <w:rFonts w:ascii="Helvetica" w:hAnsi="Helvetica"/>
          <w:color w:val="718096"/>
          <w:sz w:val="18"/>
        </w:rPr>
        <w:t xml:space="preserve"> .................................................................................................................................................................. 6</w:t>
      </w:r>
    </w:p>
    <w:p>
      <w:pPr>
        <w:spacing w:before="0" w:after="40"/>
      </w:pPr>
      <w:r>
        <w:rPr>
          <w:rFonts w:ascii="Helvetica" w:hAnsi="Helvetica"/>
          <w:color w:val="2D3748"/>
          <w:sz w:val="20"/>
        </w:rPr>
        <w:t>8. Responsabilidades</w:t>
      </w:r>
      <w:r>
        <w:rPr>
          <w:rFonts w:ascii="Helvetica" w:hAnsi="Helvetica"/>
          <w:color w:val="718096"/>
          <w:sz w:val="18"/>
        </w:rPr>
        <w:t xml:space="preserve"> .................................................................................................................................................................. 7</w:t>
      </w:r>
    </w:p>
    <w:p>
      <w:pPr>
        <w:spacing w:before="0" w:after="40"/>
      </w:pPr>
      <w:r>
        <w:rPr>
          <w:rFonts w:ascii="Helvetica" w:hAnsi="Helvetica"/>
          <w:color w:val="2D3748"/>
          <w:sz w:val="20"/>
        </w:rPr>
        <w:t>9. Boas Práticas</w:t>
      </w:r>
      <w:r>
        <w:rPr>
          <w:rFonts w:ascii="Helvetica" w:hAnsi="Helvetica"/>
          <w:color w:val="718096"/>
          <w:sz w:val="18"/>
        </w:rPr>
        <w:t xml:space="preserve"> .................................................................................................................................................................. 7</w:t>
      </w:r>
    </w:p>
    <w:p>
      <w:pPr>
        <w:spacing w:before="0" w:after="40"/>
      </w:pPr>
      <w:r>
        <w:rPr>
          <w:rFonts w:ascii="Helvetica" w:hAnsi="Helvetica"/>
          <w:color w:val="2D3748"/>
          <w:sz w:val="20"/>
        </w:rPr>
        <w:t>10. Perguntas Frequentes</w:t>
      </w:r>
      <w:r>
        <w:rPr>
          <w:rFonts w:ascii="Helvetica" w:hAnsi="Helvetica"/>
          <w:color w:val="718096"/>
          <w:sz w:val="18"/>
        </w:rPr>
        <w:t xml:space="preserve"> .................................................................................................................................................................. 8</w:t>
      </w:r>
    </w:p>
    <w:p>
      <w:pPr>
        <w:spacing w:before="0" w:after="40"/>
      </w:pPr>
      <w:r>
        <w:rPr>
          <w:rFonts w:ascii="Helvetica" w:hAnsi="Helvetica"/>
          <w:color w:val="2D3748"/>
          <w:sz w:val="20"/>
        </w:rPr>
        <w:t>11. Contatos</w:t>
      </w:r>
      <w:r>
        <w:rPr>
          <w:rFonts w:ascii="Helvetica" w:hAnsi="Helvetica"/>
          <w:color w:val="718096"/>
          <w:sz w:val="18"/>
        </w:rPr>
        <w:t xml:space="preserve"> .................................................................................................................................................................. 10</w:t>
      </w:r>
    </w:p>
    <w:p>
      <w:pPr>
        <w:spacing w:before="0" w:after="40"/>
      </w:pPr>
      <w:r>
        <w:rPr>
          <w:rFonts w:ascii="Helvetica" w:hAnsi="Helvetica"/>
          <w:color w:val="2D3748"/>
          <w:sz w:val="20"/>
        </w:rPr>
        <w:t>12. Controle do Documento</w:t>
      </w:r>
      <w:r>
        <w:rPr>
          <w:rFonts w:ascii="Helvetica" w:hAnsi="Helvetica"/>
          <w:color w:val="718096"/>
          <w:sz w:val="18"/>
        </w:rPr>
        <w:t xml:space="preserve"> .................................................................................................................................................................. 10</w:t>
      </w:r>
    </w:p>
    <w:p>
      <w:r>
        <w:br w:type="page"/>
      </w:r>
    </w:p>
    <w:p>
      <w:pPr>
        <w:keepNext/>
        <w:spacing w:before="360" w:after="120"/>
      </w:pPr>
      <w:r>
        <w:rPr>
          <w:rFonts w:ascii="Helvetica" w:hAnsi="Helvetica"/>
          <w:b/>
          <w:color w:val="1B365D"/>
          <w:sz w:val="32"/>
        </w:rPr>
        <w:t>1. Objetivo</w:t>
      </w:r>
    </w:p>
    <w:p>
      <w:pPr>
        <w:spacing w:before="0" w:after="120" w:line="276" w:lineRule="auto"/>
      </w:pPr>
      <w:r>
        <w:rPr>
          <w:rFonts w:ascii="Helvetica" w:hAnsi="Helvetica"/>
          <w:color w:val="2D3748"/>
          <w:sz w:val="21"/>
        </w:rPr>
        <w:t>O presente Manual de Identidade Visual da Vida Plena S.A. estabelece as diretrizes normativas fundamentais para a gestão, aplicação e preservação da marca corporativa. Fundada em 2016, com sede em São Paulo e atuação em todo o território nacional, a Vida Plena S.A. especializou-se no desenvolvimento de soluções tecnológicas corporativas de alto padrão, contando atualmente com aproximadamente 350 colaboradores em modelo híbrido de trabalho. Para sustentar sua reputação de excelência, inovação e transparência, é imprescindível que toda a comunicação visual da empresa mantenha absoluta consistência, clareza e profissionalismo.</w:t>
      </w:r>
    </w:p>
    <w:p>
      <w:pPr>
        <w:spacing w:before="0" w:after="120" w:line="276" w:lineRule="auto"/>
      </w:pPr>
      <w:r>
        <w:rPr>
          <w:rFonts w:ascii="Helvetica" w:hAnsi="Helvetica"/>
          <w:color w:val="2D3748"/>
          <w:sz w:val="21"/>
        </w:rPr>
        <w:t>O objetivo primordial deste manual é fornecer a todos os colaboradores, gestores, diretores, agências parceiras e prestadores de serviço autorizados as orientações técnicas necessárias para a correta utilização dos elementos visuais da companhia. O alinhamento visual fortalece o reconhecimento institucional, transmite confiabilidade aos clientes e parceiros de negócios, e assegura que a marca Vida Plena S.A. seja representada de maneira unificada em todos os pontos de contato internos e externos.</w:t>
      </w:r>
    </w:p>
    <w:p>
      <w:pPr>
        <w:keepNext/>
        <w:spacing w:before="360" w:after="120"/>
      </w:pPr>
      <w:r>
        <w:rPr>
          <w:rFonts w:ascii="Helvetica" w:hAnsi="Helvetica"/>
          <w:b/>
          <w:color w:val="1B365D"/>
          <w:sz w:val="32"/>
        </w:rPr>
        <w:t>2. Aplicação da Marca</w:t>
      </w:r>
    </w:p>
    <w:p>
      <w:pPr>
        <w:spacing w:before="0" w:after="120" w:line="276" w:lineRule="auto"/>
      </w:pPr>
      <w:r>
        <w:rPr>
          <w:rFonts w:ascii="Helvetica" w:hAnsi="Helvetica"/>
          <w:color w:val="2D3748"/>
          <w:sz w:val="21"/>
        </w:rPr>
        <w:t>A marca Vida Plena S.A. é o ativo intangível mais valioso da organização, representando sua essência tecnológica e seu compromisso com a transformação corporativa. Sua aplicação deve seguir rigorosamente as normas técnicas descritas abaixo:</w:t>
      </w:r>
    </w:p>
    <w:p>
      <w:pPr>
        <w:pStyle w:val="ListBullet"/>
        <w:spacing w:before="0" w:after="60" w:line="276" w:lineRule="auto"/>
      </w:pPr>
      <w:r>
        <w:rPr>
          <w:rFonts w:ascii="Helvetica" w:hAnsi="Helvetica"/>
          <w:b/>
          <w:color w:val="1B365D"/>
          <w:sz w:val="21"/>
        </w:rPr>
        <w:t xml:space="preserve">Uso correto do logotipo: </w:t>
      </w:r>
      <w:r>
        <w:rPr>
          <w:rFonts w:ascii="Helvetica" w:hAnsi="Helvetica"/>
          <w:color w:val="2D3748"/>
          <w:sz w:val="21"/>
        </w:rPr>
        <w:t>O logotipo institucional deve ser reproduzido exclusivamente a partir dos arquivos oficiais disponibilizados pela Comunicação Corporativa. Nenhuma modificação geométrica, reordenação de elementos ou reescrita tipográfica é permitida.</w:t>
      </w:r>
    </w:p>
    <w:p>
      <w:pPr>
        <w:pStyle w:val="ListBullet"/>
        <w:spacing w:before="0" w:after="60" w:line="276" w:lineRule="auto"/>
      </w:pPr>
      <w:r>
        <w:rPr>
          <w:rFonts w:ascii="Helvetica" w:hAnsi="Helvetica"/>
          <w:b/>
          <w:color w:val="1B365D"/>
          <w:sz w:val="21"/>
        </w:rPr>
        <w:t xml:space="preserve">Área de proteção: </w:t>
      </w:r>
      <w:r>
        <w:rPr>
          <w:rFonts w:ascii="Helvetica" w:hAnsi="Helvetica"/>
          <w:color w:val="2D3748"/>
          <w:sz w:val="21"/>
        </w:rPr>
        <w:t>Ao redor do logotipo deve ser mantida uma área de respiro livre de quaisquer outros elementos gráficos, textos ou imagens. Essa margem de segurança é proporcional à altura da letra 'V' da marca, garantindo legibilidade e destaque visual.</w:t>
      </w:r>
    </w:p>
    <w:p>
      <w:pPr>
        <w:pStyle w:val="ListBullet"/>
        <w:spacing w:before="0" w:after="60" w:line="276" w:lineRule="auto"/>
      </w:pPr>
      <w:r>
        <w:rPr>
          <w:rFonts w:ascii="Helvetica" w:hAnsi="Helvetica"/>
          <w:b/>
          <w:color w:val="1B365D"/>
          <w:sz w:val="21"/>
        </w:rPr>
        <w:t xml:space="preserve">Tamanho mínimo: </w:t>
      </w:r>
      <w:r>
        <w:rPr>
          <w:rFonts w:ascii="Helvetica" w:hAnsi="Helvetica"/>
          <w:color w:val="2D3748"/>
          <w:sz w:val="21"/>
        </w:rPr>
        <w:t>Para garantir a perfeita legibilidade e integridade visual, o logotipo não deve ser reproduzido em larguras inferiores a 30 milímetros em mídias impressas ou 120 pixels em mídias digitais.</w:t>
      </w:r>
    </w:p>
    <w:p>
      <w:pPr>
        <w:pStyle w:val="ListBullet"/>
        <w:spacing w:before="0" w:after="60" w:line="276" w:lineRule="auto"/>
      </w:pPr>
      <w:r>
        <w:rPr>
          <w:rFonts w:ascii="Helvetica" w:hAnsi="Helvetica"/>
          <w:b/>
          <w:color w:val="1B365D"/>
          <w:sz w:val="21"/>
        </w:rPr>
        <w:t xml:space="preserve">Versões coloridas e monocromáticas: </w:t>
      </w:r>
      <w:r>
        <w:rPr>
          <w:rFonts w:ascii="Helvetica" w:hAnsi="Helvetica"/>
          <w:color w:val="2D3748"/>
          <w:sz w:val="21"/>
        </w:rPr>
        <w:t>A versão principal colorida deve ser utilizada sempre que possível sobre fundos claros. Versões em preto sólido ou branco absoluto são reservadas para aplicações monocromáticas em impressos de uma única cor ou sobre fundos escuros institucionais.</w:t>
      </w:r>
    </w:p>
    <w:p>
      <w:pPr>
        <w:pStyle w:val="ListBullet"/>
        <w:spacing w:before="0" w:after="60" w:line="276" w:lineRule="auto"/>
      </w:pPr>
      <w:r>
        <w:rPr>
          <w:rFonts w:ascii="Helvetica" w:hAnsi="Helvetica"/>
          <w:b/>
          <w:color w:val="1B365D"/>
          <w:sz w:val="21"/>
        </w:rPr>
        <w:t xml:space="preserve">Fundos permitidos: </w:t>
      </w:r>
      <w:r>
        <w:rPr>
          <w:rFonts w:ascii="Helvetica" w:hAnsi="Helvetica"/>
          <w:color w:val="2D3748"/>
          <w:sz w:val="21"/>
        </w:rPr>
        <w:t>O logotipo pode ser aplicado sobre fundos brancos, cinzas claros neutros ou sobre o Azul Marinho institucional. Fundo fotográfico ou texturizado é proibido, a menos que haja aplicação de uma tarja de cobertura semitransparente que garanta o contraste adequado.</w:t>
      </w:r>
    </w:p>
    <w:p>
      <w:pPr>
        <w:pStyle w:val="ListBullet"/>
        <w:spacing w:before="0" w:after="60" w:line="276" w:lineRule="auto"/>
      </w:pPr>
      <w:r>
        <w:rPr>
          <w:rFonts w:ascii="Helvetica" w:hAnsi="Helvetica"/>
          <w:b/>
          <w:color w:val="1B365D"/>
          <w:sz w:val="21"/>
        </w:rPr>
        <w:t xml:space="preserve">Situações proibidas: </w:t>
      </w:r>
      <w:r>
        <w:rPr>
          <w:rFonts w:ascii="Helvetica" w:hAnsi="Helvetica"/>
          <w:color w:val="2D3748"/>
          <w:sz w:val="21"/>
        </w:rPr>
        <w:t>É expressamente vedado rotacionar o logotipo, aplicar sombras paralelas não oficiais, distorcer suas proporções, alterar as cores institucionais de forma isolada ou inserir o símbolo sobre elementos visuais poluídos.</w:t>
      </w:r>
    </w:p>
    <w:p>
      <w:pPr>
        <w:keepNext/>
        <w:spacing w:before="360" w:after="120"/>
      </w:pPr>
      <w:r>
        <w:rPr>
          <w:rFonts w:ascii="Helvetica" w:hAnsi="Helvetica"/>
          <w:b/>
          <w:color w:val="1B365D"/>
          <w:sz w:val="32"/>
        </w:rPr>
        <w:t>3. Paleta de Cores Institucional</w:t>
      </w:r>
    </w:p>
    <w:p>
      <w:pPr>
        <w:spacing w:before="0" w:after="120" w:line="276" w:lineRule="auto"/>
      </w:pPr>
      <w:r>
        <w:rPr>
          <w:rFonts w:ascii="Helvetica" w:hAnsi="Helvetica"/>
          <w:color w:val="2D3748"/>
          <w:sz w:val="21"/>
        </w:rPr>
        <w:t>A paleta de cores da Vida Plena S.A. foi estrategicamente desenvolvida para refletir solidez, inovação tecnológica, modernidade e confiabilidade. A tabela abaixo especifica as cores primárias, secundárias e de apoio, juntamente com seus códigos de referência e aplicações recomendadas: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pPr>
              <w:jc w:val="left"/>
            </w:pPr>
            <w:r>
              <w:rPr>
                <w:rFonts w:ascii="Helvetica" w:hAnsi="Helvetica"/>
                <w:b/>
                <w:color w:val="FFFFFF"/>
                <w:sz w:val="19"/>
              </w:rPr>
              <w:t>Nome da Cor</w:t>
            </w:r>
          </w:p>
        </w:tc>
        <w:tc>
          <w:tcPr>
            <w:tcW w:type="dxa" w:w="2340"/>
            <w:shd w:fill="1B365D"/>
            <w:tcMar>
              <w:top w:w="120" w:type="dxa"/>
              <w:bottom w:w="120" w:type="dxa"/>
              <w:left w:w="150" w:type="dxa"/>
              <w:right w:w="150" w:type="dxa"/>
            </w:tcMar>
          </w:tcPr>
          <w:p>
            <w:pPr>
              <w:jc w:val="left"/>
            </w:pPr>
            <w:r>
              <w:rPr>
                <w:rFonts w:ascii="Helvetica" w:hAnsi="Helvetica"/>
                <w:b/>
                <w:color w:val="FFFFFF"/>
                <w:sz w:val="19"/>
              </w:rPr>
              <w:t>Código HEX</w:t>
            </w:r>
          </w:p>
        </w:tc>
        <w:tc>
          <w:tcPr>
            <w:tcW w:type="dxa" w:w="2340"/>
            <w:shd w:fill="1B365D"/>
            <w:tcMar>
              <w:top w:w="120" w:type="dxa"/>
              <w:bottom w:w="120" w:type="dxa"/>
              <w:left w:w="150" w:type="dxa"/>
              <w:right w:w="150" w:type="dxa"/>
            </w:tcMar>
          </w:tcPr>
          <w:p>
            <w:pPr>
              <w:jc w:val="left"/>
            </w:pPr>
            <w:r>
              <w:rPr>
                <w:rFonts w:ascii="Helvetica" w:hAnsi="Helvetica"/>
                <w:b/>
                <w:color w:val="FFFFFF"/>
                <w:sz w:val="19"/>
              </w:rPr>
              <w:t>Código RGB</w:t>
            </w:r>
          </w:p>
        </w:tc>
        <w:tc>
          <w:tcPr>
            <w:tcW w:type="dxa" w:w="2340"/>
            <w:shd w:fill="1B365D"/>
            <w:tcMar>
              <w:top w:w="120" w:type="dxa"/>
              <w:bottom w:w="120" w:type="dxa"/>
              <w:left w:w="150" w:type="dxa"/>
              <w:right w:w="150" w:type="dxa"/>
            </w:tcMar>
          </w:tcPr>
          <w:p>
            <w:pPr>
              <w:jc w:val="left"/>
            </w:pPr>
            <w:r>
              <w:rPr>
                <w:rFonts w:ascii="Helvetica" w:hAnsi="Helvetica"/>
                <w:b/>
                <w:color w:val="FFFFFF"/>
                <w:sz w:val="19"/>
              </w:rPr>
              <w:t>Aplicação Recomendada</w:t>
            </w:r>
          </w:p>
        </w:tc>
      </w:tr>
      <w:tr>
        <w:tc>
          <w:tcPr>
            <w:tcW w:type="dxa" w:w="2340"/>
            <w:shd w:fill="FFFFFF"/>
            <w:tcMar>
              <w:top w:w="100" w:type="dxa"/>
              <w:bottom w:w="100" w:type="dxa"/>
              <w:left w:w="150" w:type="dxa"/>
              <w:right w:w="150" w:type="dxa"/>
            </w:tcMar>
          </w:tcPr>
          <w:p>
            <w:pPr>
              <w:jc w:val="left"/>
            </w:pPr>
            <w:r>
              <w:rPr>
                <w:rFonts w:ascii="Helvetica" w:hAnsi="Helvetica"/>
                <w:color w:val="2D3748"/>
                <w:sz w:val="18"/>
              </w:rPr>
              <w:t>Azul Institucional (Marinho)</w:t>
            </w:r>
          </w:p>
        </w:tc>
        <w:tc>
          <w:tcPr>
            <w:tcW w:type="dxa" w:w="2340"/>
            <w:shd w:fill="FFFFFF"/>
            <w:tcMar>
              <w:top w:w="100" w:type="dxa"/>
              <w:bottom w:w="100" w:type="dxa"/>
              <w:left w:w="150" w:type="dxa"/>
              <w:right w:w="150" w:type="dxa"/>
            </w:tcMar>
          </w:tcPr>
          <w:p>
            <w:pPr>
              <w:jc w:val="left"/>
            </w:pPr>
            <w:r>
              <w:rPr>
                <w:rFonts w:ascii="Helvetica" w:hAnsi="Helvetica"/>
                <w:color w:val="2D3748"/>
                <w:sz w:val="18"/>
              </w:rPr>
              <w:t>#1B365D</w:t>
            </w:r>
          </w:p>
        </w:tc>
        <w:tc>
          <w:tcPr>
            <w:tcW w:type="dxa" w:w="2340"/>
            <w:shd w:fill="FFFFFF"/>
            <w:tcMar>
              <w:top w:w="100" w:type="dxa"/>
              <w:bottom w:w="100" w:type="dxa"/>
              <w:left w:w="150" w:type="dxa"/>
              <w:right w:w="150" w:type="dxa"/>
            </w:tcMar>
          </w:tcPr>
          <w:p>
            <w:pPr>
              <w:jc w:val="left"/>
            </w:pPr>
            <w:r>
              <w:rPr>
                <w:rFonts w:ascii="Helvetica" w:hAnsi="Helvetica"/>
                <w:color w:val="2D3748"/>
                <w:sz w:val="18"/>
              </w:rPr>
              <w:t>27, 54, 93</w:t>
            </w:r>
          </w:p>
        </w:tc>
        <w:tc>
          <w:tcPr>
            <w:tcW w:type="dxa" w:w="2340"/>
            <w:shd w:fill="FFFFFF"/>
            <w:tcMar>
              <w:top w:w="100" w:type="dxa"/>
              <w:bottom w:w="100" w:type="dxa"/>
              <w:left w:w="150" w:type="dxa"/>
              <w:right w:w="150" w:type="dxa"/>
            </w:tcMar>
          </w:tcPr>
          <w:p>
            <w:pPr>
              <w:jc w:val="left"/>
            </w:pPr>
            <w:r>
              <w:rPr>
                <w:rFonts w:ascii="Helvetica" w:hAnsi="Helvetica"/>
                <w:color w:val="2D3748"/>
                <w:sz w:val="18"/>
              </w:rPr>
              <w:t>Logotipos, títulos principais, elementos de destaque corporativo e fundos de capas.</w:t>
            </w:r>
          </w:p>
        </w:tc>
      </w:tr>
      <w:tr>
        <w:tc>
          <w:tcPr>
            <w:tcW w:type="dxa" w:w="2340"/>
            <w:shd w:fill="F7F9FA"/>
            <w:tcMar>
              <w:top w:w="100" w:type="dxa"/>
              <w:bottom w:w="100" w:type="dxa"/>
              <w:left w:w="150" w:type="dxa"/>
              <w:right w:w="150" w:type="dxa"/>
            </w:tcMar>
          </w:tcPr>
          <w:p>
            <w:pPr>
              <w:jc w:val="left"/>
            </w:pPr>
            <w:r>
              <w:rPr>
                <w:rFonts w:ascii="Helvetica" w:hAnsi="Helvetica"/>
                <w:color w:val="2D3748"/>
                <w:sz w:val="18"/>
              </w:rPr>
              <w:t>Azul Corporativo Secundário</w:t>
            </w:r>
          </w:p>
        </w:tc>
        <w:tc>
          <w:tcPr>
            <w:tcW w:type="dxa" w:w="2340"/>
            <w:shd w:fill="F7F9FA"/>
            <w:tcMar>
              <w:top w:w="100" w:type="dxa"/>
              <w:bottom w:w="100" w:type="dxa"/>
              <w:left w:w="150" w:type="dxa"/>
              <w:right w:w="150" w:type="dxa"/>
            </w:tcMar>
          </w:tcPr>
          <w:p>
            <w:pPr>
              <w:jc w:val="left"/>
            </w:pPr>
            <w:r>
              <w:rPr>
                <w:rFonts w:ascii="Helvetica" w:hAnsi="Helvetica"/>
                <w:color w:val="2D3748"/>
                <w:sz w:val="18"/>
              </w:rPr>
              <w:t>#2C5282</w:t>
            </w:r>
          </w:p>
        </w:tc>
        <w:tc>
          <w:tcPr>
            <w:tcW w:type="dxa" w:w="2340"/>
            <w:shd w:fill="F7F9FA"/>
            <w:tcMar>
              <w:top w:w="100" w:type="dxa"/>
              <w:bottom w:w="100" w:type="dxa"/>
              <w:left w:w="150" w:type="dxa"/>
              <w:right w:w="150" w:type="dxa"/>
            </w:tcMar>
          </w:tcPr>
          <w:p>
            <w:pPr>
              <w:jc w:val="left"/>
            </w:pPr>
            <w:r>
              <w:rPr>
                <w:rFonts w:ascii="Helvetica" w:hAnsi="Helvetica"/>
                <w:color w:val="2D3748"/>
                <w:sz w:val="18"/>
              </w:rPr>
              <w:t>44, 82, 130</w:t>
            </w:r>
          </w:p>
        </w:tc>
        <w:tc>
          <w:tcPr>
            <w:tcW w:type="dxa" w:w="2340"/>
            <w:shd w:fill="F7F9FA"/>
            <w:tcMar>
              <w:top w:w="100" w:type="dxa"/>
              <w:bottom w:w="100" w:type="dxa"/>
              <w:left w:w="150" w:type="dxa"/>
              <w:right w:w="150" w:type="dxa"/>
            </w:tcMar>
          </w:tcPr>
          <w:p>
            <w:pPr>
              <w:jc w:val="left"/>
            </w:pPr>
            <w:r>
              <w:rPr>
                <w:rFonts w:ascii="Helvetica" w:hAnsi="Helvetica"/>
                <w:color w:val="2D3748"/>
                <w:sz w:val="18"/>
              </w:rPr>
              <w:t>Subtítulos, ícones principais, botões de ação e tabelas institucionais.</w:t>
            </w:r>
          </w:p>
        </w:tc>
      </w:tr>
      <w:tr>
        <w:tc>
          <w:tcPr>
            <w:tcW w:type="dxa" w:w="2340"/>
            <w:shd w:fill="FFFFFF"/>
            <w:tcMar>
              <w:top w:w="100" w:type="dxa"/>
              <w:bottom w:w="100" w:type="dxa"/>
              <w:left w:w="150" w:type="dxa"/>
              <w:right w:w="150" w:type="dxa"/>
            </w:tcMar>
          </w:tcPr>
          <w:p>
            <w:pPr>
              <w:jc w:val="left"/>
            </w:pPr>
            <w:r>
              <w:rPr>
                <w:rFonts w:ascii="Helvetica" w:hAnsi="Helvetica"/>
                <w:color w:val="2D3748"/>
                <w:sz w:val="18"/>
              </w:rPr>
              <w:t>Cinza Chumbo (Texto)</w:t>
            </w:r>
          </w:p>
        </w:tc>
        <w:tc>
          <w:tcPr>
            <w:tcW w:type="dxa" w:w="2340"/>
            <w:shd w:fill="FFFFFF"/>
            <w:tcMar>
              <w:top w:w="100" w:type="dxa"/>
              <w:bottom w:w="100" w:type="dxa"/>
              <w:left w:w="150" w:type="dxa"/>
              <w:right w:w="150" w:type="dxa"/>
            </w:tcMar>
          </w:tcPr>
          <w:p>
            <w:pPr>
              <w:jc w:val="left"/>
            </w:pPr>
            <w:r>
              <w:rPr>
                <w:rFonts w:ascii="Helvetica" w:hAnsi="Helvetica"/>
                <w:color w:val="2D3748"/>
                <w:sz w:val="18"/>
              </w:rPr>
              <w:t>#2D3748</w:t>
            </w:r>
          </w:p>
        </w:tc>
        <w:tc>
          <w:tcPr>
            <w:tcW w:type="dxa" w:w="2340"/>
            <w:shd w:fill="FFFFFF"/>
            <w:tcMar>
              <w:top w:w="100" w:type="dxa"/>
              <w:bottom w:w="100" w:type="dxa"/>
              <w:left w:w="150" w:type="dxa"/>
              <w:right w:w="150" w:type="dxa"/>
            </w:tcMar>
          </w:tcPr>
          <w:p>
            <w:pPr>
              <w:jc w:val="left"/>
            </w:pPr>
            <w:r>
              <w:rPr>
                <w:rFonts w:ascii="Helvetica" w:hAnsi="Helvetica"/>
                <w:color w:val="2D3748"/>
                <w:sz w:val="18"/>
              </w:rPr>
              <w:t>45, 55, 72</w:t>
            </w:r>
          </w:p>
        </w:tc>
        <w:tc>
          <w:tcPr>
            <w:tcW w:type="dxa" w:w="2340"/>
            <w:shd w:fill="FFFFFF"/>
            <w:tcMar>
              <w:top w:w="100" w:type="dxa"/>
              <w:bottom w:w="100" w:type="dxa"/>
              <w:left w:w="150" w:type="dxa"/>
              <w:right w:w="150" w:type="dxa"/>
            </w:tcMar>
          </w:tcPr>
          <w:p>
            <w:pPr>
              <w:jc w:val="left"/>
            </w:pPr>
            <w:r>
              <w:rPr>
                <w:rFonts w:ascii="Helvetica" w:hAnsi="Helvetica"/>
                <w:color w:val="2D3748"/>
                <w:sz w:val="18"/>
              </w:rPr>
              <w:t>Cor padrão para textos correntes, parágrafos e leituras extensas.</w:t>
            </w:r>
          </w:p>
        </w:tc>
      </w:tr>
      <w:tr>
        <w:tc>
          <w:tcPr>
            <w:tcW w:type="dxa" w:w="2340"/>
            <w:shd w:fill="F7F9FA"/>
            <w:tcMar>
              <w:top w:w="100" w:type="dxa"/>
              <w:bottom w:w="100" w:type="dxa"/>
              <w:left w:w="150" w:type="dxa"/>
              <w:right w:w="150" w:type="dxa"/>
            </w:tcMar>
          </w:tcPr>
          <w:p>
            <w:pPr>
              <w:jc w:val="left"/>
            </w:pPr>
            <w:r>
              <w:rPr>
                <w:rFonts w:ascii="Helvetica" w:hAnsi="Helvetica"/>
                <w:color w:val="2D3748"/>
                <w:sz w:val="18"/>
              </w:rPr>
              <w:t>Cinza Suave (Fundo)</w:t>
            </w:r>
          </w:p>
        </w:tc>
        <w:tc>
          <w:tcPr>
            <w:tcW w:type="dxa" w:w="2340"/>
            <w:shd w:fill="F7F9FA"/>
            <w:tcMar>
              <w:top w:w="100" w:type="dxa"/>
              <w:bottom w:w="100" w:type="dxa"/>
              <w:left w:w="150" w:type="dxa"/>
              <w:right w:w="150" w:type="dxa"/>
            </w:tcMar>
          </w:tcPr>
          <w:p>
            <w:pPr>
              <w:jc w:val="left"/>
            </w:pPr>
            <w:r>
              <w:rPr>
                <w:rFonts w:ascii="Helvetica" w:hAnsi="Helvetica"/>
                <w:color w:val="2D3748"/>
                <w:sz w:val="18"/>
              </w:rPr>
              <w:t>#F7F9FA</w:t>
            </w:r>
          </w:p>
        </w:tc>
        <w:tc>
          <w:tcPr>
            <w:tcW w:type="dxa" w:w="2340"/>
            <w:shd w:fill="F7F9FA"/>
            <w:tcMar>
              <w:top w:w="100" w:type="dxa"/>
              <w:bottom w:w="100" w:type="dxa"/>
              <w:left w:w="150" w:type="dxa"/>
              <w:right w:w="150" w:type="dxa"/>
            </w:tcMar>
          </w:tcPr>
          <w:p>
            <w:pPr>
              <w:jc w:val="left"/>
            </w:pPr>
            <w:r>
              <w:rPr>
                <w:rFonts w:ascii="Helvetica" w:hAnsi="Helvetica"/>
                <w:color w:val="2D3748"/>
                <w:sz w:val="18"/>
              </w:rPr>
              <w:t>247, 249, 250</w:t>
            </w:r>
          </w:p>
        </w:tc>
        <w:tc>
          <w:tcPr>
            <w:tcW w:type="dxa" w:w="2340"/>
            <w:shd w:fill="F7F9FA"/>
            <w:tcMar>
              <w:top w:w="100" w:type="dxa"/>
              <w:bottom w:w="100" w:type="dxa"/>
              <w:left w:w="150" w:type="dxa"/>
              <w:right w:w="150" w:type="dxa"/>
            </w:tcMar>
          </w:tcPr>
          <w:p>
            <w:pPr>
              <w:jc w:val="left"/>
            </w:pPr>
            <w:r>
              <w:rPr>
                <w:rFonts w:ascii="Helvetica" w:hAnsi="Helvetica"/>
                <w:color w:val="2D3748"/>
                <w:sz w:val="18"/>
              </w:rPr>
              <w:t>Fundos de páginas, caixas de destaque leve e divisões de seções.</w:t>
            </w:r>
          </w:p>
        </w:tc>
      </w:tr>
      <w:tr>
        <w:tc>
          <w:tcPr>
            <w:tcW w:type="dxa" w:w="2340"/>
            <w:shd w:fill="FFFFFF"/>
            <w:tcMar>
              <w:top w:w="100" w:type="dxa"/>
              <w:bottom w:w="100" w:type="dxa"/>
              <w:left w:w="150" w:type="dxa"/>
              <w:right w:w="150" w:type="dxa"/>
            </w:tcMar>
          </w:tcPr>
          <w:p>
            <w:pPr>
              <w:jc w:val="left"/>
            </w:pPr>
            <w:r>
              <w:rPr>
                <w:rFonts w:ascii="Helvetica" w:hAnsi="Helvetica"/>
                <w:color w:val="2D3748"/>
                <w:sz w:val="18"/>
              </w:rPr>
              <w:t>Azul Celeste (Apoio)</w:t>
            </w:r>
          </w:p>
        </w:tc>
        <w:tc>
          <w:tcPr>
            <w:tcW w:type="dxa" w:w="2340"/>
            <w:shd w:fill="FFFFFF"/>
            <w:tcMar>
              <w:top w:w="100" w:type="dxa"/>
              <w:bottom w:w="100" w:type="dxa"/>
              <w:left w:w="150" w:type="dxa"/>
              <w:right w:w="150" w:type="dxa"/>
            </w:tcMar>
          </w:tcPr>
          <w:p>
            <w:pPr>
              <w:jc w:val="left"/>
            </w:pPr>
            <w:r>
              <w:rPr>
                <w:rFonts w:ascii="Helvetica" w:hAnsi="Helvetica"/>
                <w:color w:val="2D3748"/>
                <w:sz w:val="18"/>
              </w:rPr>
              <w:t>#90CDF4</w:t>
            </w:r>
          </w:p>
        </w:tc>
        <w:tc>
          <w:tcPr>
            <w:tcW w:type="dxa" w:w="2340"/>
            <w:shd w:fill="FFFFFF"/>
            <w:tcMar>
              <w:top w:w="100" w:type="dxa"/>
              <w:bottom w:w="100" w:type="dxa"/>
              <w:left w:w="150" w:type="dxa"/>
              <w:right w:w="150" w:type="dxa"/>
            </w:tcMar>
          </w:tcPr>
          <w:p>
            <w:pPr>
              <w:jc w:val="left"/>
            </w:pPr>
            <w:r>
              <w:rPr>
                <w:rFonts w:ascii="Helvetica" w:hAnsi="Helvetica"/>
                <w:color w:val="2D3748"/>
                <w:sz w:val="18"/>
              </w:rPr>
              <w:t>144, 205, 244</w:t>
            </w:r>
          </w:p>
        </w:tc>
        <w:tc>
          <w:tcPr>
            <w:tcW w:type="dxa" w:w="2340"/>
            <w:shd w:fill="FFFFFF"/>
            <w:tcMar>
              <w:top w:w="100" w:type="dxa"/>
              <w:bottom w:w="100" w:type="dxa"/>
              <w:left w:w="150" w:type="dxa"/>
              <w:right w:w="150" w:type="dxa"/>
            </w:tcMar>
          </w:tcPr>
          <w:p>
            <w:pPr>
              <w:jc w:val="left"/>
            </w:pPr>
            <w:r>
              <w:rPr>
                <w:rFonts w:ascii="Helvetica" w:hAnsi="Helvetica"/>
                <w:color w:val="2D3748"/>
                <w:sz w:val="18"/>
              </w:rPr>
              <w:t>Destaques visuais secundários, gráficos estatísticos e infográficos.</w:t>
            </w:r>
          </w:p>
        </w:tc>
      </w:tr>
      <w:tr>
        <w:tc>
          <w:tcPr>
            <w:tcW w:type="dxa" w:w="2340"/>
            <w:shd w:fill="F7F9FA"/>
            <w:tcMar>
              <w:top w:w="100" w:type="dxa"/>
              <w:bottom w:w="100" w:type="dxa"/>
              <w:left w:w="150" w:type="dxa"/>
              <w:right w:w="150" w:type="dxa"/>
            </w:tcMar>
          </w:tcPr>
          <w:p>
            <w:pPr>
              <w:jc w:val="left"/>
            </w:pPr>
            <w:r>
              <w:rPr>
                <w:rFonts w:ascii="Helvetica" w:hAnsi="Helvetica"/>
                <w:color w:val="2D3748"/>
                <w:sz w:val="18"/>
              </w:rPr>
              <w:t>Branco Absoluto</w:t>
            </w:r>
          </w:p>
        </w:tc>
        <w:tc>
          <w:tcPr>
            <w:tcW w:type="dxa" w:w="2340"/>
            <w:shd w:fill="F7F9FA"/>
            <w:tcMar>
              <w:top w:w="100" w:type="dxa"/>
              <w:bottom w:w="100" w:type="dxa"/>
              <w:left w:w="150" w:type="dxa"/>
              <w:right w:w="150" w:type="dxa"/>
            </w:tcMar>
          </w:tcPr>
          <w:p>
            <w:pPr>
              <w:jc w:val="left"/>
            </w:pPr>
            <w:r>
              <w:rPr>
                <w:rFonts w:ascii="Helvetica" w:hAnsi="Helvetica"/>
                <w:color w:val="2D3748"/>
                <w:sz w:val="18"/>
              </w:rPr>
              <w:t>#FFFFFF</w:t>
            </w:r>
          </w:p>
        </w:tc>
        <w:tc>
          <w:tcPr>
            <w:tcW w:type="dxa" w:w="2340"/>
            <w:shd w:fill="F7F9FA"/>
            <w:tcMar>
              <w:top w:w="100" w:type="dxa"/>
              <w:bottom w:w="100" w:type="dxa"/>
              <w:left w:w="150" w:type="dxa"/>
              <w:right w:w="150" w:type="dxa"/>
            </w:tcMar>
          </w:tcPr>
          <w:p>
            <w:pPr>
              <w:jc w:val="left"/>
            </w:pPr>
            <w:r>
              <w:rPr>
                <w:rFonts w:ascii="Helvetica" w:hAnsi="Helvetica"/>
                <w:color w:val="2D3748"/>
                <w:sz w:val="18"/>
              </w:rPr>
              <w:t>255, 255, 255</w:t>
            </w:r>
          </w:p>
        </w:tc>
        <w:tc>
          <w:tcPr>
            <w:tcW w:type="dxa" w:w="2340"/>
            <w:shd w:fill="F7F9FA"/>
            <w:tcMar>
              <w:top w:w="100" w:type="dxa"/>
              <w:bottom w:w="100" w:type="dxa"/>
              <w:left w:w="150" w:type="dxa"/>
              <w:right w:w="150" w:type="dxa"/>
            </w:tcMar>
          </w:tcPr>
          <w:p>
            <w:pPr>
              <w:jc w:val="left"/>
            </w:pPr>
            <w:r>
              <w:rPr>
                <w:rFonts w:ascii="Helvetica" w:hAnsi="Helvetica"/>
                <w:color w:val="2D3748"/>
                <w:sz w:val="18"/>
              </w:rPr>
              <w:t>Fundo principal de documentos, margens limpas e contraste tipográfico.</w:t>
            </w:r>
          </w:p>
        </w:tc>
      </w:tr>
    </w:tbl>
    <w:p>
      <w:pPr>
        <w:spacing w:after="120"/>
      </w:pPr>
    </w:p>
    <w:p>
      <w:pPr>
        <w:keepNext/>
        <w:spacing w:before="360" w:after="120"/>
      </w:pPr>
      <w:r>
        <w:rPr>
          <w:rFonts w:ascii="Helvetica" w:hAnsi="Helvetica"/>
          <w:b/>
          <w:color w:val="1B365D"/>
          <w:sz w:val="32"/>
        </w:rPr>
        <w:t>4. Tipografia Institucional</w:t>
      </w:r>
    </w:p>
    <w:p>
      <w:pPr>
        <w:spacing w:before="0" w:after="120" w:line="276" w:lineRule="auto"/>
      </w:pPr>
      <w:r>
        <w:rPr>
          <w:rFonts w:ascii="Helvetica" w:hAnsi="Helvetica"/>
          <w:color w:val="2D3748"/>
          <w:sz w:val="21"/>
        </w:rPr>
        <w:t>A tipografia é um elemento vital para garantir a clareza textual e a harmonia visual dos documentos corporativos da Vida Plena S.A. A família tipográfica oficial adotada é a Helvetica para mídias digitais e impressas corporativas.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20" w:type="dxa"/>
              <w:bottom w:w="120" w:type="dxa"/>
              <w:left w:w="150" w:type="dxa"/>
              <w:right w:w="150" w:type="dxa"/>
            </w:tcMar>
          </w:tcPr>
          <w:p>
            <w:r>
              <w:rPr>
                <w:rFonts w:ascii="Helvetica" w:hAnsi="Helvetica"/>
                <w:b/>
                <w:color w:val="FFFFFF"/>
                <w:sz w:val="19"/>
              </w:rPr>
              <w:t>Elemento Tipográfico</w:t>
            </w:r>
          </w:p>
        </w:tc>
        <w:tc>
          <w:tcPr>
            <w:tcW w:type="dxa" w:w="3120"/>
            <w:shd w:fill="1B365D"/>
            <w:tcMar>
              <w:top w:w="120" w:type="dxa"/>
              <w:bottom w:w="120" w:type="dxa"/>
              <w:left w:w="150" w:type="dxa"/>
              <w:right w:w="150" w:type="dxa"/>
            </w:tcMar>
          </w:tcPr>
          <w:p>
            <w:r>
              <w:rPr>
                <w:rFonts w:ascii="Helvetica" w:hAnsi="Helvetica"/>
                <w:b/>
                <w:color w:val="FFFFFF"/>
                <w:sz w:val="19"/>
              </w:rPr>
              <w:t>Família / Peso</w:t>
            </w:r>
          </w:p>
        </w:tc>
        <w:tc>
          <w:tcPr>
            <w:tcW w:type="dxa" w:w="3120"/>
            <w:shd w:fill="1B365D"/>
            <w:tcMar>
              <w:top w:w="120" w:type="dxa"/>
              <w:bottom w:w="120" w:type="dxa"/>
              <w:left w:w="150" w:type="dxa"/>
              <w:right w:w="150" w:type="dxa"/>
            </w:tcMar>
          </w:tcPr>
          <w:p>
            <w:r>
              <w:rPr>
                <w:rFonts w:ascii="Helvetica" w:hAnsi="Helvetica"/>
                <w:b/>
                <w:color w:val="FFFFFF"/>
                <w:sz w:val="19"/>
              </w:rPr>
              <w:t>Diretriz de Uso</w:t>
            </w:r>
          </w:p>
        </w:tc>
      </w:tr>
      <w:tr>
        <w:tc>
          <w:tcPr>
            <w:tcW w:type="dxa" w:w="3120"/>
            <w:shd w:fill="FFFFFF"/>
            <w:tcMar>
              <w:top w:w="100" w:type="dxa"/>
              <w:bottom w:w="100" w:type="dxa"/>
              <w:left w:w="150" w:type="dxa"/>
              <w:right w:w="150" w:type="dxa"/>
            </w:tcMar>
          </w:tcPr>
          <w:p>
            <w:r>
              <w:rPr>
                <w:rFonts w:ascii="Helvetica" w:hAnsi="Helvetica"/>
                <w:color w:val="2D3748"/>
                <w:sz w:val="18"/>
              </w:rPr>
              <w:t>Fonte Principal (Corpo)</w:t>
            </w:r>
          </w:p>
        </w:tc>
        <w:tc>
          <w:tcPr>
            <w:tcW w:type="dxa" w:w="3120"/>
            <w:shd w:fill="FFFFFF"/>
            <w:tcMar>
              <w:top w:w="100" w:type="dxa"/>
              <w:bottom w:w="100" w:type="dxa"/>
              <w:left w:w="150" w:type="dxa"/>
              <w:right w:w="150" w:type="dxa"/>
            </w:tcMar>
          </w:tcPr>
          <w:p>
            <w:r>
              <w:rPr>
                <w:rFonts w:ascii="Helvetica" w:hAnsi="Helvetica"/>
                <w:color w:val="2D3748"/>
                <w:sz w:val="18"/>
              </w:rPr>
              <w:t>Helvetica Regular (10 - 11 pt)</w:t>
            </w:r>
          </w:p>
        </w:tc>
        <w:tc>
          <w:tcPr>
            <w:tcW w:type="dxa" w:w="3120"/>
            <w:shd w:fill="FFFFFF"/>
            <w:tcMar>
              <w:top w:w="100" w:type="dxa"/>
              <w:bottom w:w="100" w:type="dxa"/>
              <w:left w:w="150" w:type="dxa"/>
              <w:right w:w="150" w:type="dxa"/>
            </w:tcMar>
          </w:tcPr>
          <w:p>
            <w:r>
              <w:rPr>
                <w:rFonts w:ascii="Helvetica" w:hAnsi="Helvetica"/>
                <w:color w:val="2D3748"/>
                <w:sz w:val="18"/>
              </w:rPr>
              <w:t>Utilizada em parágrafos, e-mails corporativos, relatórios e documentações técnicas.</w:t>
            </w:r>
          </w:p>
        </w:tc>
      </w:tr>
      <w:tr>
        <w:tc>
          <w:tcPr>
            <w:tcW w:type="dxa" w:w="3120"/>
            <w:shd w:fill="F7F9FA"/>
            <w:tcMar>
              <w:top w:w="100" w:type="dxa"/>
              <w:bottom w:w="100" w:type="dxa"/>
              <w:left w:w="150" w:type="dxa"/>
              <w:right w:w="150" w:type="dxa"/>
            </w:tcMar>
          </w:tcPr>
          <w:p>
            <w:r>
              <w:rPr>
                <w:rFonts w:ascii="Helvetica" w:hAnsi="Helvetica"/>
                <w:color w:val="2D3748"/>
                <w:sz w:val="18"/>
              </w:rPr>
              <w:t>Fonte Secundária (Títulos)</w:t>
            </w:r>
          </w:p>
        </w:tc>
        <w:tc>
          <w:tcPr>
            <w:tcW w:type="dxa" w:w="3120"/>
            <w:shd w:fill="F7F9FA"/>
            <w:tcMar>
              <w:top w:w="100" w:type="dxa"/>
              <w:bottom w:w="100" w:type="dxa"/>
              <w:left w:w="150" w:type="dxa"/>
              <w:right w:w="150" w:type="dxa"/>
            </w:tcMar>
          </w:tcPr>
          <w:p>
            <w:r>
              <w:rPr>
                <w:rFonts w:ascii="Helvetica" w:hAnsi="Helvetica"/>
                <w:color w:val="2D3748"/>
                <w:sz w:val="18"/>
              </w:rPr>
              <w:t>Helvetica Bold (13 - 16 pt)</w:t>
            </w:r>
          </w:p>
        </w:tc>
        <w:tc>
          <w:tcPr>
            <w:tcW w:type="dxa" w:w="3120"/>
            <w:shd w:fill="F7F9FA"/>
            <w:tcMar>
              <w:top w:w="100" w:type="dxa"/>
              <w:bottom w:w="100" w:type="dxa"/>
              <w:left w:w="150" w:type="dxa"/>
              <w:right w:w="150" w:type="dxa"/>
            </w:tcMar>
          </w:tcPr>
          <w:p>
            <w:r>
              <w:rPr>
                <w:rFonts w:ascii="Helvetica" w:hAnsi="Helvetica"/>
                <w:color w:val="2D3748"/>
                <w:sz w:val="18"/>
              </w:rPr>
              <w:t>Utilizada em títulos de seções, cabeçalhos de tabelas e chamadas de destaque.</w:t>
            </w:r>
          </w:p>
        </w:tc>
      </w:tr>
      <w:tr>
        <w:tc>
          <w:tcPr>
            <w:tcW w:type="dxa" w:w="3120"/>
            <w:shd w:fill="FFFFFF"/>
            <w:tcMar>
              <w:top w:w="100" w:type="dxa"/>
              <w:bottom w:w="100" w:type="dxa"/>
              <w:left w:w="150" w:type="dxa"/>
              <w:right w:w="150" w:type="dxa"/>
            </w:tcMar>
          </w:tcPr>
          <w:p>
            <w:r>
              <w:rPr>
                <w:rFonts w:ascii="Helvetica" w:hAnsi="Helvetica"/>
                <w:color w:val="2D3748"/>
                <w:sz w:val="18"/>
              </w:rPr>
              <w:t>Hierarquia de Títulos (H1)</w:t>
            </w:r>
          </w:p>
        </w:tc>
        <w:tc>
          <w:tcPr>
            <w:tcW w:type="dxa" w:w="3120"/>
            <w:shd w:fill="FFFFFF"/>
            <w:tcMar>
              <w:top w:w="100" w:type="dxa"/>
              <w:bottom w:w="100" w:type="dxa"/>
              <w:left w:w="150" w:type="dxa"/>
              <w:right w:w="150" w:type="dxa"/>
            </w:tcMar>
          </w:tcPr>
          <w:p>
            <w:r>
              <w:rPr>
                <w:rFonts w:ascii="Helvetica" w:hAnsi="Helvetica"/>
                <w:color w:val="2D3748"/>
                <w:sz w:val="18"/>
              </w:rPr>
              <w:t>Helvetica Bold (18 - 22 pt)</w:t>
            </w:r>
          </w:p>
        </w:tc>
        <w:tc>
          <w:tcPr>
            <w:tcW w:type="dxa" w:w="3120"/>
            <w:shd w:fill="FFFFFF"/>
            <w:tcMar>
              <w:top w:w="100" w:type="dxa"/>
              <w:bottom w:w="100" w:type="dxa"/>
              <w:left w:w="150" w:type="dxa"/>
              <w:right w:w="150" w:type="dxa"/>
            </w:tcMar>
          </w:tcPr>
          <w:p>
            <w:r>
              <w:rPr>
                <w:rFonts w:ascii="Helvetica" w:hAnsi="Helvetica"/>
                <w:color w:val="2D3748"/>
                <w:sz w:val="18"/>
              </w:rPr>
              <w:t>Reservada exclusivamente para títulos principais de documentos, capas e manuais normativos.</w:t>
            </w:r>
          </w:p>
        </w:tc>
      </w:tr>
      <w:tr>
        <w:tc>
          <w:tcPr>
            <w:tcW w:type="dxa" w:w="3120"/>
            <w:shd w:fill="F7F9FA"/>
            <w:tcMar>
              <w:top w:w="100" w:type="dxa"/>
              <w:bottom w:w="100" w:type="dxa"/>
              <w:left w:w="150" w:type="dxa"/>
              <w:right w:w="150" w:type="dxa"/>
            </w:tcMar>
          </w:tcPr>
          <w:p>
            <w:r>
              <w:rPr>
                <w:rFonts w:ascii="Helvetica" w:hAnsi="Helvetica"/>
                <w:color w:val="2D3748"/>
                <w:sz w:val="18"/>
              </w:rPr>
              <w:t>Hierarquia de Textos</w:t>
            </w:r>
          </w:p>
        </w:tc>
        <w:tc>
          <w:tcPr>
            <w:tcW w:type="dxa" w:w="3120"/>
            <w:shd w:fill="F7F9FA"/>
            <w:tcMar>
              <w:top w:w="100" w:type="dxa"/>
              <w:bottom w:w="100" w:type="dxa"/>
              <w:left w:w="150" w:type="dxa"/>
              <w:right w:w="150" w:type="dxa"/>
            </w:tcMar>
          </w:tcPr>
          <w:p>
            <w:r>
              <w:rPr>
                <w:rFonts w:ascii="Helvetica" w:hAnsi="Helvetica"/>
                <w:color w:val="2D3748"/>
                <w:sz w:val="18"/>
              </w:rPr>
              <w:t>Line-spacing 1.15 / Justificado</w:t>
            </w:r>
          </w:p>
        </w:tc>
        <w:tc>
          <w:tcPr>
            <w:tcW w:type="dxa" w:w="3120"/>
            <w:shd w:fill="F7F9FA"/>
            <w:tcMar>
              <w:top w:w="100" w:type="dxa"/>
              <w:bottom w:w="100" w:type="dxa"/>
              <w:left w:w="150" w:type="dxa"/>
              <w:right w:w="150" w:type="dxa"/>
            </w:tcMar>
          </w:tcPr>
          <w:p>
            <w:r>
              <w:rPr>
                <w:rFonts w:ascii="Helvetica" w:hAnsi="Helvetica"/>
                <w:color w:val="2D3748"/>
                <w:sz w:val="18"/>
              </w:rPr>
              <w:t>Garante legibilidade fluida e organização visual padronizada em todos os comunicados.</w:t>
            </w:r>
          </w:p>
        </w:tc>
      </w:tr>
    </w:tbl>
    <w:p>
      <w:pPr>
        <w:spacing w:after="120"/>
      </w:pPr>
    </w:p>
    <w:p>
      <w:pPr>
        <w:keepNext/>
        <w:spacing w:before="360" w:after="120"/>
      </w:pPr>
      <w:r>
        <w:rPr>
          <w:rFonts w:ascii="Helvetica" w:hAnsi="Helvetica"/>
          <w:b/>
          <w:color w:val="1B365D"/>
          <w:sz w:val="32"/>
        </w:rPr>
        <w:t>5. Elementos Visuais</w:t>
      </w:r>
    </w:p>
    <w:p>
      <w:pPr>
        <w:spacing w:before="0" w:after="120" w:line="276" w:lineRule="auto"/>
      </w:pPr>
      <w:r>
        <w:rPr>
          <w:rFonts w:ascii="Helvetica" w:hAnsi="Helvetica"/>
          <w:color w:val="2D3748"/>
          <w:sz w:val="21"/>
        </w:rPr>
        <w:t>Os elementos visuais complementam a identidade corporativa, conferindo dinamismo e organização às peças de comunicação geradas pelos colaboradores e áreas de suporte:</w:t>
      </w:r>
    </w:p>
    <w:p>
      <w:pPr>
        <w:pStyle w:val="ListBullet"/>
        <w:spacing w:before="0" w:after="60" w:line="276" w:lineRule="auto"/>
      </w:pPr>
      <w:r>
        <w:rPr>
          <w:rFonts w:ascii="Helvetica" w:hAnsi="Helvetica"/>
          <w:b/>
          <w:color w:val="1B365D"/>
          <w:sz w:val="21"/>
        </w:rPr>
        <w:t xml:space="preserve">Ícones: </w:t>
      </w:r>
      <w:r>
        <w:rPr>
          <w:rFonts w:ascii="Helvetica" w:hAnsi="Helvetica"/>
          <w:color w:val="2D3748"/>
          <w:sz w:val="21"/>
        </w:rPr>
        <w:t>Devem ser minimalistas, baseados em traços limpos (line-icons) com espessura uniforme, obrigatoriamente utilizando as cores Azul Marinho ou Azul Corporativo Secundário.</w:t>
      </w:r>
    </w:p>
    <w:p>
      <w:pPr>
        <w:pStyle w:val="ListBullet"/>
        <w:spacing w:before="0" w:after="60" w:line="276" w:lineRule="auto"/>
      </w:pPr>
      <w:r>
        <w:rPr>
          <w:rFonts w:ascii="Helvetica" w:hAnsi="Helvetica"/>
          <w:b/>
          <w:color w:val="1B365D"/>
          <w:sz w:val="21"/>
        </w:rPr>
        <w:t xml:space="preserve">Ilustrações: </w:t>
      </w:r>
      <w:r>
        <w:rPr>
          <w:rFonts w:ascii="Helvetica" w:hAnsi="Helvetica"/>
          <w:color w:val="2D3748"/>
          <w:sz w:val="21"/>
        </w:rPr>
        <w:t>Devem seguir o estilo vetorial corporativo, priorizando conceitos de tecnologia, conectividade, colaboração e diversidade, evitando traços infantis ou excesso de cores berrantes.</w:t>
      </w:r>
    </w:p>
    <w:p>
      <w:pPr>
        <w:pStyle w:val="ListBullet"/>
        <w:spacing w:before="0" w:after="60" w:line="276" w:lineRule="auto"/>
      </w:pPr>
      <w:r>
        <w:rPr>
          <w:rFonts w:ascii="Helvetica" w:hAnsi="Helvetica"/>
          <w:b/>
          <w:color w:val="1B365D"/>
          <w:sz w:val="21"/>
        </w:rPr>
        <w:t xml:space="preserve">Fotografias: </w:t>
      </w:r>
      <w:r>
        <w:rPr>
          <w:rFonts w:ascii="Helvetica" w:hAnsi="Helvetica"/>
          <w:color w:val="2D3748"/>
          <w:sz w:val="21"/>
        </w:rPr>
        <w:t>Devem retratar ambientes de trabalho reais da sede em São Paulo ou equipes em modelo híbrido, focando na naturalidade, expressão profissional, iluminação clara e diversidade.</w:t>
      </w:r>
    </w:p>
    <w:p>
      <w:pPr>
        <w:pStyle w:val="ListBullet"/>
        <w:spacing w:before="0" w:after="60" w:line="276" w:lineRule="auto"/>
      </w:pPr>
      <w:r>
        <w:rPr>
          <w:rFonts w:ascii="Helvetica" w:hAnsi="Helvetica"/>
          <w:b/>
          <w:color w:val="1B365D"/>
          <w:sz w:val="21"/>
        </w:rPr>
        <w:t xml:space="preserve">Elementos Gráficos: </w:t>
      </w:r>
      <w:r>
        <w:rPr>
          <w:rFonts w:ascii="Helvetica" w:hAnsi="Helvetica"/>
          <w:color w:val="2D3748"/>
          <w:sz w:val="21"/>
        </w:rPr>
        <w:t>Uso restrito de linhas divisórias discretas em cinza claro e caixas de destaque com fundo sutil para compartimentar informações relevantes.</w:t>
      </w:r>
    </w:p>
    <w:p>
      <w:pPr>
        <w:pStyle w:val="ListBullet"/>
        <w:spacing w:before="0" w:after="60" w:line="276" w:lineRule="auto"/>
      </w:pPr>
      <w:r>
        <w:rPr>
          <w:rFonts w:ascii="Helvetica" w:hAnsi="Helvetica"/>
          <w:b/>
          <w:color w:val="1B365D"/>
          <w:sz w:val="21"/>
        </w:rPr>
        <w:t xml:space="preserve">Espaçamentos e Alinhamentos: </w:t>
      </w:r>
      <w:r>
        <w:rPr>
          <w:rFonts w:ascii="Helvetica" w:hAnsi="Helvetica"/>
          <w:color w:val="2D3748"/>
          <w:sz w:val="21"/>
        </w:rPr>
        <w:t>Respeitar rigorosamente margens uniformes (mínimo de 1 polegada) e alinhamento justificado em textos normativos para manter o padrão corporativo formal.</w:t>
      </w:r>
    </w:p>
    <w:p>
      <w:pPr>
        <w:keepNext/>
        <w:spacing w:before="360" w:after="120"/>
      </w:pPr>
      <w:r>
        <w:rPr>
          <w:rFonts w:ascii="Helvetica" w:hAnsi="Helvetica"/>
          <w:b/>
          <w:color w:val="1B365D"/>
          <w:sz w:val="32"/>
        </w:rPr>
        <w:t>6. Materiais Institucionais</w:t>
      </w:r>
    </w:p>
    <w:p>
      <w:pPr>
        <w:spacing w:before="0" w:after="120" w:line="276" w:lineRule="auto"/>
      </w:pPr>
      <w:r>
        <w:rPr>
          <w:rFonts w:ascii="Helvetica" w:hAnsi="Helvetica"/>
          <w:color w:val="2D3748"/>
          <w:sz w:val="21"/>
        </w:rPr>
        <w:t>Para assegurar a padronização e a consistência visual em todas as interações da Vida Plena S.A., foram desenvolvidos templates oficiais para os principais suportes de comunicação corporativa:</w:t>
      </w:r>
    </w:p>
    <w:p>
      <w:pPr>
        <w:pStyle w:val="ListBullet"/>
        <w:spacing w:before="0" w:after="60" w:line="276" w:lineRule="auto"/>
      </w:pPr>
      <w:r>
        <w:rPr>
          <w:rFonts w:ascii="Helvetica" w:hAnsi="Helvetica"/>
          <w:b/>
          <w:color w:val="1B365D"/>
          <w:sz w:val="21"/>
        </w:rPr>
        <w:t xml:space="preserve">Apresentações: </w:t>
      </w:r>
      <w:r>
        <w:rPr>
          <w:rFonts w:ascii="Helvetica" w:hAnsi="Helvetica"/>
          <w:color w:val="2D3748"/>
          <w:sz w:val="21"/>
        </w:rPr>
        <w:t>Utilizar obrigatoriamente o template corporativo em widescreen (16:9) disponível na Intranet, contendo capa em Azul Marinho, tipografia padronizada e rodapé institucional.</w:t>
      </w:r>
    </w:p>
    <w:p>
      <w:pPr>
        <w:pStyle w:val="ListBullet"/>
        <w:spacing w:before="0" w:after="60" w:line="276" w:lineRule="auto"/>
      </w:pPr>
      <w:r>
        <w:rPr>
          <w:rFonts w:ascii="Helvetica" w:hAnsi="Helvetica"/>
          <w:b/>
          <w:color w:val="1B365D"/>
          <w:sz w:val="21"/>
        </w:rPr>
        <w:t xml:space="preserve">Propostas Comerciais: </w:t>
      </w:r>
      <w:r>
        <w:rPr>
          <w:rFonts w:ascii="Helvetica" w:hAnsi="Helvetica"/>
          <w:color w:val="2D3748"/>
          <w:sz w:val="21"/>
        </w:rPr>
        <w:t>Documentos gerados em PDF seguindo a estrutura padrão aprovada pela Política Comercial, com logotipo no topo esquerdo e tabelas formatadas com cabeçalho azul escuro.</w:t>
      </w:r>
    </w:p>
    <w:p>
      <w:pPr>
        <w:pStyle w:val="ListBullet"/>
        <w:spacing w:before="0" w:after="60" w:line="276" w:lineRule="auto"/>
      </w:pPr>
      <w:r>
        <w:rPr>
          <w:rFonts w:ascii="Helvetica" w:hAnsi="Helvetica"/>
          <w:b/>
          <w:color w:val="1B365D"/>
          <w:sz w:val="21"/>
        </w:rPr>
        <w:t xml:space="preserve">Relatórios: </w:t>
      </w:r>
      <w:r>
        <w:rPr>
          <w:rFonts w:ascii="Helvetica" w:hAnsi="Helvetica"/>
          <w:color w:val="2D3748"/>
          <w:sz w:val="21"/>
        </w:rPr>
        <w:t>Devem conter capa oficial, sumário, numeração de páginas no rodapé e divisão clara em seções numeradas.</w:t>
      </w:r>
    </w:p>
    <w:p>
      <w:pPr>
        <w:pStyle w:val="ListBullet"/>
        <w:spacing w:before="0" w:after="60" w:line="276" w:lineRule="auto"/>
      </w:pPr>
      <w:r>
        <w:rPr>
          <w:rFonts w:ascii="Helvetica" w:hAnsi="Helvetica"/>
          <w:b/>
          <w:color w:val="1B365D"/>
          <w:sz w:val="21"/>
        </w:rPr>
        <w:t xml:space="preserve">Assinatura de E-mail: </w:t>
      </w:r>
      <w:r>
        <w:rPr>
          <w:rFonts w:ascii="Helvetica" w:hAnsi="Helvetica"/>
          <w:color w:val="2D3748"/>
          <w:sz w:val="21"/>
        </w:rPr>
        <w:t>Padronizada obrigatoriamente com nome completo, cargo, departamento, logotipo institucional em alta resolução e link para o portal da empresa.</w:t>
      </w:r>
    </w:p>
    <w:p>
      <w:pPr>
        <w:pStyle w:val="ListBullet"/>
        <w:spacing w:before="0" w:after="60" w:line="276" w:lineRule="auto"/>
      </w:pPr>
      <w:r>
        <w:rPr>
          <w:rFonts w:ascii="Helvetica" w:hAnsi="Helvetica"/>
          <w:b/>
          <w:color w:val="1B365D"/>
          <w:sz w:val="21"/>
        </w:rPr>
        <w:t xml:space="preserve">Cartões de Visita: </w:t>
      </w:r>
      <w:r>
        <w:rPr>
          <w:rFonts w:ascii="Helvetica" w:hAnsi="Helvetica"/>
          <w:color w:val="2D3748"/>
          <w:sz w:val="21"/>
        </w:rPr>
        <w:t>Fundo branco limpo, tipografia em cinza chumbo escuro, logotipo oficial centralizado ou alinhado à esquerda e dados de contato claros.</w:t>
      </w:r>
    </w:p>
    <w:p>
      <w:pPr>
        <w:pStyle w:val="ListBullet"/>
        <w:spacing w:before="0" w:after="60" w:line="276" w:lineRule="auto"/>
      </w:pPr>
      <w:r>
        <w:rPr>
          <w:rFonts w:ascii="Helvetica" w:hAnsi="Helvetica"/>
          <w:b/>
          <w:color w:val="1B365D"/>
          <w:sz w:val="21"/>
        </w:rPr>
        <w:t xml:space="preserve">Banners e Comunicados: </w:t>
      </w:r>
      <w:r>
        <w:rPr>
          <w:rFonts w:ascii="Helvetica" w:hAnsi="Helvetica"/>
          <w:color w:val="2D3748"/>
          <w:sz w:val="21"/>
        </w:rPr>
        <w:t>Peças visuais elaboradas pela Comunicação Corporativa com paleta oficial para divulgação na Intranet e murais digitais.</w:t>
      </w:r>
    </w:p>
    <w:p>
      <w:pPr>
        <w:keepNext/>
      </w:pPr>
      <w:r>
        <w:rPr>
          <w:rFonts w:ascii="Helvetica" w:hAnsi="Helvetica"/>
          <w:b/>
        </w:rPr>
        <w:t>7. Situações Não Permitidas</w:t>
      </w:r>
    </w:p>
    <w:p>
      <w:pPr>
        <w:spacing w:before="0" w:after="120" w:line="276" w:lineRule="auto"/>
      </w:pPr>
      <w:r>
        <w:rPr>
          <w:rFonts w:ascii="Helvetica" w:hAnsi="Helvetica"/>
          <w:color w:val="2D3748"/>
          <w:sz w:val="21"/>
        </w:rPr>
        <w:t>Qualquer desvio das diretrizes estabelecidas neste manual compromete a integridade da marca e a percepção de profissionalismo da empresa. São expressamente proibidas as seguintes condutas visuais:</w:t>
      </w:r>
    </w:p>
    <w:p>
      <w:pPr>
        <w:pStyle w:val="ListBullet"/>
        <w:spacing w:before="0" w:after="60" w:line="276" w:lineRule="auto"/>
      </w:pPr>
      <w:r>
        <w:rPr>
          <w:rFonts w:ascii="Helvetica" w:hAnsi="Helvetica"/>
          <w:b/>
          <w:color w:val="1B365D"/>
          <w:sz w:val="21"/>
        </w:rPr>
        <w:t xml:space="preserve">Alterar proporções do logotipo: </w:t>
      </w:r>
      <w:r>
        <w:rPr>
          <w:rFonts w:ascii="Helvetica" w:hAnsi="Helvetica"/>
          <w:color w:val="2D3748"/>
          <w:sz w:val="21"/>
        </w:rPr>
        <w:t>Esticar, achatar ou redimensionar o logotipo sem manter a proporção original de aspecto.</w:t>
      </w:r>
    </w:p>
    <w:p>
      <w:pPr>
        <w:pStyle w:val="ListBullet"/>
        <w:spacing w:before="0" w:after="60" w:line="276" w:lineRule="auto"/>
      </w:pPr>
      <w:r>
        <w:rPr>
          <w:rFonts w:ascii="Helvetica" w:hAnsi="Helvetica"/>
          <w:b/>
          <w:color w:val="1B365D"/>
          <w:sz w:val="21"/>
        </w:rPr>
        <w:t xml:space="preserve">Modificar cores institucionais: </w:t>
      </w:r>
      <w:r>
        <w:rPr>
          <w:rFonts w:ascii="Helvetica" w:hAnsi="Helvetica"/>
          <w:color w:val="2D3748"/>
          <w:sz w:val="21"/>
        </w:rPr>
        <w:t>Aplicar tons de cores não autorizados ou fora da paleta oficial aprovada pela Comunicação Corporativa.</w:t>
      </w:r>
    </w:p>
    <w:p>
      <w:pPr>
        <w:pStyle w:val="ListBullet"/>
        <w:spacing w:before="0" w:after="60" w:line="276" w:lineRule="auto"/>
      </w:pPr>
      <w:r>
        <w:rPr>
          <w:rFonts w:ascii="Helvetica" w:hAnsi="Helvetica"/>
          <w:b/>
          <w:color w:val="1B365D"/>
          <w:sz w:val="21"/>
        </w:rPr>
        <w:t xml:space="preserve">Utilizar fontes não padronizadas: </w:t>
      </w:r>
      <w:r>
        <w:rPr>
          <w:rFonts w:ascii="Helvetica" w:hAnsi="Helvetica"/>
          <w:color w:val="2D3748"/>
          <w:sz w:val="21"/>
        </w:rPr>
        <w:t>Empregar tipografias decorativas, manuscritas ou comerciais não homologadas em documentos oficiais.</w:t>
      </w:r>
    </w:p>
    <w:p>
      <w:pPr>
        <w:pStyle w:val="ListBullet"/>
        <w:spacing w:before="0" w:after="60" w:line="276" w:lineRule="auto"/>
      </w:pPr>
      <w:r>
        <w:rPr>
          <w:rFonts w:ascii="Helvetica" w:hAnsi="Helvetica"/>
          <w:b/>
          <w:color w:val="1B365D"/>
          <w:sz w:val="21"/>
        </w:rPr>
        <w:t xml:space="preserve">Criar versões alternativas da marca: </w:t>
      </w:r>
      <w:r>
        <w:rPr>
          <w:rFonts w:ascii="Helvetica" w:hAnsi="Helvetica"/>
          <w:color w:val="2D3748"/>
          <w:sz w:val="21"/>
        </w:rPr>
        <w:t>Desenvolver selos, emblemas departamentais independentes ou logotipos paralelos sem aval da diretoria.</w:t>
      </w:r>
    </w:p>
    <w:p>
      <w:pPr>
        <w:pStyle w:val="ListBullet"/>
        <w:spacing w:before="0" w:after="60" w:line="276" w:lineRule="auto"/>
      </w:pPr>
      <w:r>
        <w:rPr>
          <w:rFonts w:ascii="Helvetica" w:hAnsi="Helvetica"/>
          <w:b/>
          <w:color w:val="1B365D"/>
          <w:sz w:val="21"/>
        </w:rPr>
        <w:t xml:space="preserve">Aplicar efeitos visuais inadequados: </w:t>
      </w:r>
      <w:r>
        <w:rPr>
          <w:rFonts w:ascii="Helvetica" w:hAnsi="Helvetica"/>
          <w:color w:val="2D3748"/>
          <w:sz w:val="21"/>
        </w:rPr>
        <w:t>Inserir sombras projetadas complexas, relevos tridimensionais, texturas metálicas ou contornos exagerados no logotipo.</w:t>
      </w:r>
    </w:p>
    <w:p>
      <w:pPr>
        <w:keepNext/>
        <w:spacing w:before="360" w:after="120"/>
      </w:pPr>
      <w:r>
        <w:rPr>
          <w:rFonts w:ascii="Helvetica" w:hAnsi="Helvetica"/>
          <w:b/>
          <w:color w:val="1B365D"/>
          <w:sz w:val="32"/>
        </w:rPr>
        <w:t>8. Responsabilidades</w:t>
      </w:r>
    </w:p>
    <w:p>
      <w:pPr>
        <w:spacing w:before="0" w:after="120" w:line="276" w:lineRule="auto"/>
      </w:pPr>
      <w:r>
        <w:rPr>
          <w:rFonts w:ascii="Helvetica" w:hAnsi="Helvetica"/>
          <w:color w:val="2D3748"/>
          <w:sz w:val="21"/>
        </w:rPr>
        <w:t>A governança da identidade visual e a preservação da marca Vida Plena S.A. são deveres compartilhados por toda a organização, com atribuições específicas:</w:t>
      </w:r>
    </w:p>
    <w:p>
      <w:pPr>
        <w:pStyle w:val="ListBullet"/>
        <w:spacing w:before="0" w:after="60" w:line="276" w:lineRule="auto"/>
      </w:pPr>
      <w:r>
        <w:rPr>
          <w:rFonts w:ascii="Helvetica" w:hAnsi="Helvetica"/>
          <w:b/>
          <w:color w:val="1B365D"/>
          <w:sz w:val="21"/>
        </w:rPr>
        <w:t xml:space="preserve">Comunicação Corporativa: </w:t>
      </w:r>
      <w:r>
        <w:rPr>
          <w:rFonts w:ascii="Helvetica" w:hAnsi="Helvetica"/>
          <w:color w:val="2D3748"/>
          <w:sz w:val="21"/>
        </w:rPr>
        <w:t>Elaborar, atualizar e auditar o cumprimento deste manual, além de aprovar peças gráficas institucionais de grande porte.</w:t>
      </w:r>
    </w:p>
    <w:p>
      <w:pPr>
        <w:pStyle w:val="ListBullet"/>
        <w:spacing w:before="0" w:after="60" w:line="276" w:lineRule="auto"/>
      </w:pPr>
      <w:r>
        <w:rPr>
          <w:rFonts w:ascii="Helvetica" w:hAnsi="Helvetica"/>
          <w:b/>
          <w:color w:val="1B365D"/>
          <w:sz w:val="21"/>
        </w:rPr>
        <w:t xml:space="preserve">Marketing Institucional: </w:t>
      </w:r>
      <w:r>
        <w:rPr>
          <w:rFonts w:ascii="Helvetica" w:hAnsi="Helvetica"/>
          <w:color w:val="2D3748"/>
          <w:sz w:val="21"/>
        </w:rPr>
        <w:t>Desenvolver e disponibilizar templates oficiais, gerenciar o repositório de ativos de marca e prestar suporte criativo.</w:t>
      </w:r>
    </w:p>
    <w:p>
      <w:pPr>
        <w:pStyle w:val="ListBullet"/>
        <w:spacing w:before="0" w:after="60" w:line="276" w:lineRule="auto"/>
      </w:pPr>
      <w:r>
        <w:rPr>
          <w:rFonts w:ascii="Helvetica" w:hAnsi="Helvetica"/>
          <w:b/>
          <w:color w:val="1B365D"/>
          <w:sz w:val="21"/>
        </w:rPr>
        <w:t xml:space="preserve">Colaboradores: </w:t>
      </w:r>
      <w:r>
        <w:rPr>
          <w:rFonts w:ascii="Helvetica" w:hAnsi="Helvetica"/>
          <w:color w:val="2D3748"/>
          <w:sz w:val="21"/>
        </w:rPr>
        <w:t>Utilizar rigorosamente os padrões visuais definidos em todos os trabalhos, relatórios e comunicações diárias.</w:t>
      </w:r>
    </w:p>
    <w:p>
      <w:pPr>
        <w:pStyle w:val="ListBullet"/>
        <w:spacing w:before="0" w:after="60" w:line="276" w:lineRule="auto"/>
      </w:pPr>
      <w:r>
        <w:rPr>
          <w:rFonts w:ascii="Helvetica" w:hAnsi="Helvetica"/>
          <w:b/>
          <w:color w:val="1B365D"/>
          <w:sz w:val="21"/>
        </w:rPr>
        <w:t xml:space="preserve">Gestores: </w:t>
      </w:r>
      <w:r>
        <w:rPr>
          <w:rFonts w:ascii="Helvetica" w:hAnsi="Helvetica"/>
          <w:color w:val="2D3748"/>
          <w:sz w:val="21"/>
        </w:rPr>
        <w:t>Fiscalizar e garantir que as equipes sob sua liderança adotem os templates e diretrizes visuais corretos em projetos internos e externos.</w:t>
      </w:r>
    </w:p>
    <w:p>
      <w:pPr>
        <w:keepNext/>
        <w:spacing w:before="360" w:after="120"/>
      </w:pPr>
      <w:r>
        <w:rPr>
          <w:rFonts w:ascii="Helvetica" w:hAnsi="Helvetica"/>
          <w:b/>
          <w:color w:val="1B365D"/>
          <w:sz w:val="32"/>
        </w:rPr>
        <w:t>9. Boas Práticas</w:t>
      </w:r>
    </w:p>
    <w:p>
      <w:pPr>
        <w:spacing w:before="0" w:after="120" w:line="276" w:lineRule="auto"/>
      </w:pPr>
      <w:r>
        <w:rPr>
          <w:rFonts w:ascii="Helvetica" w:hAnsi="Helvetica"/>
          <w:color w:val="2D3748"/>
          <w:sz w:val="21"/>
        </w:rPr>
        <w:t>Para manter um padrão visual irrepreensível, recomenda-se a adoção das seguintes boas práticas cotidianas:</w:t>
      </w:r>
    </w:p>
    <w:p>
      <w:pPr>
        <w:pStyle w:val="ListBullet"/>
        <w:spacing w:before="0" w:after="60" w:line="276" w:lineRule="auto"/>
      </w:pPr>
      <w:r>
        <w:rPr>
          <w:rFonts w:ascii="Helvetica" w:hAnsi="Helvetica"/>
          <w:b/>
          <w:color w:val="1B365D"/>
          <w:sz w:val="21"/>
        </w:rPr>
        <w:t xml:space="preserve">Utilizar sempre materiais oficiais: </w:t>
      </w:r>
      <w:r>
        <w:rPr>
          <w:rFonts w:ascii="Helvetica" w:hAnsi="Helvetica"/>
          <w:color w:val="2D3748"/>
          <w:sz w:val="21"/>
        </w:rPr>
        <w:t>Nunca reutilize logotipos antigos ou extraídos de capturas de tela da internet.</w:t>
      </w:r>
    </w:p>
    <w:p>
      <w:pPr>
        <w:pStyle w:val="ListBullet"/>
        <w:spacing w:before="0" w:after="60" w:line="276" w:lineRule="auto"/>
      </w:pPr>
      <w:r>
        <w:rPr>
          <w:rFonts w:ascii="Helvetica" w:hAnsi="Helvetica"/>
          <w:b/>
          <w:color w:val="1B365D"/>
          <w:sz w:val="21"/>
        </w:rPr>
        <w:t xml:space="preserve">Baixar arquivos da Intranet: </w:t>
      </w:r>
      <w:r>
        <w:rPr>
          <w:rFonts w:ascii="Helvetica" w:hAnsi="Helvetica"/>
          <w:color w:val="2D3748"/>
          <w:sz w:val="21"/>
        </w:rPr>
        <w:t>Sempre obtenha a versão mais atualizada dos logotipos e templates diretamente na Intranet Corporativa.</w:t>
      </w:r>
    </w:p>
    <w:p>
      <w:pPr>
        <w:pStyle w:val="ListBullet"/>
        <w:spacing w:before="0" w:after="60" w:line="276" w:lineRule="auto"/>
      </w:pPr>
      <w:r>
        <w:rPr>
          <w:rFonts w:ascii="Helvetica" w:hAnsi="Helvetica"/>
          <w:b/>
          <w:color w:val="1B365D"/>
          <w:sz w:val="21"/>
        </w:rPr>
        <w:t xml:space="preserve">Solicitar aprovação prévia: </w:t>
      </w:r>
      <w:r>
        <w:rPr>
          <w:rFonts w:ascii="Helvetica" w:hAnsi="Helvetica"/>
          <w:color w:val="2D3748"/>
          <w:sz w:val="21"/>
        </w:rPr>
        <w:t>Peças destinadas a clientes externos ou eventos públicos devem ser validadas pelo Marketing antes da veiculação.</w:t>
      </w:r>
    </w:p>
    <w:p>
      <w:pPr>
        <w:pStyle w:val="ListBullet"/>
        <w:spacing w:before="0" w:after="60" w:line="276" w:lineRule="auto"/>
      </w:pPr>
      <w:r>
        <w:rPr>
          <w:rFonts w:ascii="Helvetica" w:hAnsi="Helvetica"/>
          <w:b/>
          <w:color w:val="1B365D"/>
          <w:sz w:val="21"/>
        </w:rPr>
        <w:t xml:space="preserve">Manter consistência visual: </w:t>
      </w:r>
      <w:r>
        <w:rPr>
          <w:rFonts w:ascii="Helvetica" w:hAnsi="Helvetica"/>
          <w:color w:val="2D3748"/>
          <w:sz w:val="21"/>
        </w:rPr>
        <w:t>Certifique-se de que apresentações e relatórios sigam exatamente a mesma hierarquia de títulos e paleta de cores.</w:t>
      </w:r>
    </w:p>
    <w:p>
      <w:pPr>
        <w:pStyle w:val="ListBullet"/>
        <w:spacing w:before="0" w:after="60" w:line="276" w:lineRule="auto"/>
      </w:pPr>
      <w:r>
        <w:rPr>
          <w:rFonts w:ascii="Helvetica" w:hAnsi="Helvetica"/>
          <w:b/>
          <w:color w:val="1B365D"/>
          <w:sz w:val="21"/>
        </w:rPr>
        <w:t xml:space="preserve">Atualizar materiais antigos: </w:t>
      </w:r>
      <w:r>
        <w:rPr>
          <w:rFonts w:ascii="Helvetica" w:hAnsi="Helvetica"/>
          <w:color w:val="2D3748"/>
          <w:sz w:val="21"/>
        </w:rPr>
        <w:t>Substitua templates obsoletos em computadores e pastas compartilhadas sempre que uma nova versão do manual for publicada.</w:t>
      </w:r>
    </w:p>
    <w:p>
      <w:pPr>
        <w:keepNext/>
        <w:spacing w:before="360" w:after="120"/>
      </w:pPr>
      <w:r>
        <w:rPr>
          <w:rFonts w:ascii="Helvetica" w:hAnsi="Helvetica"/>
          <w:b/>
          <w:color w:val="1B365D"/>
          <w:sz w:val="32"/>
        </w:rPr>
        <w:t>10. Perguntas Frequentes</w:t>
      </w:r>
    </w:p>
    <w:p>
      <w:pPr>
        <w:spacing w:before="120" w:after="40"/>
      </w:pPr>
      <w:r>
        <w:rPr>
          <w:rFonts w:ascii="Helvetica" w:hAnsi="Helvetica"/>
          <w:b/>
          <w:color w:val="1B365D"/>
          <w:sz w:val="20"/>
        </w:rPr>
        <w:t>1. Onde encontro o logotipo oficial?</w:t>
      </w:r>
    </w:p>
    <w:p>
      <w:pPr>
        <w:spacing w:before="0" w:after="80" w:line="276" w:lineRule="auto"/>
      </w:pPr>
      <w:r>
        <w:rPr>
          <w:rFonts w:ascii="Helvetica" w:hAnsi="Helvetica"/>
          <w:color w:val="2D3748"/>
          <w:sz w:val="20"/>
        </w:rPr>
        <w:t>O logotipo oficial em alta resolução e em diferentes formatos está disponível para download na seção de Identidade Visual da Intranet Corporativa.</w:t>
      </w:r>
    </w:p>
    <w:p>
      <w:pPr>
        <w:spacing w:before="120" w:after="40"/>
      </w:pPr>
      <w:r>
        <w:rPr>
          <w:rFonts w:ascii="Helvetica" w:hAnsi="Helvetica"/>
          <w:b/>
          <w:color w:val="1B365D"/>
          <w:sz w:val="20"/>
        </w:rPr>
        <w:t>2. Posso alterar as cores da marca?</w:t>
      </w:r>
    </w:p>
    <w:p>
      <w:pPr>
        <w:spacing w:before="0" w:after="80" w:line="276" w:lineRule="auto"/>
      </w:pPr>
      <w:r>
        <w:rPr>
          <w:rFonts w:ascii="Helvetica" w:hAnsi="Helvetica"/>
          <w:color w:val="2D3748"/>
          <w:sz w:val="20"/>
        </w:rPr>
        <w:t>Não. As cores institucionais são padronizadas e sua alteração compromete a identidade visual da empresa, conforme estabelecido na Seção 3.</w:t>
      </w:r>
    </w:p>
    <w:p>
      <w:pPr>
        <w:spacing w:before="120" w:after="40"/>
      </w:pPr>
      <w:r>
        <w:rPr>
          <w:rFonts w:ascii="Helvetica" w:hAnsi="Helvetica"/>
          <w:b/>
          <w:color w:val="1B365D"/>
          <w:sz w:val="20"/>
        </w:rPr>
        <w:t>3. Qual fonte devo utilizar?</w:t>
      </w:r>
    </w:p>
    <w:p>
      <w:pPr>
        <w:spacing w:before="0" w:after="80" w:line="276" w:lineRule="auto"/>
      </w:pPr>
      <w:r>
        <w:rPr>
          <w:rFonts w:ascii="Helvetica" w:hAnsi="Helvetica"/>
          <w:color w:val="2D3748"/>
          <w:sz w:val="20"/>
        </w:rPr>
        <w:t>A fonte padrão obrigatória para todos os documentos e apresentações da Vida Plena S.A. é a família Helvetica.</w:t>
      </w:r>
    </w:p>
    <w:p>
      <w:pPr>
        <w:spacing w:before="120" w:after="40"/>
      </w:pPr>
      <w:r>
        <w:rPr>
          <w:rFonts w:ascii="Helvetica" w:hAnsi="Helvetica"/>
          <w:b/>
          <w:color w:val="1B365D"/>
          <w:sz w:val="20"/>
        </w:rPr>
        <w:t>4. Como solicitar um material institucional?</w:t>
      </w:r>
    </w:p>
    <w:p>
      <w:pPr>
        <w:spacing w:before="0" w:after="80" w:line="276" w:lineRule="auto"/>
      </w:pPr>
      <w:r>
        <w:rPr>
          <w:rFonts w:ascii="Helvetica" w:hAnsi="Helvetica"/>
          <w:color w:val="2D3748"/>
          <w:sz w:val="20"/>
        </w:rPr>
        <w:t>Basta abrir um chamado de suporte interno direcionado ao departamento de Marketing Institucional através da Intranet.</w:t>
      </w:r>
    </w:p>
    <w:p>
      <w:pPr>
        <w:spacing w:before="120" w:after="40"/>
      </w:pPr>
      <w:r>
        <w:rPr>
          <w:rFonts w:ascii="Helvetica" w:hAnsi="Helvetica"/>
          <w:b/>
          <w:color w:val="1B365D"/>
          <w:sz w:val="20"/>
        </w:rPr>
        <w:t>5. Posso criar uma apresentação própria?</w:t>
      </w:r>
    </w:p>
    <w:p>
      <w:pPr>
        <w:spacing w:before="0" w:after="80" w:line="276" w:lineRule="auto"/>
      </w:pPr>
      <w:r>
        <w:rPr>
          <w:rFonts w:ascii="Helvetica" w:hAnsi="Helvetica"/>
          <w:color w:val="2D3748"/>
          <w:sz w:val="20"/>
        </w:rPr>
        <w:t>Você deve utilizar obrigatoriamente o template corporativo oficial em widescreen (16:9) disponível no repositório de arquivos da empresa.</w:t>
      </w:r>
    </w:p>
    <w:p>
      <w:pPr>
        <w:spacing w:before="120" w:after="40"/>
      </w:pPr>
      <w:r>
        <w:rPr>
          <w:rFonts w:ascii="Helvetica" w:hAnsi="Helvetica"/>
          <w:b/>
          <w:color w:val="1B365D"/>
          <w:sz w:val="20"/>
        </w:rPr>
        <w:t>6. Como utilizar a assinatura de e-mail?</w:t>
      </w:r>
    </w:p>
    <w:p>
      <w:pPr>
        <w:spacing w:before="0" w:after="80" w:line="276" w:lineRule="auto"/>
      </w:pPr>
      <w:r>
        <w:rPr>
          <w:rFonts w:ascii="Helvetica" w:hAnsi="Helvetica"/>
          <w:color w:val="2D3748"/>
          <w:sz w:val="20"/>
        </w:rPr>
        <w:t>A assinatura deve seguir estritamente o modelo padrão fornecido pelo setor de RH e Comunicação, contendo nome, cargo e logotipo institucional.</w:t>
      </w:r>
    </w:p>
    <w:p>
      <w:pPr>
        <w:spacing w:before="120" w:after="40"/>
      </w:pPr>
      <w:r>
        <w:rPr>
          <w:rFonts w:ascii="Helvetica" w:hAnsi="Helvetica"/>
          <w:b/>
          <w:color w:val="1B365D"/>
          <w:sz w:val="20"/>
        </w:rPr>
        <w:t>7. Como solicitar apoio do Marketing?</w:t>
      </w:r>
    </w:p>
    <w:p>
      <w:pPr>
        <w:spacing w:before="0" w:after="80" w:line="276" w:lineRule="auto"/>
      </w:pPr>
      <w:r>
        <w:rPr>
          <w:rFonts w:ascii="Helvetica" w:hAnsi="Helvetica"/>
          <w:color w:val="2D3748"/>
          <w:sz w:val="20"/>
        </w:rPr>
        <w:t>Envie um e-mail detalhando sua demanda criativa para marketing@vidaplena.com com antecedência mínima de 5 dias úteis.</w:t>
      </w:r>
    </w:p>
    <w:p>
      <w:pPr>
        <w:spacing w:before="120" w:after="40"/>
      </w:pPr>
      <w:r>
        <w:rPr>
          <w:rFonts w:ascii="Helvetica" w:hAnsi="Helvetica"/>
          <w:b/>
          <w:color w:val="1B365D"/>
          <w:sz w:val="20"/>
        </w:rPr>
        <w:t>8. Posso utilizar o logotipo em eventos?</w:t>
      </w:r>
    </w:p>
    <w:p>
      <w:pPr>
        <w:spacing w:before="0" w:after="80" w:line="276" w:lineRule="auto"/>
      </w:pPr>
      <w:r>
        <w:rPr>
          <w:rFonts w:ascii="Helvetica" w:hAnsi="Helvetica"/>
          <w:color w:val="2D3748"/>
          <w:sz w:val="20"/>
        </w:rPr>
        <w:t>Sim, desde que o uso seja previamente aprovado pela Comunicação Corporativa e siga as normas de área de proteção.</w:t>
      </w:r>
    </w:p>
    <w:p>
      <w:pPr>
        <w:spacing w:before="120" w:after="40"/>
      </w:pPr>
      <w:r>
        <w:rPr>
          <w:rFonts w:ascii="Helvetica" w:hAnsi="Helvetica"/>
          <w:b/>
          <w:color w:val="1B365D"/>
          <w:sz w:val="20"/>
        </w:rPr>
        <w:t>9. Quem aprova materiais externos?</w:t>
      </w:r>
    </w:p>
    <w:p>
      <w:pPr>
        <w:spacing w:before="0" w:after="80" w:line="276" w:lineRule="auto"/>
      </w:pPr>
      <w:r>
        <w:rPr>
          <w:rFonts w:ascii="Helvetica" w:hAnsi="Helvetica"/>
          <w:color w:val="2D3748"/>
          <w:sz w:val="20"/>
        </w:rPr>
        <w:t>Todos os materiais voltados ao público externo devem ser obrigatoriamente aprovados pelo Marketing Institucional.</w:t>
      </w:r>
    </w:p>
    <w:p>
      <w:pPr>
        <w:spacing w:before="120" w:after="40"/>
      </w:pPr>
      <w:r>
        <w:rPr>
          <w:rFonts w:ascii="Helvetica" w:hAnsi="Helvetica"/>
          <w:b/>
          <w:color w:val="1B365D"/>
          <w:sz w:val="20"/>
        </w:rPr>
        <w:t>10. Como atualizar materiais antigos?</w:t>
      </w:r>
    </w:p>
    <w:p>
      <w:pPr>
        <w:spacing w:before="0" w:after="80" w:line="276" w:lineRule="auto"/>
      </w:pPr>
      <w:r>
        <w:rPr>
          <w:rFonts w:ascii="Helvetica" w:hAnsi="Helvetica"/>
          <w:color w:val="2D3748"/>
          <w:sz w:val="20"/>
        </w:rPr>
        <w:t>Baixe os novos templates na Intranet e substitua os arquivos desativados em suas pastas de trabalho.</w:t>
      </w:r>
    </w:p>
    <w:p>
      <w:pPr>
        <w:spacing w:before="120" w:after="40"/>
      </w:pPr>
      <w:r>
        <w:rPr>
          <w:rFonts w:ascii="Helvetica" w:hAnsi="Helvetica"/>
          <w:b/>
          <w:color w:val="1B365D"/>
          <w:sz w:val="20"/>
        </w:rPr>
        <w:t>11. Onde encontro os templates?</w:t>
      </w:r>
    </w:p>
    <w:p>
      <w:pPr>
        <w:spacing w:before="0" w:after="80" w:line="276" w:lineRule="auto"/>
      </w:pPr>
      <w:r>
        <w:rPr>
          <w:rFonts w:ascii="Helvetica" w:hAnsi="Helvetica"/>
          <w:color w:val="2D3748"/>
          <w:sz w:val="20"/>
        </w:rPr>
        <w:t>Os templates de apresentações, propostas e relatórios estão centralizados na Intranet, na pasta de Downloads Corporativos.</w:t>
      </w:r>
    </w:p>
    <w:p>
      <w:pPr>
        <w:spacing w:before="120" w:after="40"/>
      </w:pPr>
      <w:r>
        <w:rPr>
          <w:rFonts w:ascii="Helvetica" w:hAnsi="Helvetica"/>
          <w:b/>
          <w:color w:val="1B365D"/>
          <w:sz w:val="20"/>
        </w:rPr>
        <w:t>12. Como utilizar a marca em redes sociais?</w:t>
      </w:r>
    </w:p>
    <w:p>
      <w:pPr>
        <w:spacing w:before="0" w:after="80" w:line="276" w:lineRule="auto"/>
      </w:pPr>
      <w:r>
        <w:rPr>
          <w:rFonts w:ascii="Helvetica" w:hAnsi="Helvetica"/>
          <w:color w:val="2D3748"/>
          <w:sz w:val="20"/>
        </w:rPr>
        <w:t>A publicação da marca em redes sociais corporativas é exclusiva da equipe de Marketing e Comunicação.</w:t>
      </w:r>
    </w:p>
    <w:p>
      <w:pPr>
        <w:spacing w:before="120" w:after="40"/>
      </w:pPr>
      <w:r>
        <w:rPr>
          <w:rFonts w:ascii="Helvetica" w:hAnsi="Helvetica"/>
          <w:b/>
          <w:color w:val="1B365D"/>
          <w:sz w:val="20"/>
        </w:rPr>
        <w:t>13. Posso utilizar fotografias próprias?</w:t>
      </w:r>
    </w:p>
    <w:p>
      <w:pPr>
        <w:spacing w:before="0" w:after="80" w:line="276" w:lineRule="auto"/>
      </w:pPr>
      <w:r>
        <w:rPr>
          <w:rFonts w:ascii="Helvetica" w:hAnsi="Helvetica"/>
          <w:color w:val="2D3748"/>
          <w:sz w:val="20"/>
        </w:rPr>
        <w:t>Sim, desde que as imagens reflitam o padrão profissional, iluminação adequada e a realidade de trabalho da empresa.</w:t>
      </w:r>
    </w:p>
    <w:p>
      <w:pPr>
        <w:spacing w:before="120" w:after="40"/>
      </w:pPr>
      <w:r>
        <w:rPr>
          <w:rFonts w:ascii="Helvetica" w:hAnsi="Helvetica"/>
          <w:b/>
          <w:color w:val="1B365D"/>
          <w:sz w:val="20"/>
        </w:rPr>
        <w:t>14. Como solicitar novos materiais?</w:t>
      </w:r>
    </w:p>
    <w:p>
      <w:pPr>
        <w:spacing w:before="0" w:after="80" w:line="276" w:lineRule="auto"/>
      </w:pPr>
      <w:r>
        <w:rPr>
          <w:rFonts w:ascii="Helvetica" w:hAnsi="Helvetica"/>
          <w:color w:val="2D3748"/>
          <w:sz w:val="20"/>
        </w:rPr>
        <w:t>Solicitações de novos formatos de peças gráficas devem ser encaminhadas via chamado interno para a equipe de Design Corporativo.</w:t>
      </w:r>
    </w:p>
    <w:p>
      <w:pPr>
        <w:spacing w:before="120" w:after="40"/>
      </w:pPr>
      <w:r>
        <w:rPr>
          <w:rFonts w:ascii="Helvetica" w:hAnsi="Helvetica"/>
          <w:b/>
          <w:color w:val="1B365D"/>
          <w:sz w:val="20"/>
        </w:rPr>
        <w:t>15. Quem administra este manual?</w:t>
      </w:r>
    </w:p>
    <w:p>
      <w:pPr>
        <w:spacing w:before="0" w:after="80" w:line="276" w:lineRule="auto"/>
      </w:pPr>
      <w:r>
        <w:rPr>
          <w:rFonts w:ascii="Helvetica" w:hAnsi="Helvetica"/>
          <w:color w:val="2D3748"/>
          <w:sz w:val="20"/>
        </w:rPr>
        <w:t>Este documento é administrado conjuntamente pela Comunicação Corporativa e pelo Marketing Institucional.</w:t>
      </w:r>
    </w:p>
    <w:p>
      <w:pPr>
        <w:spacing w:before="120" w:after="40"/>
      </w:pPr>
      <w:r>
        <w:rPr>
          <w:rFonts w:ascii="Helvetica" w:hAnsi="Helvetica"/>
          <w:b/>
          <w:color w:val="1B365D"/>
          <w:sz w:val="20"/>
        </w:rPr>
        <w:t>16. Onde encontro este documento?</w:t>
      </w:r>
    </w:p>
    <w:p>
      <w:pPr>
        <w:spacing w:before="0" w:after="80" w:line="276" w:lineRule="auto"/>
      </w:pPr>
      <w:r>
        <w:rPr>
          <w:rFonts w:ascii="Helvetica" w:hAnsi="Helvetica"/>
          <w:color w:val="2D3748"/>
          <w:sz w:val="20"/>
        </w:rPr>
        <w:t>Este manual está permanentemente disponível no repositório oficial de políticas e manuais da Intranet da Vida Plena S.A.</w:t>
      </w:r>
    </w:p>
    <w:p>
      <w:pPr>
        <w:spacing w:before="120" w:after="40"/>
      </w:pPr>
      <w:r>
        <w:rPr>
          <w:rFonts w:ascii="Helvetica" w:hAnsi="Helvetica"/>
          <w:b/>
          <w:color w:val="1B365D"/>
          <w:sz w:val="20"/>
        </w:rPr>
        <w:t>17. Como utilizar os ícones institucionais?</w:t>
      </w:r>
    </w:p>
    <w:p>
      <w:pPr>
        <w:spacing w:before="0" w:after="80" w:line="276" w:lineRule="auto"/>
      </w:pPr>
      <w:r>
        <w:rPr>
          <w:rFonts w:ascii="Helvetica" w:hAnsi="Helvetica"/>
          <w:color w:val="2D3748"/>
          <w:sz w:val="20"/>
        </w:rPr>
        <w:t>Utilize preferencialmente os ícones lineares oficiais nas cores Azul Marinho ou Azul Corporativo Secundário.</w:t>
      </w:r>
    </w:p>
    <w:p>
      <w:pPr>
        <w:spacing w:before="120" w:after="40"/>
      </w:pPr>
      <w:r>
        <w:rPr>
          <w:rFonts w:ascii="Helvetica" w:hAnsi="Helvetica"/>
          <w:b/>
          <w:color w:val="1B365D"/>
          <w:sz w:val="20"/>
        </w:rPr>
        <w:t>18. Como funciona a aprovação de peças gráficas?</w:t>
      </w:r>
    </w:p>
    <w:p>
      <w:pPr>
        <w:spacing w:before="0" w:after="80" w:line="276" w:lineRule="auto"/>
      </w:pPr>
      <w:r>
        <w:rPr>
          <w:rFonts w:ascii="Helvetica" w:hAnsi="Helvetica"/>
          <w:color w:val="2D3748"/>
          <w:sz w:val="20"/>
        </w:rPr>
        <w:t>O fluxo envolve o envio do rascunho via chamado, análise de conformidade pelo Marketing e retorno em até 48 horas.</w:t>
      </w:r>
    </w:p>
    <w:p>
      <w:pPr>
        <w:spacing w:before="120" w:after="40"/>
      </w:pPr>
      <w:r>
        <w:rPr>
          <w:rFonts w:ascii="Helvetica" w:hAnsi="Helvetica"/>
          <w:b/>
          <w:color w:val="1B365D"/>
          <w:sz w:val="20"/>
        </w:rPr>
        <w:t>19. Quem devo procurar em caso de dúvidas?</w:t>
      </w:r>
    </w:p>
    <w:p>
      <w:pPr>
        <w:spacing w:before="0" w:after="80" w:line="276" w:lineRule="auto"/>
      </w:pPr>
      <w:r>
        <w:rPr>
          <w:rFonts w:ascii="Helvetica" w:hAnsi="Helvetica"/>
          <w:color w:val="2D3748"/>
          <w:sz w:val="20"/>
        </w:rPr>
        <w:t>Em caso de dúvidas sobre identidade visual, procure a equipe de Design Corporativo ou envie e-mail para design@vidaplena.com.</w:t>
      </w:r>
    </w:p>
    <w:p>
      <w:pPr>
        <w:spacing w:before="120" w:after="40"/>
      </w:pPr>
      <w:r>
        <w:rPr>
          <w:rFonts w:ascii="Helvetica" w:hAnsi="Helvetica"/>
          <w:b/>
          <w:color w:val="1B365D"/>
          <w:sz w:val="20"/>
        </w:rPr>
        <w:t>20. Como garantir consistência visual?</w:t>
      </w:r>
    </w:p>
    <w:p>
      <w:pPr>
        <w:spacing w:before="0" w:after="80" w:line="276" w:lineRule="auto"/>
      </w:pPr>
      <w:r>
        <w:rPr>
          <w:rFonts w:ascii="Helvetica" w:hAnsi="Helvetica"/>
          <w:color w:val="2D3748"/>
          <w:sz w:val="20"/>
        </w:rPr>
        <w:t>Sempre consulte este manual e utilize os ativos de marca oficiais baixados diretamente da Intranet Corporativa.</w:t>
      </w:r>
    </w:p>
    <w:p>
      <w:pPr>
        <w:keepNext/>
        <w:spacing w:before="360" w:after="120"/>
      </w:pPr>
      <w:r>
        <w:rPr>
          <w:rFonts w:ascii="Helvetica" w:hAnsi="Helvetica"/>
          <w:b/>
          <w:color w:val="1B365D"/>
          <w:sz w:val="32"/>
        </w:rPr>
        <w:t>11. Contatos</w:t>
      </w:r>
    </w:p>
    <w:p>
      <w:pPr>
        <w:spacing w:before="0" w:after="120" w:line="276" w:lineRule="auto"/>
      </w:pPr>
      <w:r>
        <w:rPr>
          <w:rFonts w:ascii="Helvetica" w:hAnsi="Helvetica"/>
          <w:color w:val="2D3748"/>
          <w:sz w:val="21"/>
        </w:rPr>
        <w:t>Para suporte técnico, dúvidas de branding e solicitações referentes à identidade visual, utilize os canais oficiais abaixo:</w:t>
      </w:r>
    </w:p>
    <w:p>
      <w:pPr>
        <w:pStyle w:val="ListBullet"/>
        <w:spacing w:before="0" w:after="60" w:line="276" w:lineRule="auto"/>
      </w:pPr>
      <w:r>
        <w:rPr>
          <w:rFonts w:ascii="Helvetica" w:hAnsi="Helvetica"/>
          <w:b/>
          <w:color w:val="1B365D"/>
          <w:sz w:val="21"/>
        </w:rPr>
        <w:t xml:space="preserve">Comunicação Corporativa: </w:t>
      </w:r>
      <w:r>
        <w:rPr>
          <w:rFonts w:ascii="Helvetica" w:hAnsi="Helvetica"/>
          <w:color w:val="2D3748"/>
          <w:sz w:val="21"/>
        </w:rPr>
        <w:t>comunicacao@vidaplena.com</w:t>
      </w:r>
    </w:p>
    <w:p>
      <w:pPr>
        <w:pStyle w:val="ListBullet"/>
        <w:spacing w:before="0" w:after="60" w:line="276" w:lineRule="auto"/>
      </w:pPr>
      <w:r>
        <w:rPr>
          <w:rFonts w:ascii="Helvetica" w:hAnsi="Helvetica"/>
          <w:b/>
          <w:color w:val="1B365D"/>
          <w:sz w:val="21"/>
        </w:rPr>
        <w:t xml:space="preserve">Marketing Institucional: </w:t>
      </w:r>
      <w:r>
        <w:rPr>
          <w:rFonts w:ascii="Helvetica" w:hAnsi="Helvetica"/>
          <w:color w:val="2D3748"/>
          <w:sz w:val="21"/>
        </w:rPr>
        <w:t>marketing@vidaplena.com</w:t>
      </w:r>
    </w:p>
    <w:p>
      <w:pPr>
        <w:pStyle w:val="ListBullet"/>
        <w:spacing w:before="0" w:after="60" w:line="276" w:lineRule="auto"/>
      </w:pPr>
      <w:r>
        <w:rPr>
          <w:rFonts w:ascii="Helvetica" w:hAnsi="Helvetica"/>
          <w:b/>
          <w:color w:val="1B365D"/>
          <w:sz w:val="21"/>
        </w:rPr>
        <w:t xml:space="preserve">Design Corporativo: </w:t>
      </w:r>
      <w:r>
        <w:rPr>
          <w:rFonts w:ascii="Helvetica" w:hAnsi="Helvetica"/>
          <w:color w:val="2D3748"/>
          <w:sz w:val="21"/>
        </w:rPr>
        <w:t>design@vidaplena.com</w:t>
      </w:r>
    </w:p>
    <w:p>
      <w:pPr>
        <w:pStyle w:val="ListBullet"/>
        <w:spacing w:before="0" w:after="60" w:line="276" w:lineRule="auto"/>
      </w:pPr>
      <w:r>
        <w:rPr>
          <w:rFonts w:ascii="Helvetica" w:hAnsi="Helvetica"/>
          <w:b/>
          <w:color w:val="1B365D"/>
          <w:sz w:val="21"/>
        </w:rPr>
        <w:t xml:space="preserve">Endomarketing: </w:t>
      </w:r>
      <w:r>
        <w:rPr>
          <w:rFonts w:ascii="Helvetica" w:hAnsi="Helvetica"/>
          <w:color w:val="2D3748"/>
          <w:sz w:val="21"/>
        </w:rPr>
        <w:t>endomarketing@vidaplena.com</w:t>
      </w:r>
    </w:p>
    <w:p>
      <w:pPr>
        <w:keepNext/>
        <w:spacing w:before="360" w:after="120"/>
      </w:pPr>
      <w:r>
        <w:rPr>
          <w:rFonts w:ascii="Helvetica" w:hAnsi="Helvetica"/>
          <w:b/>
          <w:color w:val="1B365D"/>
          <w:sz w:val="32"/>
        </w:rPr>
        <w:t>12. Controle do Documento</w:t>
      </w:r>
    </w:p>
    <w:tbl>
      <w:tblPr>
        <w:tblW w:type="auto" w:w="0"/>
        <w:jc w:val="center"/>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Helvetica" w:hAnsi="Helvetica"/>
                <w:b/>
                <w:color w:val="FFFFFF"/>
                <w:sz w:val="19"/>
              </w:rPr>
              <w:t>Parâmetro</w:t>
            </w:r>
          </w:p>
        </w:tc>
        <w:tc>
          <w:tcPr>
            <w:tcW w:type="dxa" w:w="4680"/>
            <w:shd w:fill="1B365D"/>
            <w:tcMar>
              <w:top w:w="120" w:type="dxa"/>
              <w:bottom w:w="120" w:type="dxa"/>
              <w:left w:w="150" w:type="dxa"/>
              <w:right w:w="150" w:type="dxa"/>
            </w:tcMar>
          </w:tcPr>
          <w:p>
            <w:r>
              <w:rPr>
                <w:rFonts w:ascii="Helvetica" w:hAnsi="Helvetica"/>
                <w:b/>
                <w:color w:val="FFFFFF"/>
                <w:sz w:val="19"/>
              </w:rPr>
              <w:t>Detalhe</w:t>
            </w:r>
          </w:p>
        </w:tc>
      </w:tr>
      <w:tr>
        <w:tc>
          <w:tcPr>
            <w:tcW w:type="dxa" w:w="4680"/>
            <w:shd w:fill="FFFFFF"/>
            <w:tcMar>
              <w:top w:w="100" w:type="dxa"/>
              <w:bottom w:w="100" w:type="dxa"/>
              <w:left w:w="150" w:type="dxa"/>
              <w:right w:w="150" w:type="dxa"/>
            </w:tcMar>
          </w:tcPr>
          <w:p>
            <w:r>
              <w:rPr>
                <w:rFonts w:ascii="Helvetica" w:hAnsi="Helvetica"/>
                <w:color w:val="2D3748"/>
                <w:sz w:val="18"/>
              </w:rPr>
              <w:t>Documento</w:t>
            </w:r>
          </w:p>
        </w:tc>
        <w:tc>
          <w:tcPr>
            <w:tcW w:type="dxa" w:w="4680"/>
            <w:shd w:fill="FFFFFF"/>
            <w:tcMar>
              <w:top w:w="100" w:type="dxa"/>
              <w:bottom w:w="100" w:type="dxa"/>
              <w:left w:w="150" w:type="dxa"/>
              <w:right w:w="150" w:type="dxa"/>
            </w:tcMar>
          </w:tcPr>
          <w:p>
            <w:r>
              <w:rPr>
                <w:rFonts w:ascii="Helvetica" w:hAnsi="Helvetica"/>
                <w:color w:val="2D3748"/>
                <w:sz w:val="18"/>
              </w:rPr>
              <w:t>Manual de Identidade Visual</w:t>
            </w:r>
          </w:p>
        </w:tc>
      </w:tr>
      <w:tr>
        <w:tc>
          <w:tcPr>
            <w:tcW w:type="dxa" w:w="4680"/>
            <w:shd w:fill="F7F9FA"/>
            <w:tcMar>
              <w:top w:w="100" w:type="dxa"/>
              <w:bottom w:w="100" w:type="dxa"/>
              <w:left w:w="150" w:type="dxa"/>
              <w:right w:w="150" w:type="dxa"/>
            </w:tcMar>
          </w:tcPr>
          <w:p>
            <w:r>
              <w:rPr>
                <w:rFonts w:ascii="Helvetica" w:hAnsi="Helvetica"/>
                <w:color w:val="2D3748"/>
                <w:sz w:val="18"/>
              </w:rPr>
              <w:t>Versão</w:t>
            </w:r>
          </w:p>
        </w:tc>
        <w:tc>
          <w:tcPr>
            <w:tcW w:type="dxa" w:w="4680"/>
            <w:shd w:fill="F7F9FA"/>
            <w:tcMar>
              <w:top w:w="100" w:type="dxa"/>
              <w:bottom w:w="100" w:type="dxa"/>
              <w:left w:w="150" w:type="dxa"/>
              <w:right w:w="150" w:type="dxa"/>
            </w:tcMar>
          </w:tcPr>
          <w:p>
            <w:r>
              <w:rPr>
                <w:rFonts w:ascii="Helvetica" w:hAnsi="Helvetica"/>
                <w:color w:val="2D3748"/>
                <w:sz w:val="18"/>
              </w:rPr>
              <w:t>1.0</w:t>
            </w:r>
          </w:p>
        </w:tc>
      </w:tr>
      <w:tr>
        <w:tc>
          <w:tcPr>
            <w:tcW w:type="dxa" w:w="4680"/>
            <w:shd w:fill="FFFFFF"/>
            <w:tcMar>
              <w:top w:w="100" w:type="dxa"/>
              <w:bottom w:w="100" w:type="dxa"/>
              <w:left w:w="150" w:type="dxa"/>
              <w:right w:w="150" w:type="dxa"/>
            </w:tcMar>
          </w:tcPr>
          <w:p>
            <w:r>
              <w:rPr>
                <w:rFonts w:ascii="Helvetica" w:hAnsi="Helvetica"/>
                <w:color w:val="2D3748"/>
                <w:sz w:val="18"/>
              </w:rPr>
              <w:t>Última atualização</w:t>
            </w:r>
          </w:p>
        </w:tc>
        <w:tc>
          <w:tcPr>
            <w:tcW w:type="dxa" w:w="4680"/>
            <w:shd w:fill="FFFFFF"/>
            <w:tcMar>
              <w:top w:w="100" w:type="dxa"/>
              <w:bottom w:w="100" w:type="dxa"/>
              <w:left w:w="150" w:type="dxa"/>
              <w:right w:w="150" w:type="dxa"/>
            </w:tcMar>
          </w:tcPr>
          <w:p>
            <w:r>
              <w:rPr>
                <w:rFonts w:ascii="Helvetica" w:hAnsi="Helvetica"/>
                <w:color w:val="2D3748"/>
                <w:sz w:val="18"/>
              </w:rPr>
              <w:t>Julho de 2026</w:t>
            </w:r>
          </w:p>
        </w:tc>
      </w:tr>
      <w:tr>
        <w:tc>
          <w:tcPr>
            <w:tcW w:type="dxa" w:w="4680"/>
            <w:shd w:fill="F7F9FA"/>
            <w:tcMar>
              <w:top w:w="100" w:type="dxa"/>
              <w:bottom w:w="100" w:type="dxa"/>
              <w:left w:w="150" w:type="dxa"/>
              <w:right w:w="150" w:type="dxa"/>
            </w:tcMar>
          </w:tcPr>
          <w:p>
            <w:r>
              <w:rPr>
                <w:rFonts w:ascii="Helvetica" w:hAnsi="Helvetica"/>
                <w:color w:val="2D3748"/>
                <w:sz w:val="18"/>
              </w:rPr>
              <w:t>Departamento responsável</w:t>
            </w:r>
          </w:p>
        </w:tc>
        <w:tc>
          <w:tcPr>
            <w:tcW w:type="dxa" w:w="4680"/>
            <w:shd w:fill="F7F9FA"/>
            <w:tcMar>
              <w:top w:w="100" w:type="dxa"/>
              <w:bottom w:w="100" w:type="dxa"/>
              <w:left w:w="150" w:type="dxa"/>
              <w:right w:w="150" w:type="dxa"/>
            </w:tcMar>
          </w:tcPr>
          <w:p>
            <w:r>
              <w:rPr>
                <w:rFonts w:ascii="Helvetica" w:hAnsi="Helvetica"/>
                <w:color w:val="2D3748"/>
                <w:sz w:val="18"/>
              </w:rPr>
              <w:t>Comunicação Corporativa &amp; Marketing Institucional</w:t>
            </w:r>
          </w:p>
        </w:tc>
      </w:tr>
      <w:tr>
        <w:tc>
          <w:tcPr>
            <w:tcW w:type="dxa" w:w="4680"/>
            <w:shd w:fill="FFFFFF"/>
            <w:tcMar>
              <w:top w:w="100" w:type="dxa"/>
              <w:bottom w:w="100" w:type="dxa"/>
              <w:left w:w="150" w:type="dxa"/>
              <w:right w:w="150" w:type="dxa"/>
            </w:tcMar>
          </w:tcPr>
          <w:p>
            <w:r>
              <w:rPr>
                <w:rFonts w:ascii="Helvetica" w:hAnsi="Helvetica"/>
                <w:color w:val="2D3748"/>
                <w:sz w:val="18"/>
              </w:rPr>
              <w:t>Classificação</w:t>
            </w:r>
          </w:p>
        </w:tc>
        <w:tc>
          <w:tcPr>
            <w:tcW w:type="dxa" w:w="4680"/>
            <w:shd w:fill="FFFFFF"/>
            <w:tcMar>
              <w:top w:w="100" w:type="dxa"/>
              <w:bottom w:w="100" w:type="dxa"/>
              <w:left w:w="150" w:type="dxa"/>
              <w:right w:w="150" w:type="dxa"/>
            </w:tcMar>
          </w:tcPr>
          <w:p>
            <w:r>
              <w:rPr>
                <w:rFonts w:ascii="Helvetica" w:hAnsi="Helvetica"/>
                <w:color w:val="2D3748"/>
                <w:sz w:val="18"/>
              </w:rPr>
              <w:t>Uso Interno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