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>UNIVERSIDAD NACIONAL DE MOQUEGUA</w:t>
      </w:r>
    </w:p>
    <w:p>
      <w:pPr>
        <w:spacing w:after="160"/>
        <w:jc w:val="center"/>
      </w:pP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>ESCUELA PROFESIONAL DE MEDICINA</w:t>
      </w:r>
    </w:p>
    <w:p>
      <w:pPr>
        <w:spacing w:after="160"/>
        <w:jc w:val="center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drawing>
          <wp:inline xmlns:a="http://schemas.openxmlformats.org/drawingml/2006/main" xmlns:pic="http://schemas.openxmlformats.org/drawingml/2006/picture">
            <wp:extent cx="1508760" cy="16615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wnlo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661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>BIOQUÍMICA MÉDICA</w:t>
      </w:r>
    </w:p>
    <w:p>
      <w:pPr>
        <w:spacing w:after="160"/>
        <w:jc w:val="center"/>
      </w:pP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>PRÁCTICA N.° 05</w:t>
      </w:r>
    </w:p>
    <w:p>
      <w:pPr>
        <w:spacing w:after="160"/>
        <w:jc w:val="center"/>
      </w:pP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>Metabolismo de la glucosa:</w:t>
        <w:br/>
        <w:t>su relación con la diabetes</w:t>
      </w:r>
    </w:p>
    <w:p>
      <w:pPr>
        <w:spacing w:after="160"/>
        <w:jc w:val="center"/>
      </w:pPr>
      <w:r>
        <w:rPr>
          <w:b w:val="0"/>
          <w:rFonts w:ascii="Times New Roman" w:hAnsi="Times New Roman" w:eastAsia="Times New Roman" w:cs="Times New Roman"/>
          <w:sz w:val="24"/>
          <w:szCs w:val="24"/>
          <w:color w:val="000000"/>
        </w:rPr>
        <w:t>Cuestionario e informe digital de resultados</w:t>
      </w:r>
    </w:p>
    <w:p>
      <w:pPr>
        <w:spacing w:after="160"/>
        <w:jc w:val="center"/>
      </w:pP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>Docente</w:t>
      </w:r>
    </w:p>
    <w:p>
      <w:pPr>
        <w:spacing w:after="160"/>
        <w:jc w:val="center"/>
      </w:pPr>
      <w:r>
        <w:rPr>
          <w:b w:val="0"/>
          <w:rFonts w:ascii="Times New Roman" w:hAnsi="Times New Roman" w:eastAsia="Times New Roman" w:cs="Times New Roman"/>
          <w:sz w:val="24"/>
          <w:szCs w:val="24"/>
          <w:color w:val="000000"/>
        </w:rPr>
        <w:t>M.C. Clinthon Oliver Ugarte Espinoza</w:t>
      </w:r>
    </w:p>
    <w:p>
      <w:pPr>
        <w:spacing w:after="160"/>
        <w:jc w:val="center"/>
      </w:pP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>Jefa de prácticas</w:t>
      </w:r>
    </w:p>
    <w:p>
      <w:pPr>
        <w:spacing w:after="160"/>
        <w:jc w:val="center"/>
      </w:pPr>
      <w:r>
        <w:rPr>
          <w:b w:val="0"/>
          <w:rFonts w:ascii="Times New Roman" w:hAnsi="Times New Roman" w:eastAsia="Times New Roman" w:cs="Times New Roman"/>
          <w:sz w:val="24"/>
          <w:szCs w:val="24"/>
          <w:color w:val="000000"/>
        </w:rPr>
        <w:t>Lic. Judith Melania Coaquira Quispe</w:t>
      </w:r>
    </w:p>
    <w:p>
      <w:pPr>
        <w:spacing w:after="160"/>
        <w:jc w:val="center"/>
      </w:pP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>Estudiante</w:t>
      </w:r>
    </w:p>
    <w:p>
      <w:pPr>
        <w:spacing w:after="160"/>
        <w:jc w:val="center"/>
      </w:pPr>
      <w:r>
        <w:rPr>
          <w:b w:val="0"/>
          <w:rFonts w:ascii="Times New Roman" w:hAnsi="Times New Roman" w:eastAsia="Times New Roman" w:cs="Times New Roman"/>
          <w:sz w:val="24"/>
          <w:szCs w:val="24"/>
          <w:color w:val="000000"/>
        </w:rPr>
        <w:t>Vallery Y. Cuayla Platero · Grupo A</w:t>
      </w:r>
    </w:p>
    <w:p>
      <w:pPr>
        <w:spacing w:after="160"/>
        <w:jc w:val="center"/>
      </w:pPr>
      <w:r>
        <w:rPr>
          <w:b w:val="0"/>
          <w:rFonts w:ascii="Times New Roman" w:hAnsi="Times New Roman" w:eastAsia="Times New Roman" w:cs="Times New Roman"/>
          <w:sz w:val="24"/>
          <w:szCs w:val="24"/>
          <w:color w:val="000000"/>
        </w:rPr>
        <w:t>Moquegua, Perú · 2026</w:t>
      </w:r>
    </w:p>
    <w:p>
      <w:pPr>
        <w:spacing w:after="160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Heading1"/>
        <w:spacing w:after="160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Resultados</w:t>
      </w:r>
    </w:p>
    <w:p>
      <w:pPr>
        <w:spacing w:after="160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Tablas, curvas individuales y grupales, discusión bioquímica, conclusiones y evidencia fotográfica de los dos experimentos.</w:t>
      </w:r>
    </w:p>
    <w:p>
      <w:pPr>
        <w:spacing w:after="160"/>
      </w:pPr>
      <w:hyperlink r:id="rId14">
        <w:r>
          <w:rPr>
            <w:rFonts w:ascii="Times New Roman" w:hAnsi="Times New Roman" w:eastAsia="Times New Roman" w:cs="Times New Roman"/>
            <w:sz w:val="24"/>
            <w:szCs w:val="24"/>
            <w:color w:val="000000"/>
          </w:rPr>
          <w:t>Abrir práctica 05 en Bioquímica LabMed</w:t>
        </w:r>
      </w:hyperlink>
    </w:p>
    <w:p>
      <w:pPr>
        <w:spacing w:after="160"/>
        <w:jc w:val="center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drawing>
          <wp:inline xmlns:a="http://schemas.openxmlformats.org/drawingml/2006/main" xmlns:pic="http://schemas.openxmlformats.org/drawingml/2006/picture">
            <wp:extent cx="1554480" cy="1554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p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rFonts w:ascii="Times New Roman" w:hAnsi="Times New Roman" w:eastAsia="Times New Roman" w:cs="Times New Roman"/>
          <w:sz w:val="24"/>
          <w:szCs w:val="24"/>
          <w:color w:val="000000"/>
        </w:rPr>
        <w:t>https://yasmin-hash1324.github.io/bioquimica-labmed/#p05</w:t>
      </w:r>
    </w:p>
    <w:p>
      <w:pPr>
        <w:spacing w:after="160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Heading1"/>
        <w:spacing w:after="160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Cuestionario</w:t>
      </w:r>
    </w:p>
    <w:p>
      <w:pPr>
        <w:pStyle w:val="Heading2"/>
        <w:spacing w:after="160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1. ¿Cuáles son las instrucciones específicas que se le deben dar al paciente sobre el ayuno, la actividad física y la medicación antes de realizar una TTG?</w:t>
      </w:r>
    </w:p>
    <w:p>
      <w:pPr>
        <w:spacing w:after="160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Mantener la alimentación y actividad habituales durante los tres días previos, con al menos 150 g diarios de carbohidratos; evitar restricciones de carbohidratos y ejercicio intenso inusual. Acudir por la mañana tras un ayuno de al menos 8 horas, tomando únicamente agua. Durante la prueba, permanecer sentado y no comer, fumar ni realizar ejercicio. La carga del adulto no embarazado equivale a 75 g de glucosa anhidra disuelta en agua [1–3].</w:t>
      </w:r>
    </w:p>
    <w:p>
      <w:pPr>
        <w:spacing w:after="160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Informar todos los medicamentos y suplementos. El profesional debe revisar los que modifican la glucemia, como glucocorticoides o fármacos hipoglucemiantes, y definir si corresponde ajustar su horario o posponer el examen. El paciente no debe suspenderlos por cuenta propia. Una enfermedad aguda o una preparación inadecuada deben comunicarse antes de iniciar la prueba [3].</w:t>
      </w:r>
    </w:p>
    <w:p>
      <w:pPr>
        <w:pStyle w:val="Heading2"/>
        <w:spacing w:after="160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2. En una TTG de 2 horas con 75 g de glucosa para un adulto no embarazado, ¿cuáles son los valores de glucosa plasmática en ayunas y a las 2 horas que definen un resultado normal, prediabetes y diabetes?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Categoría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Ayunas (mg/dL)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 horas (mg/dL)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Normal*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&lt;100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&lt;140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Prediabetes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100–125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140–199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Diabetes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≥126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≥200</w:t>
            </w:r>
          </w:p>
        </w:tc>
      </w:tr>
    </w:tbl>
    <w:p>
      <w:pPr>
        <w:spacing w:after="160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*La categoría normal en esta tabla se refiere a los límites superiores para detectar hiperglucemia; no clasifica valores bajos. Criterios ADA para plasma venoso y adultos no embarazados [1,2].</w:t>
      </w:r>
    </w:p>
    <w:p>
      <w:pPr>
        <w:spacing w:after="160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La glucemia alterada en ayunas y la intolerancia a la glucosa pueden aparecer por separado; no es necesario que ambos valores estén alterados. Sin hiperglucemia inequívoca, el diagnóstico de diabetes requiere confirmación. Las lecturas capilares de esta práctica y el horario final aproximado no equivalen a una PTOG diagnóstica de laboratorio [1,2].</w:t>
      </w:r>
    </w:p>
    <w:p>
      <w:pPr>
        <w:spacing w:after="160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Heading1"/>
        <w:spacing w:after="160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Cuestionario · continuación</w:t>
      </w:r>
    </w:p>
    <w:p>
      <w:pPr>
        <w:pStyle w:val="Heading2"/>
        <w:spacing w:after="160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3. Mencione dos indicaciones principales por las cuales se solicita una prueba de tolerancia a la glucosa, y explique en qué contexto es especialmente útil.</w:t>
      </w:r>
    </w:p>
    <w:p>
      <w:pPr>
        <w:spacing w:after="160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Primera: esclarecer una sospecha de alteración del metabolismo de la glucosa cuando la glucemia en ayunas o la HbA1c son limítrofes o discordantes. La medición posterior a la carga puede detectar intolerancia a la glucosa que no se evidencia en ayunas [1,3].</w:t>
      </w:r>
    </w:p>
    <w:p>
      <w:pPr>
        <w:spacing w:after="160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Segunda: evaluar a personas con riesgo elevado de diabetes tipo 2, por ejemplo, con sobrepeso u obesidad junto con antecedentes familiares u otros factores de riesgo, cuando la evaluación inicial no resuelve la sospecha. Resulta útil para identificar alteraciones poscarga y orientar el seguimiento. La selección de la prueba depende de la evaluación clínica; no todos los pacientes necesitan una PTOG [1,2].</w:t>
      </w:r>
    </w:p>
    <w:p>
      <w:pPr>
        <w:pStyle w:val="Heading2"/>
        <w:spacing w:after="160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4. Antes de someter a un paciente con diabetes a un test de ejercicio modificado, ¿en qué situaciones clínicas estaría formalmente contraindicado o requeriría una evaluación cardiovascular previa exhaustiva?</w:t>
      </w:r>
    </w:p>
    <w:p>
      <w:pPr>
        <w:spacing w:after="160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Debe posponerse ante hipoglucemia no corregida, cetoacidosis o hiperglucemia acompañada de cetosis significativa. Ante enfermedad cardiovascular inestable —como angina inestable, insuficiencia cardíaca descompensada o arritmias con repercusión clínica— no se debe iniciar una prueba docente de ejercicio; corresponde estabilización y valoración médica [4].</w:t>
      </w:r>
    </w:p>
    <w:p>
      <w:pPr>
        <w:spacing w:after="160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Dolor torácico, disnea desproporcionada, síncope, cardiopatía conocida, neuropatía autonómica o la intención de realizar actividad intensa justifican una evaluación individual previa. El profesional decide si requiere electrocardiograma, prueba de esfuerzo supervisada u otros estudios. Tener diabetes, por sí solo, no obliga a un estudio cardiovascular exhaustivo antes de actividad ligera o moderada en una persona asintomática [4].</w:t>
      </w:r>
    </w:p>
    <w:p>
      <w:pPr>
        <w:spacing w:after="160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Además, la retinopatía proliferativa inestable exige evitar esfuerzos intensos; las úlceras activas del pie requieren modificar las actividades con carga. Deben revisarse medicación, glucemia, hidratación y capacidad funcional [4].</w:t>
      </w:r>
    </w:p>
    <w:p>
      <w:pPr>
        <w:spacing w:after="160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Heading1"/>
        <w:spacing w:after="160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Bibliografía</w:t>
      </w:r>
    </w:p>
    <w:p>
      <w:pPr>
        <w:spacing w:after="240" w:line="24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1. American Diabetes Association Professional Practice Committee. 2. Diagnosis and classification of diabetes: Standards of Care in Diabetes—2026. Diabetes Care. 2026;49(Suppl 1):S27-S49. doi:10.2337/dc26-S002.</w:t>
      </w:r>
    </w:p>
    <w:p>
      <w:pPr>
        <w:spacing w:after="240" w:line="24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2. National Institute of Diabetes and Digestive and Kidney Diseases. Diabetes tests &amp; diagnosis [Internet]. Bethesda (MD): NIDDK; 2022 [citado 21 oct 2026]. Disponible en: https://www.niddk.nih.gov/health-information/diabetes/overview/tests-diagnosis</w:t>
      </w:r>
    </w:p>
    <w:p>
      <w:pPr>
        <w:spacing w:after="240" w:line="24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3. Phillips PJ. Oral glucose tolerance testing. Aust Fam Physician. 2012;41(6):391-3.</w:t>
      </w:r>
    </w:p>
    <w:p>
      <w:pPr>
        <w:spacing w:after="240" w:line="24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4. Colberg SR, Sigal RJ, Yardley JE, Riddell MC, Dunstan DW, Dempsey PC, et al. Physical activity/exercise and diabetes: a position statement of the American Diabetes Association. Diabetes Care. 2016;39(11):2065-79. doi:10.2337/dc16-1728.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1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  <w:color w:val="000000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  <w:color w:val="000000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color w:val="000000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color w:val="000000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00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000000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  <w:color w:val="000000"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000000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000000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000000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000000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000000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color w:val="000000"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doi.org/10.2337/dc26-S002" TargetMode="External"/><Relationship Id="rId11" Type="http://schemas.openxmlformats.org/officeDocument/2006/relationships/hyperlink" Target="https://www.niddk.nih.gov/health-information/diabetes/overview/tests-diagnosis" TargetMode="External"/><Relationship Id="rId12" Type="http://schemas.openxmlformats.org/officeDocument/2006/relationships/hyperlink" Target="https://www.racgp.org.au/afp/2012/june/oral-glucose-tolerance-testing" TargetMode="External"/><Relationship Id="rId13" Type="http://schemas.openxmlformats.org/officeDocument/2006/relationships/hyperlink" Target="https://doi.org/10.2337/dc16-1728" TargetMode="External"/><Relationship Id="rId14" Type="http://schemas.openxmlformats.org/officeDocument/2006/relationships/hyperlink" Target="https://yasmin-hash1324.github.io/bioquimica-labmed/#p05" TargetMode="External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