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UNIVERSIDAD NACIONAL DE MOQUEGUA</w:t>
      </w:r>
    </w:p>
    <w:p>
      <w:pPr>
        <w:jc w:val="center"/>
      </w:pPr>
      <w:r>
        <w:rPr>
          <w:b/>
          <w:sz w:val="24"/>
        </w:rPr>
        <w:t>ESCUELA PROFESIONAL DE MEDICINA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08760" cy="1661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wnlo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1661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8"/>
        </w:rPr>
        <w:t>BIOQUÍMICA MÉDICA</w:t>
      </w:r>
    </w:p>
    <w:p>
      <w:pPr>
        <w:jc w:val="center"/>
      </w:pPr>
      <w:r>
        <w:rPr>
          <w:b/>
          <w:sz w:val="30"/>
        </w:rPr>
        <w:t>PRÁCTICA N.° 05</w:t>
      </w:r>
    </w:p>
    <w:p>
      <w:pPr>
        <w:jc w:val="center"/>
      </w:pPr>
      <w:r>
        <w:rPr>
          <w:b/>
          <w:sz w:val="46"/>
        </w:rPr>
        <w:t>Metabolismo de la glucosa:</w:t>
        <w:br/>
        <w:t>su relación con la diabetes</w:t>
      </w:r>
    </w:p>
    <w:p>
      <w:pPr>
        <w:jc w:val="center"/>
      </w:pPr>
      <w:r>
        <w:rPr>
          <w:b w:val="0"/>
          <w:sz w:val="24"/>
        </w:rPr>
        <w:t>Cuestionario e informe digital de resultados</w:t>
      </w:r>
    </w:p>
    <w:p>
      <w:pPr>
        <w:jc w:val="center"/>
      </w:pPr>
      <w:r>
        <w:rPr>
          <w:b/>
          <w:sz w:val="20"/>
        </w:rPr>
        <w:t>Docente</w:t>
      </w:r>
    </w:p>
    <w:p>
      <w:pPr>
        <w:jc w:val="center"/>
      </w:pPr>
      <w:r>
        <w:rPr>
          <w:b w:val="0"/>
          <w:sz w:val="24"/>
        </w:rPr>
        <w:t>M.C. Clinthon Oliver Ugarte Espinoza</w:t>
      </w:r>
    </w:p>
    <w:p>
      <w:pPr>
        <w:jc w:val="center"/>
      </w:pPr>
      <w:r>
        <w:rPr>
          <w:b/>
          <w:sz w:val="20"/>
        </w:rPr>
        <w:t>Jefa de prácticas</w:t>
      </w:r>
    </w:p>
    <w:p>
      <w:pPr>
        <w:jc w:val="center"/>
      </w:pPr>
      <w:r>
        <w:rPr>
          <w:b w:val="0"/>
          <w:sz w:val="24"/>
        </w:rPr>
        <w:t>Lic. Judith Melania Coaquira Quispe</w:t>
      </w:r>
    </w:p>
    <w:p>
      <w:pPr>
        <w:jc w:val="center"/>
      </w:pPr>
      <w:r>
        <w:rPr>
          <w:b/>
          <w:sz w:val="20"/>
        </w:rPr>
        <w:t>Estudiante</w:t>
      </w:r>
    </w:p>
    <w:p>
      <w:pPr>
        <w:jc w:val="center"/>
      </w:pPr>
      <w:r>
        <w:rPr>
          <w:b w:val="0"/>
          <w:sz w:val="24"/>
        </w:rPr>
        <w:t>Vallery Y. Cuayla Platero · Grupo A</w:t>
      </w:r>
    </w:p>
    <w:p>
      <w:pPr>
        <w:jc w:val="center"/>
      </w:pPr>
      <w:r>
        <w:rPr>
          <w:b w:val="0"/>
          <w:sz w:val="22"/>
        </w:rPr>
        <w:t>Moquegua, Perú · 2026</w:t>
      </w:r>
    </w:p>
    <w:p>
      <w:r>
        <w:br w:type="page"/>
      </w:r>
    </w:p>
    <w:p>
      <w:pPr>
        <w:pStyle w:val="Heading1"/>
      </w:pPr>
      <w:r>
        <w:t>Cuestionario</w:t>
      </w:r>
    </w:p>
    <w:p>
      <w:pPr>
        <w:pStyle w:val="Heading2"/>
      </w:pPr>
      <w:r>
        <w:t>1. ¿Cuáles son las instrucciones específicas que se le deben dar al paciente sobre el ayuno, la actividad física y la medicación antes de realizar una TTG?</w:t>
      </w:r>
    </w:p>
    <w:p>
      <w:r>
        <w:t>Mantener la alimentación y actividad habituales durante los tres días previos, con al menos 150 g diarios de carbohidratos; evitar restricciones de carbohidratos y ejercicio intenso inusual. Acudir por la mañana tras un ayuno de al menos 8 horas, tomando únicamente agua. Durante la prueba, permanecer sentado y no comer, fumar ni realizar ejercicio. La carga del adulto no embarazado equivale a 75 g de glucosa anhidra disuelta en agua [1–3].</w:t>
      </w:r>
    </w:p>
    <w:p>
      <w:r>
        <w:t>Informar todos los medicamentos y suplementos. El profesional debe revisar los que modifican la glucemia, como glucocorticoides o fármacos hipoglucemiantes, y definir si corresponde ajustar su horario o posponer el examen. El paciente no debe suspenderlos por cuenta propia. Una enfermedad aguda o una preparación inadecuada deben comunicarse antes de iniciar la prueba [3].</w:t>
      </w:r>
    </w:p>
    <w:p>
      <w:pPr>
        <w:pStyle w:val="Heading2"/>
      </w:pPr>
      <w:r>
        <w:t>2. En una TTG de 2 horas con 75 g de glucosa para un adulto no embarazado, ¿cuáles son los valores de glucosa plasmática en ayunas y a las 2 horas que definen un resultado normal, prediabetes y diabetes?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>
              <w:t>Categoría</w:t>
            </w:r>
          </w:p>
        </w:tc>
        <w:tc>
          <w:tcPr>
            <w:tcW w:type="dxa" w:w="3099"/>
          </w:tcPr>
          <w:p>
            <w:r>
              <w:t>Ayunas (mg/dL)</w:t>
            </w:r>
          </w:p>
        </w:tc>
        <w:tc>
          <w:tcPr>
            <w:tcW w:type="dxa" w:w="3099"/>
          </w:tcPr>
          <w:p>
            <w:r>
              <w:t>2 horas (mg/dL)</w:t>
            </w:r>
          </w:p>
        </w:tc>
      </w:tr>
      <w:tr>
        <w:tc>
          <w:tcPr>
            <w:tcW w:type="dxa" w:w="3099"/>
          </w:tcPr>
          <w:p>
            <w:r>
              <w:t>Normal*</w:t>
            </w:r>
          </w:p>
        </w:tc>
        <w:tc>
          <w:tcPr>
            <w:tcW w:type="dxa" w:w="3099"/>
          </w:tcPr>
          <w:p>
            <w:r>
              <w:t>&lt;100</w:t>
            </w:r>
          </w:p>
        </w:tc>
        <w:tc>
          <w:tcPr>
            <w:tcW w:type="dxa" w:w="3099"/>
          </w:tcPr>
          <w:p>
            <w:r>
              <w:t>&lt;140</w:t>
            </w:r>
          </w:p>
        </w:tc>
      </w:tr>
      <w:tr>
        <w:tc>
          <w:tcPr>
            <w:tcW w:type="dxa" w:w="3099"/>
          </w:tcPr>
          <w:p>
            <w:r>
              <w:t>Prediabetes</w:t>
            </w:r>
          </w:p>
        </w:tc>
        <w:tc>
          <w:tcPr>
            <w:tcW w:type="dxa" w:w="3099"/>
          </w:tcPr>
          <w:p>
            <w:r>
              <w:t>100–125</w:t>
            </w:r>
          </w:p>
        </w:tc>
        <w:tc>
          <w:tcPr>
            <w:tcW w:type="dxa" w:w="3099"/>
          </w:tcPr>
          <w:p>
            <w:r>
              <w:t>140–199</w:t>
            </w:r>
          </w:p>
        </w:tc>
      </w:tr>
      <w:tr>
        <w:tc>
          <w:tcPr>
            <w:tcW w:type="dxa" w:w="3099"/>
          </w:tcPr>
          <w:p>
            <w:r>
              <w:t>Diabetes</w:t>
            </w:r>
          </w:p>
        </w:tc>
        <w:tc>
          <w:tcPr>
            <w:tcW w:type="dxa" w:w="3099"/>
          </w:tcPr>
          <w:p>
            <w:r>
              <w:t>≥126</w:t>
            </w:r>
          </w:p>
        </w:tc>
        <w:tc>
          <w:tcPr>
            <w:tcW w:type="dxa" w:w="3099"/>
          </w:tcPr>
          <w:p>
            <w:r>
              <w:t>≥200</w:t>
            </w:r>
          </w:p>
        </w:tc>
      </w:tr>
    </w:tbl>
    <w:p>
      <w:r>
        <w:t>*La categoría normal en esta tabla se refiere a los límites superiores para detectar hiperglucemia; no clasifica valores bajos. Criterios ADA para plasma venoso y adultos no embarazados [1,2].</w:t>
      </w:r>
    </w:p>
    <w:p>
      <w:r>
        <w:t>La glucemia alterada en ayunas y la intolerancia a la glucosa pueden aparecer por separado; no es necesario que ambos valores estén alterados. Sin hiperglucemia inequívoca, el diagnóstico de diabetes requiere confirmación. Las lecturas capilares de esta práctica y el horario final aproximado no equivalen a una PTOG diagnóstica de laboratorio [1,2].</w:t>
      </w:r>
    </w:p>
    <w:p>
      <w:r>
        <w:br w:type="page"/>
      </w:r>
    </w:p>
    <w:p>
      <w:pPr>
        <w:pStyle w:val="Heading1"/>
      </w:pPr>
      <w:r>
        <w:t>Cuestionario · continuación</w:t>
      </w:r>
    </w:p>
    <w:p>
      <w:pPr>
        <w:pStyle w:val="Heading2"/>
      </w:pPr>
      <w:r>
        <w:t>3. Mencione dos indicaciones principales por las cuales se solicita una prueba de tolerancia a la glucosa, y explique en qué contexto es especialmente útil.</w:t>
      </w:r>
    </w:p>
    <w:p>
      <w:r>
        <w:t>Primera: esclarecer una sospecha de alteración del metabolismo de la glucosa cuando la glucemia en ayunas o la HbA1c son limítrofes o discordantes. La medición posterior a la carga puede detectar intolerancia a la glucosa que no se evidencia en ayunas [1,3].</w:t>
      </w:r>
    </w:p>
    <w:p>
      <w:r>
        <w:t>Segunda: evaluar a personas con riesgo elevado de diabetes tipo 2, por ejemplo, con sobrepeso u obesidad junto con antecedentes familiares u otros factores de riesgo, cuando la evaluación inicial no resuelve la sospecha. Resulta útil para identificar alteraciones poscarga y orientar el seguimiento. La selección de la prueba depende de la evaluación clínica; no todos los pacientes necesitan una PTOG [1,2].</w:t>
      </w:r>
    </w:p>
    <w:p>
      <w:pPr>
        <w:pStyle w:val="Heading2"/>
      </w:pPr>
      <w:r>
        <w:t>4. Antes de someter a un paciente con diabetes a un test de ejercicio modificado, ¿en qué situaciones clínicas estaría formalmente contraindicado o requeriría una evaluación cardiovascular previa exhaustiva?</w:t>
      </w:r>
    </w:p>
    <w:p>
      <w:r>
        <w:t>Debe posponerse ante hipoglucemia no corregida, cetoacidosis o hiperglucemia acompañada de cetosis significativa. Ante enfermedad cardiovascular inestable —como angina inestable, insuficiencia cardíaca descompensada o arritmias con repercusión clínica— no se debe iniciar una prueba docente de ejercicio; corresponde estabilización y valoración médica [4].</w:t>
      </w:r>
    </w:p>
    <w:p>
      <w:r>
        <w:t>Dolor torácico, disnea desproporcionada, síncope, cardiopatía conocida, neuropatía autonómica o la intención de realizar actividad intensa justifican una evaluación individual previa. El profesional decide si requiere electrocardiograma, prueba de esfuerzo supervisada u otros estudios. Tener diabetes, por sí solo, no obliga a un estudio cardiovascular exhaustivo antes de actividad ligera o moderada en una persona asintomática [4].</w:t>
      </w:r>
    </w:p>
    <w:p>
      <w:r>
        <w:t>Además, la retinopatía proliferativa inestable exige evitar esfuerzos intensos; las úlceras activas del pie requieren modificar las actividades con carga. Deben revisarse medicación, glucemia, hidratación y capacidad funcional [4].</w:t>
      </w:r>
    </w:p>
    <w:p>
      <w:r>
        <w:br w:type="page"/>
      </w:r>
    </w:p>
    <w:p>
      <w:pPr>
        <w:pStyle w:val="Heading1"/>
      </w:pPr>
      <w:r>
        <w:t>Bibliografía</w:t>
      </w:r>
    </w:p>
    <w:p>
      <w:pPr>
        <w:spacing w:after="80"/>
      </w:pPr>
      <w:r>
        <w:rPr>
          <w:sz w:val="18"/>
        </w:rPr>
        <w:t>1. American Diabetes Association Professional Practice Committee. Diagnosis and Classification of Diabetes: Standards of Care in Diabetes—2026. Diabetes Care. 2026;49(Suppl 1):S27–S49.</w:t>
      </w:r>
    </w:p>
    <w:p>
      <w:pPr>
        <w:spacing w:after="140"/>
      </w:pPr>
      <w:hyperlink r:id="rId10">
        <w:r>
          <w:rPr>
            <w:color w:val="163B8C"/>
          </w:rPr>
          <w:t>https://doi.org/10.2337/dc26-S002</w:t>
        </w:r>
      </w:hyperlink>
    </w:p>
    <w:p>
      <w:pPr>
        <w:spacing w:after="80"/>
      </w:pPr>
      <w:r>
        <w:rPr>
          <w:sz w:val="18"/>
        </w:rPr>
        <w:t>2. National Institute of Diabetes and Digestive and Kidney Diseases. Diabetes Tests &amp; Diagnosis.</w:t>
      </w:r>
    </w:p>
    <w:p>
      <w:pPr>
        <w:spacing w:after="140"/>
      </w:pPr>
      <w:hyperlink r:id="rId11">
        <w:r>
          <w:rPr>
            <w:color w:val="163B8C"/>
          </w:rPr>
          <w:t>https://www.niddk.nih.gov/health-information/diabetes/overview/tests-diagnosis</w:t>
        </w:r>
      </w:hyperlink>
    </w:p>
    <w:p>
      <w:pPr>
        <w:spacing w:after="80"/>
      </w:pPr>
      <w:r>
        <w:rPr>
          <w:sz w:val="18"/>
        </w:rPr>
        <w:t>3. Phillips PJ. Oral glucose tolerance testing. Australian Family Physician. 2012;41(6):391–393.</w:t>
      </w:r>
    </w:p>
    <w:p>
      <w:pPr>
        <w:spacing w:after="140"/>
      </w:pPr>
      <w:hyperlink r:id="rId12">
        <w:r>
          <w:rPr>
            <w:color w:val="163B8C"/>
          </w:rPr>
          <w:t>https://www.racgp.org.au/afp/2012/june/oral-glucose-tolerance-testing</w:t>
        </w:r>
      </w:hyperlink>
    </w:p>
    <w:p>
      <w:pPr>
        <w:spacing w:after="80"/>
      </w:pPr>
      <w:r>
        <w:rPr>
          <w:sz w:val="18"/>
        </w:rPr>
        <w:t>4. Colberg SR, et al. Physical Activity/Exercise and Diabetes: A Position Statement of the American Diabetes Association. Diabetes Care. 2016;39(11):2065–2079.</w:t>
      </w:r>
    </w:p>
    <w:p>
      <w:pPr>
        <w:spacing w:after="140"/>
      </w:pPr>
      <w:hyperlink r:id="rId13">
        <w:r>
          <w:rPr>
            <w:color w:val="163B8C"/>
          </w:rPr>
          <w:t>https://doi.org/10.2337/dc16-1728</w:t>
        </w:r>
      </w:hyperlink>
    </w:p>
    <w:p>
      <w:pPr>
        <w:spacing w:after="80"/>
      </w:pPr>
      <w:r>
        <w:rPr>
          <w:sz w:val="18"/>
        </w:rPr>
        <w:t>5. Rodwell VW, et al. Harper. Bioquímica ilustrada. 31.ª ed. McGraw-Hill; 2019. Cap. 19: Gluconeogénesis y el control de la glucosa en sangre.</w:t>
      </w:r>
    </w:p>
    <w:p>
      <w:pPr>
        <w:spacing w:after="80"/>
      </w:pPr>
      <w:r>
        <w:rPr>
          <w:sz w:val="18"/>
        </w:rPr>
        <w:t>6. Universidad Nacional de Moquegua. Guía de prácticas de Bioquímica Médica: Metabolismo de la glucosa, su relación con la diabetes. Guía rotulada N.° 04, pp. 23–28; material de clase PRACT 5 REAL.</w:t>
      </w:r>
    </w:p>
    <w:p>
      <w:pPr>
        <w:pStyle w:val="Heading1"/>
      </w:pPr>
      <w:r>
        <w:t>Resultados de la práctica · acceso digital</w:t>
      </w:r>
    </w:p>
    <w:p>
      <w:r>
        <w:t>Tablas, curvas individuales y grupales, discusión bioquímica, conclusiones y evidencia fotográfica de los dos experimentos.</w:t>
      </w:r>
    </w:p>
    <w:p>
      <w:hyperlink r:id="rId14">
        <w:r>
          <w:rPr>
            <w:color w:val="163B8C"/>
          </w:rPr>
          <w:t>Abrir práctica 05 en Bioquímica LabMed</w:t>
        </w:r>
      </w:hyperlink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54480" cy="1554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p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1554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sz w:val="18"/>
        </w:rPr>
        <w:t>https://yasmin-hash1324.github.io/bioquimica-labmed/#p05</w:t>
      </w:r>
    </w:p>
    <w:sectPr w:rsidR="00FC693F" w:rsidRPr="0006063C" w:rsidSect="00034616">
      <w:pgSz w:w="11906" w:h="16838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1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63B8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163B8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color w:val="163B8C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ajorHAnsi" w:eastAsiaTheme="majorEastAsia" w:hAnsiTheme="majorHAnsi" w:cstheme="majorBidi" w:ascii="Calibri" w:hAnsi="Calibri"/>
      <w:i/>
      <w:iCs/>
      <w:color w:val="4F81BD" w:themeColor="accent1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doi.org/10.2337/dc26-S002" TargetMode="External"/><Relationship Id="rId11" Type="http://schemas.openxmlformats.org/officeDocument/2006/relationships/hyperlink" Target="https://www.niddk.nih.gov/health-information/diabetes/overview/tests-diagnosis" TargetMode="External"/><Relationship Id="rId12" Type="http://schemas.openxmlformats.org/officeDocument/2006/relationships/hyperlink" Target="https://www.racgp.org.au/afp/2012/june/oral-glucose-tolerance-testing" TargetMode="External"/><Relationship Id="rId13" Type="http://schemas.openxmlformats.org/officeDocument/2006/relationships/hyperlink" Target="https://doi.org/10.2337/dc16-1728" TargetMode="External"/><Relationship Id="rId14" Type="http://schemas.openxmlformats.org/officeDocument/2006/relationships/hyperlink" Target="https://yasmin-hash1324.github.io/bioquimica-labmed/#p05" TargetMode="External"/><Relationship Id="rId15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